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B31E">
      <w:pPr>
        <w:keepNext w:val="0"/>
        <w:keepLines w:val="0"/>
        <w:pageBreakBefore w:val="0"/>
        <w:widowControl w:val="0"/>
        <w:kinsoku/>
        <w:wordWrap/>
        <w:overflowPunct/>
        <w:topLinePunct w:val="0"/>
        <w:autoSpaceDE/>
        <w:autoSpaceDN/>
        <w:bidi w:val="0"/>
        <w:snapToGrid/>
        <w:spacing w:line="594" w:lineRule="exact"/>
        <w:ind w:left="0" w:leftChars="0" w:right="0" w:rightChars="0" w:firstLine="420" w:firstLineChars="200"/>
        <w:textAlignment w:val="auto"/>
        <w:outlineLvl w:val="9"/>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黑体_GBK" w:cs="Times New Roman"/>
          <w:lang w:val="zh-CN" w:eastAsia="zh-CN"/>
        </w:rPr>
        <w:pict>
          <v:shape id="_x0000_s1026" o:spid="_x0000_s1026" o:spt="136" type="#_x0000_t136" style="position:absolute;left:0pt;margin-left:-14.3pt;margin-top:29.65pt;height:63.4pt;width:438.9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石柱土家族自治县六塘乡人民政府电子公文" style="font-family:华文中宋;font-size:28pt;v-rotate-letters:f;v-same-letter-heights:f;v-text-align:center;"/>
          </v:shape>
        </w:pict>
      </w:r>
    </w:p>
    <w:p w14:paraId="3E89B86A">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74895396">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4B7F9731">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7D9275F1">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14:paraId="27EAFD47">
      <w:pPr>
        <w:keepNext w:val="0"/>
        <w:keepLines w:val="0"/>
        <w:pageBreakBefore w:val="0"/>
        <w:widowControl w:val="0"/>
        <w:kinsoku/>
        <w:wordWrap/>
        <w:overflowPunct/>
        <w:topLinePunct w:val="0"/>
        <w:autoSpaceDE/>
        <w:autoSpaceDN/>
        <w:bidi w:val="0"/>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p>
    <w:p w14:paraId="24283C05">
      <w:pPr>
        <w:keepNext w:val="0"/>
        <w:keepLines w:val="0"/>
        <w:pageBreakBefore w:val="0"/>
        <w:widowControl w:val="0"/>
        <w:kinsoku/>
        <w:wordWrap/>
        <w:overflowPunct/>
        <w:topLinePunct w:val="0"/>
        <w:autoSpaceDE/>
        <w:autoSpaceDN/>
        <w:bidi w:val="0"/>
        <w:snapToGrid/>
        <w:spacing w:line="594" w:lineRule="exact"/>
        <w:ind w:right="0" w:rightChars="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rPr>
        <w:t>六塘府</w:t>
      </w:r>
      <w:r>
        <w:rPr>
          <w:rFonts w:hint="eastAsia" w:ascii="Times New Roman" w:hAnsi="Times New Roman" w:eastAsia="方正仿宋_GBK" w:cs="Times New Roman"/>
          <w:snapToGrid w:val="0"/>
          <w:sz w:val="32"/>
          <w:szCs w:val="32"/>
          <w:lang w:val="en-US" w:eastAsia="zh-CN"/>
        </w:rPr>
        <w:t>文</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2026</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3</w:t>
      </w:r>
      <w:r>
        <w:rPr>
          <w:rFonts w:hint="default" w:ascii="Times New Roman" w:hAnsi="Times New Roman" w:eastAsia="方正仿宋_GBK" w:cs="Times New Roman"/>
          <w:snapToGrid w:val="0"/>
          <w:sz w:val="32"/>
          <w:szCs w:val="32"/>
        </w:rPr>
        <w:t>号</w:t>
      </w:r>
      <w:r>
        <w:rPr>
          <w:rFonts w:hint="eastAsia" w:ascii="Times New Roman" w:hAnsi="Times New Roman" w:eastAsia="方正仿宋_GBK" w:cs="Times New Roman"/>
          <w:snapToGrid w:val="0"/>
          <w:sz w:val="32"/>
          <w:szCs w:val="32"/>
          <w:lang w:val="en-US" w:eastAsia="zh-CN"/>
        </w:rPr>
        <w:t xml:space="preserve">                      签发人：</w:t>
      </w:r>
      <w:r>
        <w:rPr>
          <w:rFonts w:hint="eastAsia" w:ascii="方正楷体_GBK" w:hAnsi="方正楷体_GBK" w:eastAsia="方正楷体_GBK" w:cs="方正楷体_GBK"/>
          <w:snapToGrid w:val="0"/>
          <w:sz w:val="32"/>
          <w:szCs w:val="32"/>
          <w:lang w:val="en-US" w:eastAsia="zh-CN"/>
        </w:rPr>
        <w:t>谭祥盛</w:t>
      </w:r>
    </w:p>
    <w:p w14:paraId="3D7FD9F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42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lang w:val="zh-CN" w:eastAsia="zh-CN"/>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5080</wp:posOffset>
                </wp:positionV>
                <wp:extent cx="56388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6388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pt;margin-top:0.4pt;height:0pt;width:444pt;z-index:251661312;mso-width-relative:page;mso-height-relative:page;" filled="f" stroked="t" coordsize="21600,21600" o:gfxdata="UEsDBAoAAAAAAIdO4kAAAAAAAAAAAAAAAAAEAAAAZHJzL1BLAwQUAAAACACHTuJAqCOBFtQAAAAF&#10;AQAADwAAAGRycy9kb3ducmV2LnhtbE2PzU7DMBCE70h9B2srcWudRlCFEKdqEdyQEOGnVzde4qjx&#10;OordNH17tic4jmY0802xmVwnRhxC60nBapmAQKq9aalR8PnxsshAhKjJ6M4TKrhggE05uyl0bvyZ&#10;3nGsYiO4hEKuFdgY+1zKUFt0Oix9j8Tejx+cjiyHRppBn7ncdTJNkrV0uiVesLrHJ4v1sTo5BdN3&#10;trX717h79l9v9jjtKzemF6Vu56vkEUTEKf6F4YrP6FAy08GfyATRKVik2ZqjCvgA29n9wx2Iw1XK&#10;spD/6ctfUEsDBBQAAAAIAIdO4kASLcxv/gEAAPMDAAAOAAAAZHJzL2Uyb0RvYy54bWytU82O0zAQ&#10;viPxDpbvNGmrLlXUdA9bygVBJeABpo6TWPKfPG7TvgQvgMQNThy58zbsPgbjpFuW3UsPm4Mz9sx8&#10;M9/n8eL6YDTby4DK2ZKPRzln0gpXKduU/POn9as5ZxjBVqCdlSU/SuTXy5cvFp0v5MS1TlcyMAKx&#10;WHS+5G2MvsgyFK00gCPnpSVn7YKBSNvQZFWAjtCNziZ5fpV1LlQ+OCER6XQ1OPkJMVwC6OpaCbly&#10;YmekjQNqkBoiUcJWeeTLvtu6liJ+qGuUkemSE9PYr1SE7G1as+UCiiaAb5U4tQCXtPCIkwFlqegZ&#10;agUR2C6oJ1BGieDQ1XEknMkGIr0ixGKcP9LmYwte9lxIavRn0fH5YMX7/SYwVZV8ypkFQxd++/XX&#10;ny/f735/o/X25w82TSJ1HguKvbGbcNqh34TE+FAHk/7EhR16YY9nYeUhMkGHs6vpfJ6T5uLel/1L&#10;9AHjW+kMS0bJtbKJMxSwf4eRilHofUg61pZ1JZ/MZ69nhAc0gTXdPJnGEwu0TZ+MTqtqrbROKRia&#10;7Y0ObA80Bet1Tl/iRMD/haUqK8B2iOtdw3y0Eqo3tmLx6EkfS8+Cpx6MrDjTkl5RsggQighKXxJJ&#10;pbVNCbKf0RPRJPIga7K2rjrS3ex8UE1Lwoz7npOHZqHv/jS3adge7sl++Fa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I4EW1AAAAAUBAAAPAAAAAAAAAAEAIAAAACIAAABkcnMvZG93bnJldi54&#10;bWxQSwECFAAUAAAACACHTuJAEi3Mb/4BAADzAwAADgAAAAAAAAABACAAAAAjAQAAZHJzL2Uyb0Rv&#10;Yy54bWxQSwUGAAAAAAYABgBZAQAAkwUAAAAA&#10;">
                <v:fill on="f" focussize="0,0"/>
                <v:stroke weight="2.25pt" color="#FF0000" joinstyle="round"/>
                <v:imagedata o:title=""/>
                <o:lock v:ext="edit" aspectratio="f"/>
              </v:line>
            </w:pict>
          </mc:Fallback>
        </mc:AlternateContent>
      </w:r>
    </w:p>
    <w:p w14:paraId="2388F8A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六塘乡人民政府</w:t>
      </w:r>
    </w:p>
    <w:p w14:paraId="16330A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关于2025年法治政府建设情况的报告</w:t>
      </w:r>
    </w:p>
    <w:p w14:paraId="38D1A63A">
      <w:pPr>
        <w:pStyle w:val="6"/>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_GBK" w:cs="Times New Roman"/>
          <w:sz w:val="32"/>
          <w:szCs w:val="32"/>
          <w:lang w:eastAsia="zh-CN"/>
        </w:rPr>
      </w:pPr>
    </w:p>
    <w:p w14:paraId="709B4F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县委依法治县委员会：</w:t>
      </w:r>
    </w:p>
    <w:p w14:paraId="33F074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根据石柱土家族自治县人民政府办公室《关于做好2025年全县法治政府建设工作的通知》（石柱府办〔2025〕27号），要求，现将我乡2025年法治政府建设工作开展情况报告如下：</w:t>
      </w:r>
    </w:p>
    <w:p w14:paraId="1AD25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一、法治政府建设主要举措及成效</w:t>
      </w:r>
    </w:p>
    <w:p w14:paraId="1C2DA5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（一）强化法治思想引领，夯实依法行政根基</w:t>
      </w:r>
    </w:p>
    <w:p w14:paraId="095289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1.深化理论学习，筑牢思想防线。坚持将</w:t>
      </w:r>
      <w:r>
        <w:rPr>
          <w:rFonts w:hint="eastAsia" w:ascii="Times New Roman" w:hAnsi="Times New Roman" w:eastAsia="方正仿宋_GBK" w:cs="Times New Roman"/>
          <w:sz w:val="32"/>
          <w:szCs w:val="32"/>
          <w:lang w:eastAsia="zh-CN"/>
        </w:rPr>
        <w:t>习近平法治思想</w:t>
      </w:r>
      <w:r>
        <w:rPr>
          <w:rFonts w:hint="default" w:ascii="Times New Roman" w:hAnsi="Times New Roman" w:eastAsia="方正仿宋_GBK" w:cs="Times New Roman"/>
          <w:sz w:val="32"/>
          <w:szCs w:val="32"/>
          <w:lang w:eastAsia="zh-CN"/>
        </w:rPr>
        <w:t>作为党委</w:t>
      </w:r>
      <w:r>
        <w:rPr>
          <w:rFonts w:hint="eastAsia" w:ascii="Times New Roman" w:hAnsi="Times New Roman" w:eastAsia="方正仿宋_GBK" w:cs="Times New Roman"/>
          <w:sz w:val="32"/>
          <w:szCs w:val="32"/>
          <w:lang w:eastAsia="zh-CN"/>
        </w:rPr>
        <w:t>理论学习中心组</w:t>
      </w:r>
      <w:r>
        <w:rPr>
          <w:rFonts w:hint="default" w:ascii="Times New Roman" w:hAnsi="Times New Roman" w:eastAsia="方正仿宋_GBK" w:cs="Times New Roman"/>
          <w:sz w:val="32"/>
          <w:szCs w:val="32"/>
          <w:lang w:eastAsia="zh-CN"/>
        </w:rPr>
        <w:t>学习核心内容，全年组织专题学习12次，实现领导干部学法全覆盖。将法治思想学习与深入学习中央八项规定精神主题教育有机结合，纳入政府及村组干部培训体系，开展专题学习13场次，组织法治宣讲40余场，发放宣传资料500余份，覆盖全乡10个行政村。</w:t>
      </w:r>
    </w:p>
    <w:p w14:paraId="19C36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2.落实普法责任，构建法治格局。严格执行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谁执法谁普法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责任制，组建专业普法志愿者队伍，健全普法责任清单动态管理机制。聚焦传染病防治、突发事件应对、食品药品安全等重点领域，开展专项普法活动20余场，切实提升群众法治意识。</w:t>
      </w:r>
    </w:p>
    <w:p w14:paraId="134EF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3.强化能力建设，提升执法水平。组织全乡干部职工法治理论知识考试及新提任领导干部法治理论考试，参考人员通过率达100%，有效保障干部队伍法治素养达标。</w:t>
      </w:r>
    </w:p>
    <w:p w14:paraId="4AB74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（二）聚焦重点工作，全面推进法治建设</w:t>
      </w:r>
    </w:p>
    <w:p w14:paraId="7AA712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1.健全工作机制，强化制度保障。一是深化思想认识。通过13次专题培训，系统阐释法治政府建设内涵，强化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法定职责必须为、法无授权不可为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的依法行政理念。二是抓住关键少数。要求领导干部带头学法用法，班子成员及村</w:t>
      </w:r>
      <w:r>
        <w:rPr>
          <w:rFonts w:hint="eastAsia" w:ascii="Times New Roman" w:hAnsi="Times New Roman"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全员参与法治培训，切实提升依法决策能力。三是完善制度体系。修订乡政府工作规则，明确权力边界，推进机构职能法定化。建立执法监督台账，实现从个案监督向体系监督转变。四是加强队伍建设。引进法律专业人才1名，组织法律知识培训10次，着力打造专业化法治工作队伍。</w:t>
      </w:r>
    </w:p>
    <w:p w14:paraId="23BDC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规范执法行为，提升执法效能。一是全面落实行政执法制度。完善执法程序规定，建立重大执法行为目录清单，动态调整裁量标准，规范执法文书。各行政村设立党务事务公开栏，强化执法透明度。二是推进复议规范化建设。完善行政复议制度，加快智能化听证审理系统建设，组织专业培训提升复议能力。三是创新矛盾化解机制。探索案前案后调解新路径，融合复调对接与行政复议转送工作机制，建立简易类行政处罚案件复核调解新模式。</w:t>
      </w:r>
    </w:p>
    <w:p w14:paraId="564DC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3.全面履行政府职能，优化公共服务。一是深化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放管服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改革。推行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一网通办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最多跑一次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服务模式，简化办事流程，实施证明事项告知承诺制，实现高频民生事项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零材料办理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。在办事大厅设置服务指南，配备专职引导人员。二是创新基层治理模式。推广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枫桥经验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重庆实践，设立10个贵和工作室，建立矛盾纠纷月研判机制。健全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三社联动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机制，培养农村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法律明白人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完善法律顾问参与行政决策制度。三是规范决策程序。建立依法决策工作机制，健全重大决策向人大报告制度。聘请专业律师担任法律顾问，推行公职律师制度，实施重大决策民意调查及后评估机制。四是加强文件管理。严格执行规范性文件合法性审查制度，2025年发文396件均符合法定程序，合法性审核率达100%。五是推进综合执法改革。动态调整赋权执法清单，建立管执协调机制，全面落实各领域综合执法。2025年开展检查340余次，整改隐患40处，下达整改指令14份，实施行政处罚3.55万元。</w:t>
      </w:r>
    </w:p>
    <w:p w14:paraId="0E431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二、党政主要负责人履行法治建设第一责任人职责情况</w:t>
      </w:r>
    </w:p>
    <w:p w14:paraId="2F22D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乡党政主要负责人严格履行推进法治建设第一责任人职责，带头学习贯彻</w:t>
      </w:r>
      <w:r>
        <w:rPr>
          <w:rFonts w:hint="eastAsia" w:ascii="Times New Roman" w:hAnsi="Times New Roman" w:eastAsia="方正仿宋_GBK" w:cs="Times New Roman"/>
          <w:sz w:val="32"/>
          <w:szCs w:val="32"/>
          <w:lang w:eastAsia="zh-CN"/>
        </w:rPr>
        <w:t>习近平法治思想</w:t>
      </w:r>
      <w:r>
        <w:rPr>
          <w:rFonts w:hint="default" w:ascii="Times New Roman" w:hAnsi="Times New Roman" w:eastAsia="方正仿宋_GBK" w:cs="Times New Roman"/>
          <w:sz w:val="32"/>
          <w:szCs w:val="32"/>
          <w:lang w:eastAsia="zh-CN"/>
        </w:rPr>
        <w:t>，组织领导班子开展学法活动。坚持科学民主决策，严格执行重大行政决策集体讨论制度，充分发挥法律顾问作用。亲自部署法治建设重点工作，带队开展基层执法检查，确保各项工作依法有序推进。</w:t>
      </w:r>
    </w:p>
    <w:p w14:paraId="39085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三、存在不足及原因分析</w:t>
      </w:r>
    </w:p>
    <w:p w14:paraId="18B29B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一是法治专业人才短缺。</w:t>
      </w:r>
      <w:r>
        <w:rPr>
          <w:rFonts w:hint="default" w:ascii="Times New Roman" w:hAnsi="Times New Roman" w:eastAsia="方正仿宋_GBK" w:cs="Times New Roman"/>
          <w:sz w:val="32"/>
          <w:szCs w:val="32"/>
          <w:lang w:eastAsia="zh-CN"/>
        </w:rPr>
        <w:t>干部队伍年龄结构偏大，法律知识系统性不足，难以满足日益增长的法治工作需求。</w:t>
      </w:r>
      <w:r>
        <w:rPr>
          <w:rFonts w:hint="default" w:ascii="Times New Roman" w:hAnsi="Times New Roman" w:eastAsia="方正仿宋_GBK" w:cs="Times New Roman"/>
          <w:b/>
          <w:bCs/>
          <w:sz w:val="32"/>
          <w:szCs w:val="32"/>
          <w:lang w:eastAsia="zh-CN"/>
        </w:rPr>
        <w:t>二是</w:t>
      </w:r>
      <w:r>
        <w:rPr>
          <w:rFonts w:hint="eastAsia" w:ascii="Times New Roman" w:hAnsi="Times New Roman" w:eastAsia="方正仿宋_GBK" w:cs="Times New Roman"/>
          <w:b/>
          <w:bCs/>
          <w:sz w:val="32"/>
          <w:szCs w:val="32"/>
          <w:lang w:eastAsia="zh-CN"/>
        </w:rPr>
        <w:t>法</w:t>
      </w:r>
      <w:r>
        <w:rPr>
          <w:rFonts w:hint="default" w:ascii="Times New Roman" w:hAnsi="Times New Roman" w:eastAsia="方正仿宋_GBK" w:cs="Times New Roman"/>
          <w:b/>
          <w:bCs/>
          <w:sz w:val="32"/>
          <w:szCs w:val="32"/>
          <w:lang w:eastAsia="zh-CN"/>
        </w:rPr>
        <w:t>治宣传形式单一。</w:t>
      </w:r>
      <w:r>
        <w:rPr>
          <w:rFonts w:hint="default" w:ascii="Times New Roman" w:hAnsi="Times New Roman" w:eastAsia="方正仿宋_GBK" w:cs="Times New Roman"/>
          <w:sz w:val="32"/>
          <w:szCs w:val="32"/>
          <w:lang w:eastAsia="zh-CN"/>
        </w:rPr>
        <w:t>仍以传统宣传方式为主，缺乏创新手段，导致宣传效果与群众需求存在差距。</w:t>
      </w:r>
    </w:p>
    <w:p w14:paraId="3D1C45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四、2026年工作安排</w:t>
      </w:r>
    </w:p>
    <w:p w14:paraId="48F95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（一）强化法治能力建设。</w:t>
      </w:r>
      <w:r>
        <w:rPr>
          <w:rFonts w:hint="default" w:ascii="Times New Roman" w:hAnsi="Times New Roman" w:eastAsia="方正仿宋_GBK" w:cs="Times New Roman"/>
          <w:sz w:val="32"/>
          <w:szCs w:val="32"/>
          <w:lang w:eastAsia="zh-CN"/>
        </w:rPr>
        <w:t>建立健全领导干部学法用法制度，将法治教育纳入干部培训体系，定期开展专题培训，提升依法行政能力。</w:t>
      </w:r>
    </w:p>
    <w:p w14:paraId="3584EE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（二）完善执法监督体系。</w:t>
      </w:r>
      <w:r>
        <w:rPr>
          <w:rFonts w:hint="default" w:ascii="Times New Roman" w:hAnsi="Times New Roman" w:eastAsia="方正仿宋_GBK" w:cs="Times New Roman"/>
          <w:sz w:val="32"/>
          <w:szCs w:val="32"/>
          <w:lang w:eastAsia="zh-CN"/>
        </w:rPr>
        <w:t>加强执法人员教育培训，运用行政执法监督平台实现全过程动态监管，及时纠正执法偏差。</w:t>
      </w:r>
    </w:p>
    <w:p w14:paraId="3F8CFA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（三）创新法治宣传方式。</w:t>
      </w:r>
      <w:r>
        <w:rPr>
          <w:rFonts w:hint="default" w:ascii="Times New Roman" w:hAnsi="Times New Roman" w:eastAsia="方正仿宋_GBK" w:cs="Times New Roman"/>
          <w:sz w:val="32"/>
          <w:szCs w:val="32"/>
          <w:lang w:eastAsia="zh-CN"/>
        </w:rPr>
        <w:t>深入开展法治宣传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六进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活动，运用典型案例普及法律知识，强化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法律明白人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基层普法作用。</w:t>
      </w:r>
    </w:p>
    <w:p w14:paraId="262D3F2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000000"/>
          <w:sz w:val="32"/>
          <w:szCs w:val="32"/>
        </w:rPr>
      </w:pPr>
    </w:p>
    <w:p w14:paraId="1CBBEBE6">
      <w:pPr>
        <w:keepNext w:val="0"/>
        <w:keepLines w:val="0"/>
        <w:pageBreakBefore w:val="0"/>
        <w:widowControl w:val="0"/>
        <w:kinsoku/>
        <w:wordWrap/>
        <w:overflowPunct/>
        <w:topLinePunct w:val="0"/>
        <w:autoSpaceDE/>
        <w:autoSpaceDN/>
        <w:bidi w:val="0"/>
        <w:adjustRightInd/>
        <w:snapToGrid/>
        <w:spacing w:line="594" w:lineRule="exact"/>
        <w:ind w:left="0" w:leftChars="0" w:firstLine="5878" w:firstLineChars="1837"/>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六塘乡人民政府</w:t>
      </w:r>
    </w:p>
    <w:p w14:paraId="5952AE75">
      <w:pPr>
        <w:keepNext w:val="0"/>
        <w:keepLines w:val="0"/>
        <w:pageBreakBefore w:val="0"/>
        <w:widowControl w:val="0"/>
        <w:kinsoku/>
        <w:wordWrap/>
        <w:overflowPunct/>
        <w:topLinePunct w:val="0"/>
        <w:autoSpaceDE/>
        <w:autoSpaceDN/>
        <w:bidi w:val="0"/>
        <w:adjustRightInd/>
        <w:snapToGrid/>
        <w:spacing w:line="594" w:lineRule="exact"/>
        <w:ind w:firstLine="5760" w:firstLineChars="18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年1月</w:t>
      </w:r>
      <w:r>
        <w:rPr>
          <w:rFonts w:hint="eastAsia" w:ascii="Times New Roman" w:hAnsi="Times New Roman"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日</w:t>
      </w:r>
    </w:p>
    <w:p w14:paraId="5C6A5073">
      <w:pPr>
        <w:pStyle w:val="6"/>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（此件公开发布）</w:t>
      </w:r>
    </w:p>
    <w:p w14:paraId="4293D3F8">
      <w:pPr>
        <w:pStyle w:val="6"/>
        <w:rPr>
          <w:rFonts w:hint="default" w:ascii="Times New Roman" w:hAnsi="Times New Roman" w:eastAsia="方正仿宋_GBK" w:cs="Times New Roman"/>
          <w:color w:val="000000"/>
          <w:sz w:val="32"/>
          <w:szCs w:val="32"/>
          <w:lang w:val="en-US" w:eastAsia="zh-CN"/>
        </w:rPr>
      </w:pPr>
    </w:p>
    <w:p w14:paraId="1FAFCF88">
      <w:pPr>
        <w:pStyle w:val="6"/>
        <w:rPr>
          <w:rFonts w:hint="default" w:ascii="Times New Roman" w:hAnsi="Times New Roman" w:eastAsia="方正仿宋_GBK" w:cs="Times New Roman"/>
          <w:color w:val="000000"/>
          <w:sz w:val="32"/>
          <w:szCs w:val="32"/>
          <w:lang w:val="en-US" w:eastAsia="zh-CN"/>
        </w:rPr>
      </w:pPr>
    </w:p>
    <w:p w14:paraId="72B768D6">
      <w:pPr>
        <w:widowControl/>
        <w:pBdr>
          <w:top w:val="single" w:color="auto" w:sz="4" w:space="1"/>
          <w:bottom w:val="single" w:color="auto" w:sz="4" w:space="1"/>
        </w:pBdr>
        <w:kinsoku w:val="0"/>
        <w:autoSpaceDE w:val="0"/>
        <w:spacing w:line="560" w:lineRule="exact"/>
        <w:ind w:firstLine="140" w:firstLineChars="50"/>
        <w:textAlignment w:val="baseline"/>
        <w:rPr>
          <w:rFonts w:hint="default" w:ascii="Times New Roman" w:hAnsi="Times New Roman" w:cs="Times New Roman"/>
          <w:lang w:val="en-US" w:eastAsia="zh-CN"/>
        </w:rPr>
      </w:pPr>
      <w:r>
        <w:rPr>
          <w:rFonts w:hint="eastAsia" w:ascii="Times New Roman" w:hAnsi="Times New Roman" w:eastAsia="方正仿宋_GBK" w:cs="Times New Roman"/>
          <w:bCs/>
          <w:sz w:val="28"/>
          <w:szCs w:val="28"/>
        </w:rPr>
        <w:t>六塘乡</w:t>
      </w:r>
      <w:r>
        <w:rPr>
          <w:rFonts w:hint="eastAsia" w:ascii="Times New Roman" w:hAnsi="Times New Roman" w:eastAsia="方正仿宋_GBK" w:cs="Times New Roman"/>
          <w:bCs/>
          <w:color w:val="auto"/>
          <w:sz w:val="28"/>
          <w:szCs w:val="28"/>
          <w:lang w:eastAsia="zh-CN"/>
        </w:rPr>
        <w:t>基层治理综合指挥室</w:t>
      </w:r>
      <w:r>
        <w:rPr>
          <w:rFonts w:hint="default" w:ascii="Times New Roman" w:hAnsi="Times New Roman" w:eastAsia="方正仿宋_GBK" w:cs="Times New Roman"/>
          <w:bCs/>
          <w:color w:val="auto"/>
          <w:sz w:val="28"/>
          <w:szCs w:val="28"/>
        </w:rPr>
        <w:t xml:space="preserve"> </w:t>
      </w:r>
      <w:r>
        <w:rPr>
          <w:rFonts w:ascii="Times New Roman" w:hAnsi="Times New Roman" w:eastAsia="方正仿宋_GBK" w:cs="Times New Roman"/>
          <w:bCs/>
          <w:sz w:val="28"/>
          <w:szCs w:val="28"/>
        </w:rPr>
        <w:t xml:space="preserve">      </w:t>
      </w:r>
      <w:r>
        <w:rPr>
          <w:rFonts w:hint="eastAsia" w:ascii="Times New Roman" w:hAnsi="Times New Roman" w:eastAsia="方正仿宋_GBK" w:cs="Times New Roman"/>
          <w:bCs/>
          <w:sz w:val="28"/>
          <w:szCs w:val="28"/>
        </w:rPr>
        <w:t xml:space="preserve">       </w:t>
      </w:r>
      <w:r>
        <w:rPr>
          <w:rFonts w:hint="eastAsia" w:ascii="Times New Roman" w:hAnsi="Times New Roman" w:eastAsia="方正仿宋_GBK" w:cs="Times New Roman"/>
          <w:bCs/>
          <w:sz w:val="28"/>
          <w:szCs w:val="28"/>
          <w:lang w:val="en-US" w:eastAsia="zh-CN"/>
        </w:rPr>
        <w:t xml:space="preserve">      </w:t>
      </w:r>
      <w:r>
        <w:rPr>
          <w:rFonts w:ascii="Times New Roman" w:hAnsi="Times New Roman" w:eastAsia="方正仿宋_GBK" w:cs="Times New Roman"/>
          <w:bCs/>
          <w:sz w:val="28"/>
          <w:szCs w:val="28"/>
        </w:rPr>
        <w:t>202</w:t>
      </w:r>
      <w:r>
        <w:rPr>
          <w:rFonts w:hint="eastAsia" w:ascii="Times New Roman" w:hAnsi="Times New Roman" w:eastAsia="方正仿宋_GBK" w:cs="Times New Roman"/>
          <w:bCs/>
          <w:sz w:val="28"/>
          <w:szCs w:val="28"/>
          <w:lang w:val="en-US" w:eastAsia="zh-CN"/>
        </w:rPr>
        <w:t>6</w:t>
      </w:r>
      <w:r>
        <w:rPr>
          <w:rFonts w:ascii="Times New Roman" w:hAnsi="Times New Roman" w:eastAsia="方正仿宋_GBK" w:cs="Times New Roman"/>
          <w:bCs/>
          <w:sz w:val="28"/>
          <w:szCs w:val="28"/>
        </w:rPr>
        <w:t>年</w:t>
      </w:r>
      <w:r>
        <w:rPr>
          <w:rFonts w:hint="eastAsia" w:ascii="Times New Roman" w:hAnsi="Times New Roman" w:eastAsia="方正仿宋_GBK" w:cs="Times New Roman"/>
          <w:bCs/>
          <w:sz w:val="28"/>
          <w:szCs w:val="28"/>
          <w:lang w:val="en-US" w:eastAsia="zh-CN"/>
        </w:rPr>
        <w:t>1</w:t>
      </w:r>
      <w:r>
        <w:rPr>
          <w:rFonts w:ascii="Times New Roman" w:hAnsi="Times New Roman" w:eastAsia="方正仿宋_GBK" w:cs="Times New Roman"/>
          <w:bCs/>
          <w:sz w:val="28"/>
          <w:szCs w:val="28"/>
        </w:rPr>
        <w:t>月</w:t>
      </w:r>
      <w:r>
        <w:rPr>
          <w:rFonts w:hint="eastAsia" w:ascii="Times New Roman" w:hAnsi="Times New Roman" w:eastAsia="方正仿宋_GBK" w:cs="Times New Roman"/>
          <w:bCs/>
          <w:sz w:val="28"/>
          <w:szCs w:val="28"/>
          <w:lang w:val="en-US" w:eastAsia="zh-CN"/>
        </w:rPr>
        <w:t>12</w:t>
      </w:r>
      <w:r>
        <w:rPr>
          <w:rFonts w:ascii="Times New Roman" w:hAnsi="Times New Roman" w:eastAsia="方正仿宋_GBK" w:cs="Times New Roman"/>
          <w:bCs/>
          <w:sz w:val="28"/>
          <w:szCs w:val="28"/>
        </w:rPr>
        <w:t>日印</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KSOFD0355493">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693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9FB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79FB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203F"/>
    <w:rsid w:val="007D4070"/>
    <w:rsid w:val="0EC211BA"/>
    <w:rsid w:val="0FFB8D53"/>
    <w:rsid w:val="1EAF203F"/>
    <w:rsid w:val="23407972"/>
    <w:rsid w:val="25C07A25"/>
    <w:rsid w:val="290D4568"/>
    <w:rsid w:val="2ADA3C8A"/>
    <w:rsid w:val="3BAC7B37"/>
    <w:rsid w:val="3EE7B354"/>
    <w:rsid w:val="3FC62D71"/>
    <w:rsid w:val="3FFA8D3B"/>
    <w:rsid w:val="45B75508"/>
    <w:rsid w:val="4B226DD3"/>
    <w:rsid w:val="4DFE4035"/>
    <w:rsid w:val="4FFF7BCE"/>
    <w:rsid w:val="519B53F1"/>
    <w:rsid w:val="573D5C6F"/>
    <w:rsid w:val="575BD9AE"/>
    <w:rsid w:val="5D583D1D"/>
    <w:rsid w:val="5EAF7B0D"/>
    <w:rsid w:val="66EC7870"/>
    <w:rsid w:val="6DFB6E77"/>
    <w:rsid w:val="6EB32A89"/>
    <w:rsid w:val="6FEE0205"/>
    <w:rsid w:val="74DF6E0A"/>
    <w:rsid w:val="77B7019A"/>
    <w:rsid w:val="77EF7D4B"/>
    <w:rsid w:val="77FF4B73"/>
    <w:rsid w:val="7DDE4704"/>
    <w:rsid w:val="7EBF0906"/>
    <w:rsid w:val="7EEBA858"/>
    <w:rsid w:val="7F7F4431"/>
    <w:rsid w:val="7FBFEB3E"/>
    <w:rsid w:val="7FEE5D63"/>
    <w:rsid w:val="7FFB303D"/>
    <w:rsid w:val="8C7FACE8"/>
    <w:rsid w:val="8DBBC631"/>
    <w:rsid w:val="9BAF9509"/>
    <w:rsid w:val="A0FE35E2"/>
    <w:rsid w:val="D87FD4BA"/>
    <w:rsid w:val="DB978301"/>
    <w:rsid w:val="DE747B58"/>
    <w:rsid w:val="EF5EC5C3"/>
    <w:rsid w:val="EFDB0B52"/>
    <w:rsid w:val="EFF7845E"/>
    <w:rsid w:val="F7FFD03C"/>
    <w:rsid w:val="FABCDBD1"/>
    <w:rsid w:val="FD7F2417"/>
    <w:rsid w:val="FE570F7A"/>
    <w:rsid w:val="FF774B26"/>
    <w:rsid w:val="FFBFAAB8"/>
    <w:rsid w:val="FFDF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ind w:left="100" w:firstLine="559"/>
      <w:jc w:val="left"/>
    </w:pPr>
    <w:rPr>
      <w:rFonts w:ascii="宋体" w:hAnsi="宋体" w:eastAsia="宋体" w:cs="Times New Roman"/>
      <w:kern w:val="0"/>
      <w:sz w:val="28"/>
      <w:szCs w:val="28"/>
      <w:lang w:val="en-US" w:eastAsia="en-US" w:bidi="ar-SA"/>
    </w:rPr>
  </w:style>
  <w:style w:type="paragraph" w:styleId="3">
    <w:name w:val="Normal Indent"/>
    <w:basedOn w:val="1"/>
    <w:next w:val="1"/>
    <w:qFormat/>
    <w:uiPriority w:val="0"/>
    <w:pPr>
      <w:ind w:firstLine="420" w:firstLineChars="200"/>
    </w:pPr>
  </w:style>
  <w:style w:type="paragraph" w:styleId="4">
    <w:name w:val="Plain Text"/>
    <w:basedOn w:val="1"/>
    <w:qFormat/>
    <w:uiPriority w:val="0"/>
    <w:pPr>
      <w:widowControl/>
      <w:jc w:val="left"/>
    </w:pPr>
    <w:rPr>
      <w:rFonts w:hint="eastAsia" w:ascii="宋体" w:hAnsi="Courier New" w:eastAsia="宋体" w:cs="Times New Roman"/>
      <w:kern w:val="0"/>
      <w:sz w:val="24"/>
      <w:szCs w:val="24"/>
    </w:rPr>
  </w:style>
  <w:style w:type="paragraph" w:styleId="5">
    <w:name w:val="Date"/>
    <w:basedOn w:val="1"/>
    <w:next w:val="1"/>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索引 51"/>
    <w:basedOn w:val="1"/>
    <w:next w:val="1"/>
    <w:qFormat/>
    <w:uiPriority w:val="0"/>
    <w:pPr>
      <w:ind w:left="1680"/>
    </w:p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NormalCharacter"/>
    <w:semiHidden/>
    <w:qFormat/>
    <w:uiPriority w:val="0"/>
    <w:rPr>
      <w:rFonts w:ascii="Times New Roman" w:hAnsi="Times New Roman"/>
      <w:kern w:val="2"/>
      <w:sz w:val="21"/>
      <w:szCs w:val="24"/>
      <w:lang w:val="en-US" w:eastAsia="zh-CN" w:bidi="ar-SA"/>
    </w:rPr>
  </w:style>
  <w:style w:type="paragraph" w:customStyle="1" w:styleId="15">
    <w:name w:val="标题 41"/>
    <w:basedOn w:val="1"/>
    <w:qFormat/>
    <w:uiPriority w:val="1"/>
    <w:pPr>
      <w:autoSpaceDE w:val="0"/>
      <w:autoSpaceDN w:val="0"/>
      <w:ind w:left="2213"/>
      <w:jc w:val="left"/>
      <w:outlineLvl w:val="4"/>
    </w:pPr>
    <w:rPr>
      <w:rFonts w:ascii="宋体" w:hAnsi="宋体" w:cs="宋体"/>
      <w:kern w:val="0"/>
      <w:sz w:val="31"/>
      <w:szCs w:val="31"/>
      <w:lang w:eastAsia="en-US"/>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1790</Words>
  <Characters>1854</Characters>
  <Lines>0</Lines>
  <Paragraphs>0</Paragraphs>
  <TotalTime>41</TotalTime>
  <ScaleCrop>false</ScaleCrop>
  <LinksUpToDate>false</LinksUpToDate>
  <CharactersWithSpaces>1896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2025-05-21T18:19:00Z</dcterms:created>
  <dc:creator>~</dc:creator>
  <cp:lastModifiedBy>安然弱水</cp:lastModifiedBy>
  <cp:lastPrinted>2026-01-12T15:26:00Z</cp:lastPrinted>
  <dcterms:modified xsi:type="dcterms:W3CDTF">2026-01-16T01:52:48Z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4C246CF72BF046C197AE2DCD1C5EFDFC_11</vt:lpwstr>
  </property>
  <property fmtid="{D5CDD505-2E9C-101B-9397-08002B2CF9AE}" pid="4" name="KSOTemplateDocerSaveRecord">
    <vt:lpwstr>eyJoZGlkIjoiM2VmN2NkNzlhZDllNTk4ZDQyYWY1YjAzNzZkNTk2YWEiLCJ1c2VySWQiOiIxMzAwNjA3NzU5In0=</vt:lpwstr>
  </property>
</Properties>
</file>