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ECC0C">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z w:val="44"/>
          <w:szCs w:val="44"/>
          <w:lang w:val="en-US" w:eastAsia="zh-CN"/>
        </w:rPr>
        <w:t>六塘乡人民政府</w:t>
      </w:r>
    </w:p>
    <w:p w14:paraId="5D447D18">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方正小标宋_GBK" w:hAnsi="方正小标宋_GBK" w:eastAsia="方正小标宋_GBK" w:cs="方正小标宋_GBK"/>
          <w:sz w:val="44"/>
          <w:szCs w:val="44"/>
        </w:rPr>
        <w:t>关于</w:t>
      </w:r>
      <w:r>
        <w:rPr>
          <w:rFonts w:eastAsia="方正小标宋_GBK"/>
          <w:sz w:val="44"/>
          <w:szCs w:val="44"/>
        </w:rPr>
        <w:t>2024</w:t>
      </w:r>
      <w:r>
        <w:rPr>
          <w:rFonts w:hint="eastAsia" w:ascii="方正小标宋_GBK" w:hAnsi="方正小标宋_GBK" w:eastAsia="方正小标宋_GBK" w:cs="方正小标宋_GBK"/>
          <w:sz w:val="44"/>
          <w:szCs w:val="44"/>
        </w:rPr>
        <w:t>年法治政府建设情况的报告</w:t>
      </w:r>
    </w:p>
    <w:p w14:paraId="049177EE">
      <w:pPr>
        <w:pStyle w:val="3"/>
        <w:keepNext w:val="0"/>
        <w:keepLines w:val="0"/>
        <w:pageBreakBefore w:val="0"/>
        <w:kinsoku/>
        <w:wordWrap/>
        <w:overflowPunct/>
        <w:topLinePunct w:val="0"/>
        <w:autoSpaceDN/>
        <w:bidi w:val="0"/>
        <w:adjustRightInd/>
        <w:snapToGrid/>
        <w:spacing w:line="560" w:lineRule="exact"/>
        <w:textAlignment w:val="auto"/>
        <w:rPr>
          <w:rFonts w:ascii="方正仿宋_GBK" w:hAnsi="方正仿宋_GBK" w:eastAsia="方正仿宋_GBK" w:cs="方正仿宋_GBK"/>
          <w:sz w:val="32"/>
          <w:szCs w:val="32"/>
        </w:rPr>
      </w:pPr>
    </w:p>
    <w:p w14:paraId="272EB24A">
      <w:pPr>
        <w:pStyle w:val="3"/>
        <w:keepNext w:val="0"/>
        <w:keepLines w:val="0"/>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按照县政府办公室要求，现将我乡2024年法治政府建设工作开展情况报告如下：</w:t>
      </w:r>
    </w:p>
    <w:p w14:paraId="4DE94A28">
      <w:pPr>
        <w:pStyle w:val="3"/>
        <w:keepNext w:val="0"/>
        <w:keepLines w:val="0"/>
        <w:pageBreakBefore w:val="0"/>
        <w:kinsoku/>
        <w:wordWrap/>
        <w:overflowPunct/>
        <w:topLinePunct w:val="0"/>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一、法治政府建设的主要举措和成效</w:t>
      </w:r>
    </w:p>
    <w:p w14:paraId="7CC726C2">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eastAsia="方正仿宋_GBK"/>
          <w:snapToGrid w:val="0"/>
          <w:sz w:val="32"/>
          <w:szCs w:val="32"/>
        </w:rPr>
      </w:pPr>
      <w:r>
        <w:rPr>
          <w:rFonts w:hint="eastAsia" w:ascii="方正楷体_GBK" w:hAnsi="方正楷体_GBK" w:eastAsia="方正楷体_GBK" w:cs="方正楷体_GBK"/>
          <w:snapToGrid w:val="0"/>
          <w:kern w:val="0"/>
          <w:sz w:val="32"/>
          <w:szCs w:val="32"/>
        </w:rPr>
        <w:t>（一）贯彻落实习近平法治思想和党的二十大和二十届二中</w:t>
      </w:r>
      <w:r>
        <w:rPr>
          <w:rFonts w:hint="eastAsia" w:ascii="方正楷体_GBK" w:hAnsi="方正楷体_GBK" w:eastAsia="方正楷体_GBK" w:cs="方正楷体_GBK"/>
          <w:snapToGrid w:val="0"/>
          <w:kern w:val="0"/>
          <w:sz w:val="32"/>
          <w:szCs w:val="32"/>
          <w:lang w:eastAsia="zh-CN"/>
        </w:rPr>
        <w:t>、三中</w:t>
      </w:r>
      <w:r>
        <w:rPr>
          <w:rFonts w:hint="eastAsia" w:ascii="方正楷体_GBK" w:hAnsi="方正楷体_GBK" w:eastAsia="方正楷体_GBK" w:cs="方正楷体_GBK"/>
          <w:snapToGrid w:val="0"/>
          <w:kern w:val="0"/>
          <w:sz w:val="32"/>
          <w:szCs w:val="32"/>
        </w:rPr>
        <w:t>全会精神情况。</w:t>
      </w:r>
      <w:r>
        <w:rPr>
          <w:rFonts w:eastAsia="方正仿宋_GBK"/>
          <w:sz w:val="32"/>
          <w:szCs w:val="32"/>
        </w:rPr>
        <w:t>一是深入学习贯彻习近平法治思想和中央全面依法治国工作会议精神。坚持领导干部带头学法用法，把习近平法治思想和中央全面依法治国工作会议精神纳入六塘乡党委中心组学习，强化领导干部法治思维，提升依法行政能力。二是把学习宣传贯彻习近平法治思想与党史学习教育紧密结合，将习近平法治思想纳入政府、村组干部教育培训重要内容，开展干部职工专题学习达10余次，习近平法治思想宣讲30余次，发放宣传资料400余份。三是全面落实</w:t>
      </w:r>
      <w:r>
        <w:rPr>
          <w:rFonts w:hint="eastAsia" w:eastAsia="方正仿宋_GBK"/>
          <w:sz w:val="32"/>
          <w:szCs w:val="32"/>
          <w:lang w:eastAsia="zh-CN"/>
        </w:rPr>
        <w:t>“</w:t>
      </w:r>
      <w:r>
        <w:rPr>
          <w:rFonts w:eastAsia="方正仿宋_GBK"/>
          <w:sz w:val="32"/>
          <w:szCs w:val="32"/>
        </w:rPr>
        <w:t>谁执法谁普法</w:t>
      </w:r>
      <w:r>
        <w:rPr>
          <w:rFonts w:hint="eastAsia" w:eastAsia="方正仿宋_GBK"/>
          <w:sz w:val="32"/>
          <w:szCs w:val="32"/>
          <w:lang w:eastAsia="zh-CN"/>
        </w:rPr>
        <w:t>”</w:t>
      </w:r>
      <w:r>
        <w:rPr>
          <w:rFonts w:eastAsia="方正仿宋_GBK"/>
          <w:sz w:val="32"/>
          <w:szCs w:val="32"/>
        </w:rPr>
        <w:t>责任制，成立普法志愿者队伍，进一步健全普法责任清单动态管理机制，重点加强传染病防治、突发事件应对、食品药品安全、交通安全、野生动物保护、动物防疫等法治宣传。四是组织开展干部职工法治理论知识考试和新提任领导干部法治理论考试</w:t>
      </w:r>
      <w:r>
        <w:rPr>
          <w:rFonts w:hint="eastAsia" w:eastAsia="方正仿宋_GBK"/>
          <w:sz w:val="32"/>
          <w:szCs w:val="32"/>
        </w:rPr>
        <w:t>，</w:t>
      </w:r>
      <w:r>
        <w:rPr>
          <w:rFonts w:eastAsia="方正仿宋_GBK"/>
          <w:sz w:val="32"/>
          <w:szCs w:val="32"/>
        </w:rPr>
        <w:t>通过率100%。</w:t>
      </w:r>
    </w:p>
    <w:p w14:paraId="5B731554">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方正楷体_GBK" w:hAnsi="方正楷体_GBK" w:eastAsia="方正楷体_GBK" w:cs="方正楷体_GBK"/>
          <w:sz w:val="33"/>
          <w:szCs w:val="33"/>
        </w:rPr>
      </w:pPr>
      <w:r>
        <w:rPr>
          <w:rFonts w:hint="eastAsia" w:ascii="方正楷体_GBK" w:hAnsi="方正楷体_GBK" w:eastAsia="方正楷体_GBK" w:cs="方正楷体_GBK"/>
          <w:snapToGrid w:val="0"/>
          <w:kern w:val="0"/>
          <w:sz w:val="32"/>
          <w:szCs w:val="32"/>
        </w:rPr>
        <w:t>（二）工作任务推进情况。</w:t>
      </w:r>
    </w:p>
    <w:p w14:paraId="57F61ED8">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1.思想上高度重视。一是提高认识。加强干部职工教育培训，让每一个职工认识到法治政府既是一个</w:t>
      </w:r>
      <w:r>
        <w:rPr>
          <w:rFonts w:hint="eastAsia" w:eastAsia="方正仿宋_GBK"/>
          <w:sz w:val="32"/>
          <w:szCs w:val="32"/>
        </w:rPr>
        <w:t>遵</w:t>
      </w:r>
      <w:r>
        <w:rPr>
          <w:rFonts w:eastAsia="方正仿宋_GBK"/>
          <w:sz w:val="32"/>
          <w:szCs w:val="32"/>
        </w:rPr>
        <w:t>法守法的政府，更是一个有为的政府。二是抓住关键。领导干部是推进法治建设的关键。要求各班子成员、村支部书记不断提升学法、守法、用法能力，在工作实践中发挥好示范表率作用，带头运用法治思维思考处理问题，以自身实际行动维护推进法治建设。三是完善规则。坚持法定职责必须为、法无授权不可为，推进机构、职能、权限、程序、责任法定化。四是健全体系。加强政府内部的制约和监督，以法律的有效实施为目标，努力实现执法监督从个案监督到体系监督的转变。五是加强队伍建设。建设一支既具有政治视野、又精通法律知识，既能坚持政治原则、又能捍卫法治精神的政府法制工作队伍。</w:t>
      </w:r>
    </w:p>
    <w:p w14:paraId="7B24E481">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 xml:space="preserve">2.落实行政执法三项制度。一是已建立行政执法公示制度，执法全过程记录制度，重大执法决定法制审核制度，制定和完善行政执法程序规定，建立重大执法行为目录清单，动态调整行政处罚裁量标准，规范行政执法文书，各行政村建立了相对集中的党务、事务公开栏，进一步扩大了公开范围，丰富了公开内容，广泛接受群众监督，提高政务公开的透明度。二是继续推进行政复议规范化、信息化、专业化建设，完善相关行政复议制度规范，加快推进行政复议对外智能化和听证审理数字化，加强行政复议专业培训力度，积极参与规范化建设示范单位创建活动。三是探索推进复调对接，构建人民调解、行政复议、行政诉讼良性互动、有序衔接的工作制度。      </w:t>
      </w:r>
    </w:p>
    <w:p w14:paraId="0D0794A0">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3.全面履行政府职能。</w:t>
      </w:r>
    </w:p>
    <w:p w14:paraId="39EEAB9C">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 xml:space="preserve">（1）深化 </w:t>
      </w:r>
      <w:r>
        <w:rPr>
          <w:rFonts w:hint="eastAsia" w:eastAsia="方正仿宋_GBK"/>
          <w:sz w:val="32"/>
          <w:szCs w:val="32"/>
          <w:lang w:eastAsia="zh-CN"/>
        </w:rPr>
        <w:t>“</w:t>
      </w:r>
      <w:r>
        <w:rPr>
          <w:rFonts w:eastAsia="方正仿宋_GBK"/>
          <w:sz w:val="32"/>
          <w:szCs w:val="32"/>
        </w:rPr>
        <w:t>放管服</w:t>
      </w:r>
      <w:r>
        <w:rPr>
          <w:rFonts w:hint="eastAsia" w:eastAsia="方正仿宋_GBK"/>
          <w:sz w:val="32"/>
          <w:szCs w:val="32"/>
          <w:lang w:eastAsia="zh-CN"/>
        </w:rPr>
        <w:t>”</w:t>
      </w:r>
      <w:r>
        <w:rPr>
          <w:rFonts w:eastAsia="方正仿宋_GBK"/>
          <w:sz w:val="32"/>
          <w:szCs w:val="32"/>
        </w:rPr>
        <w:t xml:space="preserve"> 改革，大力推行 </w:t>
      </w:r>
      <w:r>
        <w:rPr>
          <w:rFonts w:hint="eastAsia" w:eastAsia="方正仿宋_GBK"/>
          <w:sz w:val="32"/>
          <w:szCs w:val="32"/>
          <w:lang w:eastAsia="zh-CN"/>
        </w:rPr>
        <w:t>“</w:t>
      </w:r>
      <w:r>
        <w:rPr>
          <w:rFonts w:eastAsia="方正仿宋_GBK"/>
          <w:sz w:val="32"/>
          <w:szCs w:val="32"/>
        </w:rPr>
        <w:t>一网通办</w:t>
      </w:r>
      <w:r>
        <w:rPr>
          <w:rFonts w:hint="eastAsia" w:eastAsia="方正仿宋_GBK"/>
          <w:sz w:val="32"/>
          <w:szCs w:val="32"/>
          <w:lang w:eastAsia="zh-CN"/>
        </w:rPr>
        <w:t>”“</w:t>
      </w:r>
      <w:r>
        <w:rPr>
          <w:rFonts w:eastAsia="方正仿宋_GBK"/>
          <w:sz w:val="32"/>
          <w:szCs w:val="32"/>
        </w:rPr>
        <w:t>最多跑一次</w:t>
      </w:r>
      <w:r>
        <w:rPr>
          <w:rFonts w:hint="eastAsia" w:eastAsia="方正仿宋_GBK"/>
          <w:sz w:val="32"/>
          <w:szCs w:val="32"/>
          <w:lang w:eastAsia="zh-CN"/>
        </w:rPr>
        <w:t>”</w:t>
      </w:r>
      <w:r>
        <w:rPr>
          <w:rFonts w:eastAsia="方正仿宋_GBK"/>
          <w:sz w:val="32"/>
          <w:szCs w:val="32"/>
        </w:rPr>
        <w:t xml:space="preserve"> 等政务服务模式，简化办事流程，提高政务服务效率。持续开展</w:t>
      </w:r>
      <w:r>
        <w:rPr>
          <w:rFonts w:hint="eastAsia" w:eastAsia="方正仿宋_GBK"/>
          <w:sz w:val="32"/>
          <w:szCs w:val="32"/>
          <w:lang w:eastAsia="zh-CN"/>
        </w:rPr>
        <w:t>“</w:t>
      </w:r>
      <w:r>
        <w:rPr>
          <w:rFonts w:eastAsia="方正仿宋_GBK"/>
          <w:sz w:val="32"/>
          <w:szCs w:val="32"/>
        </w:rPr>
        <w:t>减证便民</w:t>
      </w:r>
      <w:r>
        <w:rPr>
          <w:rFonts w:hint="eastAsia" w:eastAsia="方正仿宋_GBK"/>
          <w:sz w:val="32"/>
          <w:szCs w:val="32"/>
          <w:lang w:eastAsia="zh-CN"/>
        </w:rPr>
        <w:t>”</w:t>
      </w:r>
      <w:r>
        <w:rPr>
          <w:rFonts w:eastAsia="方正仿宋_GBK"/>
          <w:sz w:val="32"/>
          <w:szCs w:val="32"/>
        </w:rPr>
        <w:t>行动，推行证明事项告知承诺制，实现一批高频民生事项</w:t>
      </w:r>
      <w:r>
        <w:rPr>
          <w:rFonts w:hint="eastAsia" w:eastAsia="方正仿宋_GBK"/>
          <w:sz w:val="32"/>
          <w:szCs w:val="32"/>
          <w:lang w:eastAsia="zh-CN"/>
        </w:rPr>
        <w:t>“</w:t>
      </w:r>
      <w:r>
        <w:rPr>
          <w:rFonts w:eastAsia="方正仿宋_GBK"/>
          <w:sz w:val="32"/>
          <w:szCs w:val="32"/>
        </w:rPr>
        <w:t>零材料办理</w:t>
      </w:r>
      <w:r>
        <w:rPr>
          <w:rFonts w:hint="eastAsia" w:eastAsia="方正仿宋_GBK"/>
          <w:sz w:val="32"/>
          <w:szCs w:val="32"/>
          <w:lang w:eastAsia="zh-CN"/>
        </w:rPr>
        <w:t>”</w:t>
      </w:r>
      <w:r>
        <w:rPr>
          <w:rFonts w:eastAsia="方正仿宋_GBK"/>
          <w:sz w:val="32"/>
          <w:szCs w:val="32"/>
        </w:rPr>
        <w:t>，在办事服务大厅张贴办事指南，安排1名工作人员进行现场指导服务。</w:t>
      </w:r>
    </w:p>
    <w:p w14:paraId="3D0E422E">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（2）全力推进</w:t>
      </w:r>
      <w:r>
        <w:rPr>
          <w:rFonts w:hint="eastAsia" w:eastAsia="方正仿宋_GBK"/>
          <w:sz w:val="32"/>
          <w:szCs w:val="32"/>
          <w:lang w:eastAsia="zh-CN"/>
        </w:rPr>
        <w:t>“</w:t>
      </w:r>
      <w:r>
        <w:rPr>
          <w:rFonts w:eastAsia="方正仿宋_GBK"/>
          <w:sz w:val="32"/>
          <w:szCs w:val="32"/>
        </w:rPr>
        <w:t>枫桥经验</w:t>
      </w:r>
      <w:r>
        <w:rPr>
          <w:rFonts w:hint="eastAsia" w:eastAsia="方正仿宋_GBK"/>
          <w:sz w:val="32"/>
          <w:szCs w:val="32"/>
          <w:lang w:eastAsia="zh-CN"/>
        </w:rPr>
        <w:t>”</w:t>
      </w:r>
      <w:r>
        <w:rPr>
          <w:rFonts w:eastAsia="方正仿宋_GBK"/>
          <w:sz w:val="32"/>
          <w:szCs w:val="32"/>
        </w:rPr>
        <w:t>创新治理，化解矛盾纠纷。深化推广</w:t>
      </w:r>
      <w:r>
        <w:rPr>
          <w:rFonts w:hint="eastAsia" w:eastAsia="方正仿宋_GBK"/>
          <w:sz w:val="32"/>
          <w:szCs w:val="32"/>
          <w:lang w:eastAsia="zh-CN"/>
        </w:rPr>
        <w:t>“</w:t>
      </w:r>
      <w:r>
        <w:rPr>
          <w:rFonts w:eastAsia="方正仿宋_GBK"/>
          <w:sz w:val="32"/>
          <w:szCs w:val="32"/>
        </w:rPr>
        <w:t>枫桥经验</w:t>
      </w:r>
      <w:r>
        <w:rPr>
          <w:rFonts w:hint="eastAsia" w:eastAsia="方正仿宋_GBK"/>
          <w:sz w:val="32"/>
          <w:szCs w:val="32"/>
          <w:lang w:eastAsia="zh-CN"/>
        </w:rPr>
        <w:t>”</w:t>
      </w:r>
      <w:r>
        <w:rPr>
          <w:rFonts w:eastAsia="方正仿宋_GBK"/>
          <w:sz w:val="32"/>
          <w:szCs w:val="32"/>
        </w:rPr>
        <w:t>重庆实践十项行动，明确职责，完善信访制度，设置10个贵和工作室，总结推广</w:t>
      </w:r>
      <w:r>
        <w:rPr>
          <w:rFonts w:hint="eastAsia" w:eastAsia="方正仿宋_GBK"/>
          <w:sz w:val="32"/>
          <w:szCs w:val="32"/>
          <w:lang w:eastAsia="zh-CN"/>
        </w:rPr>
        <w:t>“</w:t>
      </w:r>
      <w:r>
        <w:rPr>
          <w:rFonts w:eastAsia="方正仿宋_GBK"/>
          <w:sz w:val="32"/>
          <w:szCs w:val="32"/>
        </w:rPr>
        <w:t>贵和工作法</w:t>
      </w:r>
      <w:r>
        <w:rPr>
          <w:rFonts w:hint="eastAsia" w:eastAsia="方正仿宋_GBK"/>
          <w:sz w:val="32"/>
          <w:szCs w:val="32"/>
          <w:lang w:eastAsia="zh-CN"/>
        </w:rPr>
        <w:t>”</w:t>
      </w:r>
      <w:r>
        <w:rPr>
          <w:rFonts w:eastAsia="方正仿宋_GBK"/>
          <w:sz w:val="32"/>
          <w:szCs w:val="32"/>
        </w:rPr>
        <w:t>等经验，时时进行信息收集，定期</w:t>
      </w:r>
      <w:r>
        <w:rPr>
          <w:rFonts w:hint="eastAsia" w:eastAsia="方正仿宋_GBK"/>
          <w:sz w:val="32"/>
          <w:szCs w:val="32"/>
        </w:rPr>
        <w:t>对</w:t>
      </w:r>
      <w:r>
        <w:rPr>
          <w:rFonts w:eastAsia="方正仿宋_GBK"/>
          <w:sz w:val="32"/>
          <w:szCs w:val="32"/>
        </w:rPr>
        <w:t>矛盾纠纷信访问题进行收集汇总，每月在乡党委会进行风险研判及化解处置。健全矛盾纠纷多元预防调处化解机制，完善立体化、信息化社会治安防控体系。推进社会治理现代化，拓展群众参与基层社会治理制度化渠道，深化</w:t>
      </w:r>
      <w:r>
        <w:rPr>
          <w:rFonts w:hint="eastAsia" w:eastAsia="方正仿宋_GBK"/>
          <w:sz w:val="32"/>
          <w:szCs w:val="32"/>
          <w:lang w:eastAsia="zh-CN"/>
        </w:rPr>
        <w:t>“</w:t>
      </w:r>
      <w:r>
        <w:rPr>
          <w:rFonts w:eastAsia="方正仿宋_GBK"/>
          <w:sz w:val="32"/>
          <w:szCs w:val="32"/>
        </w:rPr>
        <w:t>三社联动</w:t>
      </w:r>
      <w:r>
        <w:rPr>
          <w:rFonts w:hint="eastAsia" w:eastAsia="方正仿宋_GBK"/>
          <w:sz w:val="32"/>
          <w:szCs w:val="32"/>
          <w:lang w:eastAsia="zh-CN"/>
        </w:rPr>
        <w:t>”</w:t>
      </w:r>
      <w:r>
        <w:rPr>
          <w:rFonts w:eastAsia="方正仿宋_GBK"/>
          <w:sz w:val="32"/>
          <w:szCs w:val="32"/>
        </w:rPr>
        <w:t>实践，健全党组织领导的自治、法治、德治相结合的城乡基层治理体系，全力推进法治乡村建设，实施农村</w:t>
      </w:r>
      <w:r>
        <w:rPr>
          <w:rFonts w:hint="eastAsia" w:eastAsia="方正仿宋_GBK"/>
          <w:sz w:val="32"/>
          <w:szCs w:val="32"/>
          <w:lang w:eastAsia="zh-CN"/>
        </w:rPr>
        <w:t>“</w:t>
      </w:r>
      <w:r>
        <w:rPr>
          <w:rFonts w:eastAsia="方正仿宋_GBK"/>
          <w:sz w:val="32"/>
          <w:szCs w:val="32"/>
        </w:rPr>
        <w:t>法律明白人</w:t>
      </w:r>
      <w:r>
        <w:rPr>
          <w:rFonts w:hint="eastAsia" w:eastAsia="方正仿宋_GBK"/>
          <w:sz w:val="32"/>
          <w:szCs w:val="32"/>
          <w:lang w:eastAsia="zh-CN"/>
        </w:rPr>
        <w:t>”</w:t>
      </w:r>
      <w:r>
        <w:rPr>
          <w:rFonts w:eastAsia="方正仿宋_GBK"/>
          <w:sz w:val="32"/>
          <w:szCs w:val="32"/>
        </w:rPr>
        <w:t>培养工程，支持乡村法律顾问参与行政事务工作。</w:t>
      </w:r>
    </w:p>
    <w:p w14:paraId="238689EB">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3）完善法律顾问决策机制。建立依法决策工作机制，健全完善政府重大决策出台前向本级人大报告制度。乡上聘请1名专业律师为法律顾问，辖区10个村完善法律顾问推行公职律师制度，充分发挥法律顾问、公职律师在依法决策、依法办事中的作用。推行文化教育、医疗卫生、资源开发、生态环境保护、公用事业等重大民生决策事项民意调查制度。探索制定行政决策执行纠偏制度，完善重大行政决策后评估工作机制。</w:t>
      </w:r>
    </w:p>
    <w:p w14:paraId="00016916">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4）规范文件管理。严格执行规范性文件合法性审查、集体讨论决定、向社会公布等制度，确保规范性文件的合法性、合理性和可操作性。建立规范性文件定期清理制度，对不符合法律法规和经济社会发展要求的规范性文件及时进行清理和修订。全面开展重点领域行政规范性文件清理工作，根据县委、县政府要求，做好政府职能转变和</w:t>
      </w:r>
      <w:r>
        <w:rPr>
          <w:rFonts w:hint="eastAsia" w:eastAsia="方正仿宋_GBK"/>
          <w:sz w:val="32"/>
          <w:szCs w:val="32"/>
          <w:lang w:eastAsia="zh-CN"/>
        </w:rPr>
        <w:t>“</w:t>
      </w:r>
      <w:r>
        <w:rPr>
          <w:rFonts w:eastAsia="方正仿宋_GBK"/>
          <w:sz w:val="32"/>
          <w:szCs w:val="32"/>
        </w:rPr>
        <w:t>放管服</w:t>
      </w:r>
      <w:r>
        <w:rPr>
          <w:rFonts w:hint="eastAsia" w:eastAsia="方正仿宋_GBK"/>
          <w:sz w:val="32"/>
          <w:szCs w:val="32"/>
          <w:lang w:eastAsia="zh-CN"/>
        </w:rPr>
        <w:t>”</w:t>
      </w:r>
      <w:r>
        <w:rPr>
          <w:rFonts w:eastAsia="方正仿宋_GBK"/>
          <w:sz w:val="32"/>
          <w:szCs w:val="32"/>
        </w:rPr>
        <w:t>改革有关行政规范性文件清理工作。</w:t>
      </w:r>
      <w:r>
        <w:rPr>
          <w:rFonts w:eastAsia="方正仿宋_GBK"/>
          <w:snapToGrid w:val="0"/>
          <w:sz w:val="32"/>
          <w:szCs w:val="32"/>
        </w:rPr>
        <w:t>2024年共计发文4</w:t>
      </w:r>
      <w:r>
        <w:rPr>
          <w:rFonts w:eastAsia="方正仿宋_GBK"/>
          <w:sz w:val="32"/>
          <w:szCs w:val="32"/>
        </w:rPr>
        <w:t>63件，其中</w:t>
      </w:r>
      <w:r>
        <w:rPr>
          <w:rFonts w:hint="eastAsia" w:eastAsia="方正仿宋_GBK"/>
          <w:sz w:val="32"/>
          <w:szCs w:val="32"/>
        </w:rPr>
        <w:t>委文48件，委发44</w:t>
      </w:r>
      <w:r>
        <w:rPr>
          <w:rFonts w:eastAsia="方正仿宋_GBK"/>
          <w:sz w:val="32"/>
          <w:szCs w:val="32"/>
        </w:rPr>
        <w:t>件</w:t>
      </w:r>
      <w:r>
        <w:rPr>
          <w:rFonts w:hint="eastAsia" w:eastAsia="方正仿宋_GBK"/>
          <w:sz w:val="32"/>
          <w:szCs w:val="32"/>
        </w:rPr>
        <w:t>，委函15</w:t>
      </w:r>
      <w:r>
        <w:rPr>
          <w:rFonts w:eastAsia="方正仿宋_GBK"/>
          <w:sz w:val="32"/>
          <w:szCs w:val="32"/>
        </w:rPr>
        <w:t>件</w:t>
      </w:r>
      <w:r>
        <w:rPr>
          <w:rFonts w:hint="eastAsia" w:eastAsia="方正仿宋_GBK"/>
          <w:sz w:val="32"/>
          <w:szCs w:val="32"/>
        </w:rPr>
        <w:t>，府文61</w:t>
      </w:r>
      <w:r>
        <w:rPr>
          <w:rFonts w:eastAsia="方正仿宋_GBK"/>
          <w:sz w:val="32"/>
          <w:szCs w:val="32"/>
        </w:rPr>
        <w:t>件</w:t>
      </w:r>
      <w:r>
        <w:rPr>
          <w:rFonts w:hint="eastAsia" w:eastAsia="方正仿宋_GBK"/>
          <w:sz w:val="32"/>
          <w:szCs w:val="32"/>
        </w:rPr>
        <w:t>，府函175</w:t>
      </w:r>
      <w:r>
        <w:rPr>
          <w:rFonts w:eastAsia="方正仿宋_GBK"/>
          <w:sz w:val="32"/>
          <w:szCs w:val="32"/>
        </w:rPr>
        <w:t>件</w:t>
      </w:r>
      <w:r>
        <w:rPr>
          <w:rFonts w:hint="eastAsia" w:eastAsia="方正仿宋_GBK"/>
          <w:sz w:val="32"/>
          <w:szCs w:val="32"/>
        </w:rPr>
        <w:t>，府复26</w:t>
      </w:r>
      <w:r>
        <w:rPr>
          <w:rFonts w:eastAsia="方正仿宋_GBK"/>
          <w:sz w:val="32"/>
          <w:szCs w:val="32"/>
        </w:rPr>
        <w:t>件</w:t>
      </w:r>
      <w:r>
        <w:rPr>
          <w:rFonts w:hint="eastAsia" w:eastAsia="方正仿宋_GBK"/>
          <w:sz w:val="32"/>
          <w:szCs w:val="32"/>
        </w:rPr>
        <w:t>，府发94</w:t>
      </w:r>
      <w:r>
        <w:rPr>
          <w:rFonts w:eastAsia="方正仿宋_GBK"/>
          <w:sz w:val="32"/>
          <w:szCs w:val="32"/>
        </w:rPr>
        <w:t>件</w:t>
      </w:r>
      <w:r>
        <w:rPr>
          <w:rFonts w:hint="eastAsia" w:eastAsia="方正仿宋_GBK"/>
          <w:sz w:val="32"/>
          <w:szCs w:val="32"/>
        </w:rPr>
        <w:t>，其中党内规范性文件2份，上报备案文件2份</w:t>
      </w:r>
      <w:r>
        <w:rPr>
          <w:rFonts w:hint="eastAsia" w:eastAsia="方正仿宋_GBK"/>
          <w:snapToGrid w:val="0"/>
          <w:sz w:val="32"/>
          <w:szCs w:val="32"/>
        </w:rPr>
        <w:t>。</w:t>
      </w:r>
      <w:r>
        <w:rPr>
          <w:rFonts w:eastAsia="方正仿宋_GBK"/>
          <w:sz w:val="32"/>
          <w:szCs w:val="32"/>
        </w:rPr>
        <w:t>同时，深入贯彻落实《重庆市行政规范性文件管理办法》，按照县政府办公室《关于做好2023年石柱县人民政府行政规范性文件立项计划有关工作的通知》（石柱府办发〔2023〕26号）要求，健全行政规范性文件合法性审核机制，深入开展评估和监督检查，确保合法性审核率达到100%</w:t>
      </w:r>
      <w:r>
        <w:rPr>
          <w:rFonts w:hint="eastAsia" w:eastAsia="方正仿宋_GBK"/>
          <w:sz w:val="32"/>
          <w:szCs w:val="32"/>
        </w:rPr>
        <w:t>。</w:t>
      </w:r>
    </w:p>
    <w:p w14:paraId="2D3D775D">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（5）</w:t>
      </w:r>
      <w:r>
        <w:rPr>
          <w:rFonts w:eastAsia="方正仿宋_GBK"/>
          <w:bCs/>
          <w:sz w:val="32"/>
          <w:szCs w:val="32"/>
        </w:rPr>
        <w:t>推进综合执法改革</w:t>
      </w:r>
      <w:r>
        <w:rPr>
          <w:rFonts w:eastAsia="方正仿宋_GBK"/>
          <w:sz w:val="32"/>
          <w:szCs w:val="32"/>
        </w:rPr>
        <w:t>。进一步规范行政执法裁量基准，加强执法证件和执法人员管理。2名以上规范化着装、亮证执法，全面落实市场监管、生态环境保护、交通运输、文化市场、农业、规划和自然资源、城市管理和卫生健康八大领域综合行政执法工作。</w:t>
      </w:r>
      <w:r>
        <w:rPr>
          <w:rFonts w:hint="eastAsia" w:eastAsia="方正仿宋_GBK"/>
          <w:sz w:val="32"/>
          <w:szCs w:val="32"/>
        </w:rPr>
        <w:t>运用</w:t>
      </w:r>
      <w:r>
        <w:rPr>
          <w:rFonts w:hint="eastAsia" w:eastAsia="方正仿宋_GBK"/>
          <w:sz w:val="32"/>
          <w:szCs w:val="32"/>
          <w:lang w:eastAsia="zh-CN"/>
        </w:rPr>
        <w:t>“</w:t>
      </w:r>
      <w:r>
        <w:rPr>
          <w:rFonts w:hint="eastAsia" w:eastAsia="方正仿宋_GBK"/>
          <w:sz w:val="32"/>
          <w:szCs w:val="32"/>
        </w:rPr>
        <w:t>综合查一次</w:t>
      </w:r>
      <w:r>
        <w:rPr>
          <w:rFonts w:hint="eastAsia" w:eastAsia="方正仿宋_GBK"/>
          <w:sz w:val="32"/>
          <w:szCs w:val="32"/>
          <w:lang w:eastAsia="zh-CN"/>
        </w:rPr>
        <w:t>”</w:t>
      </w:r>
      <w:r>
        <w:rPr>
          <w:rFonts w:hint="eastAsia" w:eastAsia="方正仿宋_GBK"/>
          <w:sz w:val="32"/>
          <w:szCs w:val="32"/>
        </w:rPr>
        <w:t>组团式执法，实现</w:t>
      </w:r>
      <w:r>
        <w:rPr>
          <w:rFonts w:hint="eastAsia" w:eastAsia="方正仿宋_GBK"/>
          <w:sz w:val="32"/>
          <w:szCs w:val="32"/>
          <w:lang w:eastAsia="zh-CN"/>
        </w:rPr>
        <w:t>“</w:t>
      </w:r>
      <w:r>
        <w:rPr>
          <w:rFonts w:hint="eastAsia" w:eastAsia="方正仿宋_GBK"/>
          <w:sz w:val="32"/>
          <w:szCs w:val="32"/>
        </w:rPr>
        <w:t>进一次门、查多项事、一次到位</w:t>
      </w:r>
      <w:r>
        <w:rPr>
          <w:rFonts w:hint="eastAsia" w:eastAsia="方正仿宋_GBK"/>
          <w:sz w:val="32"/>
          <w:szCs w:val="32"/>
          <w:lang w:eastAsia="zh-CN"/>
        </w:rPr>
        <w:t>”</w:t>
      </w:r>
      <w:r>
        <w:rPr>
          <w:rFonts w:hint="eastAsia" w:eastAsia="方正仿宋_GBK"/>
          <w:sz w:val="32"/>
          <w:szCs w:val="32"/>
        </w:rPr>
        <w:t>。</w:t>
      </w:r>
      <w:r>
        <w:rPr>
          <w:rFonts w:eastAsia="方正仿宋_GBK"/>
          <w:sz w:val="32"/>
          <w:szCs w:val="32"/>
        </w:rPr>
        <w:t>2024年</w:t>
      </w:r>
      <w:r>
        <w:rPr>
          <w:rFonts w:hint="eastAsia" w:eastAsia="方正仿宋_GBK"/>
          <w:sz w:val="32"/>
          <w:szCs w:val="32"/>
        </w:rPr>
        <w:t>共出具检查记录表328余份，发现隐患65个，下达责令限期整改指令书6份，复查意见书6份，行政处罚1.08万元。</w:t>
      </w:r>
    </w:p>
    <w:p w14:paraId="562CB005">
      <w:pPr>
        <w:pStyle w:val="3"/>
        <w:keepNext w:val="0"/>
        <w:keepLines w:val="0"/>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、202</w:t>
      </w:r>
      <w:r>
        <w:rPr>
          <w:rFonts w:hint="eastAsia" w:ascii="Times New Roman" w:hAnsi="Times New Roman" w:eastAsia="方正黑体_GBK" w:cs="Times New Roman"/>
          <w:sz w:val="32"/>
          <w:szCs w:val="32"/>
          <w:lang w:val="en-US" w:eastAsia="zh-CN"/>
        </w:rPr>
        <w:t>4</w:t>
      </w:r>
      <w:r>
        <w:rPr>
          <w:rFonts w:ascii="Times New Roman" w:hAnsi="Times New Roman" w:eastAsia="方正黑体_GBK" w:cs="Times New Roman"/>
          <w:sz w:val="32"/>
          <w:szCs w:val="32"/>
        </w:rPr>
        <w:t>年党政主要负责人履行推进法治建设第一责任人职责，加强法治政府建设有关情况</w:t>
      </w:r>
    </w:p>
    <w:p w14:paraId="4FFA22B5">
      <w:pPr>
        <w:pStyle w:val="3"/>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党政主要负责人履行推进法治建设第一责任人职责规定》要求，六塘乡党政主要负责人认真履行推进法治建设第一责任人职责，带头贯彻落实党中央关于法治建设的重大决策部署，深入学习贯彻习近平法治思想，并带领班子成员和广大干部职工开展学法活动。坚持科学民主决策，严格执行重大行政决策集体讨论制度，充分发挥法律顾问、专家学者等的作用，提高决策的合法性和科学性。统筹推进严格执法，对法治建设重要工作亲自部署、重大问题亲自过问、重点环节亲自协调、重要任务亲自督办，亲自带队深入基层一线，检查指导行政执法工作，推动各项工作依法开展。</w:t>
      </w:r>
    </w:p>
    <w:p w14:paraId="680925D1">
      <w:pPr>
        <w:pStyle w:val="3"/>
        <w:keepNext w:val="0"/>
        <w:keepLines w:val="0"/>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hint="eastAsia" w:ascii="方正黑体_GBK" w:hAnsi="方正黑体_GBK" w:eastAsia="方正黑体_GBK" w:cs="方正黑体_GBK"/>
          <w:sz w:val="32"/>
          <w:szCs w:val="32"/>
        </w:rPr>
        <w:t>三、</w:t>
      </w:r>
      <w:r>
        <w:rPr>
          <w:rFonts w:ascii="Times New Roman" w:hAnsi="Times New Roman" w:eastAsia="方正黑体_GBK" w:cs="Times New Roman"/>
          <w:sz w:val="32"/>
          <w:szCs w:val="32"/>
        </w:rPr>
        <w:t>2024年推进法治政府建设存在的不足和原因</w:t>
      </w:r>
    </w:p>
    <w:p w14:paraId="5B15853F">
      <w:pPr>
        <w:pStyle w:val="3"/>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一是法治专业人才数量不足。我乡大多数干部年龄偏大，法律知识的学习不系统，法律条款、办案流程学习培训的力度不够，法治队伍人员配备薄弱。</w:t>
      </w:r>
    </w:p>
    <w:p w14:paraId="3F6E8D55">
      <w:pPr>
        <w:pStyle w:val="3"/>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二是法治宣传工作形式单一。法治宣传仍以传统的悬挂横幅、张贴标语、发放宣传资料、举办讲座等方式为主，缺乏创新性和吸引力，难以引起公众的兴趣和关注，导致宣传效果不佳。</w:t>
      </w:r>
    </w:p>
    <w:p w14:paraId="30E16167">
      <w:pPr>
        <w:pStyle w:val="3"/>
        <w:keepNext w:val="0"/>
        <w:keepLines w:val="0"/>
        <w:pageBreakBefore w:val="0"/>
        <w:kinsoku/>
        <w:wordWrap/>
        <w:overflowPunct/>
        <w:topLinePunct w:val="0"/>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Times New Roman" w:hAnsi="Times New Roman" w:eastAsia="方正黑体_GBK" w:cs="Times New Roman"/>
          <w:sz w:val="32"/>
          <w:szCs w:val="32"/>
        </w:rPr>
        <w:t>四、202</w:t>
      </w:r>
      <w:r>
        <w:rPr>
          <w:rFonts w:ascii="Times New Roman" w:hAnsi="Times New Roman" w:eastAsia="方正黑体_GBK" w:cs="Times New Roman"/>
          <w:sz w:val="32"/>
          <w:szCs w:val="32"/>
        </w:rPr>
        <w:t>5年推进法治政府建设的主要安</w:t>
      </w:r>
      <w:r>
        <w:rPr>
          <w:rFonts w:hint="eastAsia" w:ascii="方正黑体_GBK" w:hAnsi="方正黑体_GBK" w:eastAsia="方正黑体_GBK" w:cs="方正黑体_GBK"/>
          <w:sz w:val="32"/>
          <w:szCs w:val="32"/>
        </w:rPr>
        <w:t>排</w:t>
      </w:r>
    </w:p>
    <w:p w14:paraId="7E7C03E8">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2025年，我们将持续深化法治政府建设，重点抓好以下工作：</w:t>
      </w:r>
    </w:p>
    <w:p w14:paraId="00B12B17">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snapToGrid w:val="0"/>
          <w:kern w:val="0"/>
          <w:sz w:val="32"/>
          <w:szCs w:val="32"/>
        </w:rPr>
        <w:t>（一）</w:t>
      </w:r>
      <w:r>
        <w:rPr>
          <w:rFonts w:ascii="方正楷体_GBK" w:hAnsi="方正楷体_GBK" w:eastAsia="方正楷体_GBK" w:cs="方正楷体_GBK"/>
          <w:bCs/>
          <w:snapToGrid w:val="0"/>
          <w:kern w:val="0"/>
          <w:sz w:val="32"/>
          <w:szCs w:val="32"/>
        </w:rPr>
        <w:t>强化法治思维和依法行政</w:t>
      </w:r>
      <w:r>
        <w:rPr>
          <w:rFonts w:hint="eastAsia" w:ascii="方正楷体_GBK" w:hAnsi="方正楷体_GBK" w:eastAsia="方正楷体_GBK" w:cs="方正楷体_GBK"/>
          <w:snapToGrid w:val="0"/>
          <w:kern w:val="0"/>
          <w:sz w:val="32"/>
          <w:szCs w:val="32"/>
        </w:rPr>
        <w:t>能力。</w:t>
      </w:r>
      <w:r>
        <w:rPr>
          <w:rFonts w:ascii="方正仿宋_GBK" w:hAnsi="方正仿宋_GBK" w:eastAsia="方正仿宋_GBK" w:cs="方正仿宋_GBK"/>
          <w:color w:val="000000"/>
          <w:sz w:val="32"/>
          <w:szCs w:val="32"/>
        </w:rPr>
        <w:t>加强对政府工作人员的法治培训，提高其运用法治思维和法治方式解决问题的能力。建立健全领导干部学法用法制度，将法治教育纳入干部教育培训体系，定期</w:t>
      </w:r>
      <w:r>
        <w:rPr>
          <w:rFonts w:hint="eastAsia" w:ascii="方正仿宋_GBK" w:hAnsi="方正仿宋_GBK" w:eastAsia="方正仿宋_GBK" w:cs="方正仿宋_GBK"/>
          <w:color w:val="000000"/>
          <w:sz w:val="32"/>
          <w:szCs w:val="32"/>
        </w:rPr>
        <w:t>开展</w:t>
      </w:r>
      <w:r>
        <w:rPr>
          <w:rFonts w:ascii="方正仿宋_GBK" w:hAnsi="方正仿宋_GBK" w:eastAsia="方正仿宋_GBK" w:cs="方正仿宋_GBK"/>
          <w:color w:val="000000"/>
          <w:sz w:val="32"/>
          <w:szCs w:val="32"/>
        </w:rPr>
        <w:t>领导干部法治专题培训，不断提升领导干部的法治素养和依法行政能力</w:t>
      </w:r>
      <w:r>
        <w:rPr>
          <w:rFonts w:hint="eastAsia" w:ascii="方正仿宋_GBK" w:hAnsi="方正仿宋_GBK" w:eastAsia="方正仿宋_GBK" w:cs="方正仿宋_GBK"/>
          <w:color w:val="000000"/>
          <w:sz w:val="32"/>
          <w:szCs w:val="32"/>
        </w:rPr>
        <w:t>.</w:t>
      </w:r>
    </w:p>
    <w:p w14:paraId="0CC7A483">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方正仿宋_GBK" w:hAnsi="方正仿宋_GBK" w:eastAsia="方正仿宋_GBK" w:cs="方正仿宋_GBK"/>
          <w:color w:val="000000"/>
          <w:sz w:val="32"/>
          <w:szCs w:val="32"/>
        </w:rPr>
      </w:pPr>
      <w:r>
        <w:rPr>
          <w:rFonts w:hint="eastAsia" w:ascii="仿宋" w:hAnsi="仿宋" w:eastAsia="仿宋" w:cs="仿宋"/>
          <w:color w:val="000000"/>
          <w:sz w:val="32"/>
          <w:szCs w:val="32"/>
        </w:rPr>
        <w:t>（</w:t>
      </w:r>
      <w:r>
        <w:rPr>
          <w:rFonts w:hint="eastAsia" w:ascii="方正楷体_GBK" w:hAnsi="方正楷体_GBK" w:eastAsia="方正楷体_GBK" w:cs="方正楷体_GBK"/>
          <w:snapToGrid w:val="0"/>
          <w:kern w:val="0"/>
          <w:sz w:val="32"/>
          <w:szCs w:val="32"/>
        </w:rPr>
        <w:t>二）提升执法水平，深入推进行政执法协调监督体系建设。</w:t>
      </w:r>
      <w:r>
        <w:rPr>
          <w:rFonts w:hint="eastAsia" w:ascii="方正仿宋_GBK" w:hAnsi="方正仿宋_GBK" w:eastAsia="方正仿宋_GBK" w:cs="方正仿宋_GBK"/>
          <w:color w:val="000000"/>
          <w:sz w:val="32"/>
          <w:szCs w:val="32"/>
        </w:rPr>
        <w:t>持续抓好执法人员的教育培训，</w:t>
      </w:r>
      <w:r>
        <w:rPr>
          <w:rFonts w:ascii="方正仿宋_GBK" w:hAnsi="方正仿宋_GBK" w:eastAsia="方正仿宋_GBK" w:cs="方正仿宋_GBK"/>
          <w:color w:val="000000"/>
          <w:sz w:val="32"/>
          <w:szCs w:val="32"/>
        </w:rPr>
        <w:t>加强对行政执法行为的监督检查，</w:t>
      </w:r>
      <w:r>
        <w:rPr>
          <w:rFonts w:hint="eastAsia" w:ascii="方正仿宋_GBK" w:hAnsi="方正仿宋_GBK" w:eastAsia="方正仿宋_GBK" w:cs="方正仿宋_GBK"/>
          <w:color w:val="000000"/>
          <w:sz w:val="32"/>
          <w:szCs w:val="32"/>
        </w:rPr>
        <w:t>利用</w:t>
      </w:r>
      <w:r>
        <w:rPr>
          <w:rFonts w:ascii="方正仿宋_GBK" w:hAnsi="方正仿宋_GBK" w:eastAsia="方正仿宋_GBK" w:cs="方正仿宋_GBK"/>
          <w:color w:val="000000"/>
          <w:sz w:val="32"/>
          <w:szCs w:val="32"/>
        </w:rPr>
        <w:t>行政执法监督平台，实现对行政执法全过程的实时监督和动态管理，及时纠正违法或不当的行政执法行为。</w:t>
      </w:r>
    </w:p>
    <w:p w14:paraId="1AD04197">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color w:val="000000"/>
          <w:sz w:val="32"/>
          <w:szCs w:val="32"/>
        </w:rPr>
      </w:pPr>
      <w:r>
        <w:rPr>
          <w:rFonts w:hint="eastAsia" w:ascii="方正楷体_GBK" w:hAnsi="方正楷体_GBK" w:eastAsia="方正楷体_GBK" w:cs="方正楷体_GBK"/>
          <w:snapToGrid w:val="0"/>
          <w:kern w:val="0"/>
          <w:sz w:val="32"/>
          <w:szCs w:val="32"/>
        </w:rPr>
        <w:t>（三）加大宣传力度。</w:t>
      </w:r>
      <w:r>
        <w:rPr>
          <w:rFonts w:hint="eastAsia" w:ascii="方正仿宋_GBK" w:hAnsi="方正仿宋_GBK" w:eastAsia="方正仿宋_GBK" w:cs="方正仿宋_GBK"/>
          <w:color w:val="000000"/>
          <w:sz w:val="32"/>
          <w:szCs w:val="32"/>
        </w:rPr>
        <w:t>大力推进法治宣传</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六进</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活动，提升群众法治思想，简化宣传用语，用案例替代条例，用更生动形象的方式普及法律意识，进一步推广村居法律明白人，充分发挥法律明白人乡村普法前线作用。</w:t>
      </w:r>
      <w:r>
        <w:rPr>
          <w:rFonts w:hint="eastAsia" w:ascii="仿宋" w:hAnsi="仿宋" w:eastAsia="仿宋" w:cs="仿宋"/>
          <w:color w:val="000000"/>
          <w:sz w:val="32"/>
          <w:szCs w:val="32"/>
        </w:rPr>
        <w:t xml:space="preserve">                     </w:t>
      </w:r>
    </w:p>
    <w:p w14:paraId="0C628D02">
      <w:pPr>
        <w:pStyle w:val="2"/>
        <w:keepNext w:val="0"/>
        <w:keepLines w:val="0"/>
        <w:pageBreakBefore w:val="0"/>
        <w:kinsoku/>
        <w:wordWrap/>
        <w:overflowPunct/>
        <w:topLinePunct w:val="0"/>
        <w:autoSpaceDN/>
        <w:bidi w:val="0"/>
        <w:adjustRightInd/>
        <w:snapToGrid/>
        <w:spacing w:line="560" w:lineRule="exact"/>
        <w:textAlignment w:val="auto"/>
        <w:rPr>
          <w:rFonts w:ascii="仿宋" w:hAnsi="仿宋" w:eastAsia="仿宋" w:cs="仿宋"/>
          <w:color w:val="000000"/>
          <w:sz w:val="32"/>
          <w:szCs w:val="32"/>
        </w:rPr>
      </w:pPr>
    </w:p>
    <w:p w14:paraId="781112E0">
      <w:pPr>
        <w:pStyle w:val="3"/>
      </w:pPr>
    </w:p>
    <w:p w14:paraId="5AD234AC">
      <w:pPr>
        <w:pStyle w:val="2"/>
        <w:keepNext w:val="0"/>
        <w:keepLines w:val="0"/>
        <w:pageBreakBefore w:val="0"/>
        <w:kinsoku/>
        <w:wordWrap/>
        <w:overflowPunct/>
        <w:topLinePunct w:val="0"/>
        <w:autoSpaceDN/>
        <w:bidi w:val="0"/>
        <w:adjustRightInd/>
        <w:snapToGrid/>
        <w:spacing w:line="560" w:lineRule="exact"/>
        <w:ind w:firstLine="6080" w:firstLineChars="1900"/>
        <w:textAlignment w:val="auto"/>
        <w:rPr>
          <w:rFonts w:eastAsia="方正仿宋_GBK"/>
          <w:color w:val="000000"/>
          <w:sz w:val="32"/>
          <w:szCs w:val="32"/>
        </w:rPr>
      </w:pPr>
      <w:r>
        <w:rPr>
          <w:rFonts w:eastAsia="方正仿宋_GBK"/>
          <w:color w:val="000000"/>
          <w:sz w:val="32"/>
          <w:szCs w:val="32"/>
        </w:rPr>
        <w:t xml:space="preserve">六塘乡人民政府    </w:t>
      </w:r>
    </w:p>
    <w:p w14:paraId="5D0E5E83">
      <w:pPr>
        <w:pStyle w:val="2"/>
        <w:keepNext w:val="0"/>
        <w:keepLines w:val="0"/>
        <w:pageBreakBefore w:val="0"/>
        <w:kinsoku/>
        <w:wordWrap/>
        <w:overflowPunct/>
        <w:topLinePunct w:val="0"/>
        <w:autoSpaceDN/>
        <w:bidi w:val="0"/>
        <w:adjustRightInd/>
        <w:snapToGrid/>
        <w:spacing w:line="560" w:lineRule="exact"/>
        <w:textAlignment w:val="auto"/>
        <w:rPr>
          <w:rFonts w:eastAsia="方正仿宋_GBK"/>
          <w:color w:val="000000"/>
          <w:sz w:val="32"/>
          <w:szCs w:val="32"/>
        </w:rPr>
      </w:pPr>
      <w:r>
        <w:rPr>
          <w:rFonts w:eastAsia="方正仿宋_GBK"/>
          <w:color w:val="000000"/>
          <w:sz w:val="32"/>
          <w:szCs w:val="32"/>
        </w:rPr>
        <w:t xml:space="preserve">                                     2024年12月1</w:t>
      </w:r>
      <w:r>
        <w:rPr>
          <w:rFonts w:hint="eastAsia" w:eastAsia="方正仿宋_GBK"/>
          <w:color w:val="000000"/>
          <w:sz w:val="32"/>
          <w:szCs w:val="32"/>
          <w:lang w:val="en-US" w:eastAsia="zh-CN"/>
        </w:rPr>
        <w:t>9</w:t>
      </w:r>
      <w:r>
        <w:rPr>
          <w:rFonts w:eastAsia="方正仿宋_GBK"/>
          <w:color w:val="000000"/>
          <w:sz w:val="32"/>
          <w:szCs w:val="32"/>
        </w:rPr>
        <w:t>日</w:t>
      </w:r>
    </w:p>
    <w:p w14:paraId="0D1DB84C">
      <w:pPr>
        <w:tabs>
          <w:tab w:val="left" w:pos="1725"/>
        </w:tabs>
        <w:bidi w:val="0"/>
        <w:jc w:val="left"/>
        <w:rPr>
          <w:rFonts w:hint="eastAsia"/>
          <w:lang w:val="en-US" w:eastAsia="zh-CN"/>
        </w:rPr>
      </w:pPr>
      <w:bookmarkStart w:id="0" w:name="_GoBack"/>
      <w:bookmarkEnd w:id="0"/>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wiss"/>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汉仪君黑-35简">
    <w:altName w:val="黑体"/>
    <w:panose1 w:val="020B0604020202020204"/>
    <w:charset w:val="86"/>
    <w:family w:val="auto"/>
    <w:pitch w:val="default"/>
    <w:sig w:usb0="00000000" w:usb1="00000000" w:usb2="00000016" w:usb3="00000000" w:csb0="2004000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28461">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3721E">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s5tb9YAAAAI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p w14:paraId="4683721E">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OTkxZTRhZmRhNjI3ZDA1OWZhY2Y3NDUxMzlhZGMifQ=="/>
  </w:docVars>
  <w:rsids>
    <w:rsidRoot w:val="509E4EC0"/>
    <w:rsid w:val="00042832"/>
    <w:rsid w:val="001D27EB"/>
    <w:rsid w:val="00302246"/>
    <w:rsid w:val="003D0BDD"/>
    <w:rsid w:val="00416BB7"/>
    <w:rsid w:val="00437588"/>
    <w:rsid w:val="00751B88"/>
    <w:rsid w:val="009C5BCB"/>
    <w:rsid w:val="00A562F1"/>
    <w:rsid w:val="00AC5E97"/>
    <w:rsid w:val="00CE7210"/>
    <w:rsid w:val="00E05F16"/>
    <w:rsid w:val="061E65E2"/>
    <w:rsid w:val="0AF85654"/>
    <w:rsid w:val="0CEA4179"/>
    <w:rsid w:val="0ECB5E95"/>
    <w:rsid w:val="14D8622D"/>
    <w:rsid w:val="15475B55"/>
    <w:rsid w:val="1BA34302"/>
    <w:rsid w:val="1D9F5725"/>
    <w:rsid w:val="260809E9"/>
    <w:rsid w:val="2A4E4E38"/>
    <w:rsid w:val="2B1B5263"/>
    <w:rsid w:val="2B742CD9"/>
    <w:rsid w:val="2E610457"/>
    <w:rsid w:val="322F554F"/>
    <w:rsid w:val="335D1C8B"/>
    <w:rsid w:val="34483B51"/>
    <w:rsid w:val="39E471AD"/>
    <w:rsid w:val="438356FB"/>
    <w:rsid w:val="4E451F2B"/>
    <w:rsid w:val="4F310701"/>
    <w:rsid w:val="509E4EC0"/>
    <w:rsid w:val="518C7E71"/>
    <w:rsid w:val="55D65B5E"/>
    <w:rsid w:val="56562179"/>
    <w:rsid w:val="580A71A2"/>
    <w:rsid w:val="581939E9"/>
    <w:rsid w:val="59C97EB4"/>
    <w:rsid w:val="5A13112F"/>
    <w:rsid w:val="5CC54639"/>
    <w:rsid w:val="5EA93E10"/>
    <w:rsid w:val="607F5DF8"/>
    <w:rsid w:val="60A24FBB"/>
    <w:rsid w:val="61587D6F"/>
    <w:rsid w:val="63FC0CE2"/>
    <w:rsid w:val="66D95842"/>
    <w:rsid w:val="6879421B"/>
    <w:rsid w:val="70765B1C"/>
    <w:rsid w:val="745919DD"/>
    <w:rsid w:val="77A16151"/>
    <w:rsid w:val="7EEE2F12"/>
    <w:rsid w:val="7FC51D4D"/>
    <w:rsid w:val="A69E5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adjustRightInd w:val="0"/>
      <w:spacing w:line="590" w:lineRule="exact"/>
      <w:jc w:val="center"/>
      <w:outlineLvl w:val="0"/>
    </w:pPr>
    <w:rPr>
      <w:rFonts w:eastAsia="方正小标宋_GBK"/>
      <w:kern w:val="44"/>
      <w:sz w:val="44"/>
    </w:rPr>
  </w:style>
  <w:style w:type="paragraph" w:styleId="5">
    <w:name w:val="heading 4"/>
    <w:basedOn w:val="1"/>
    <w:next w:val="1"/>
    <w:link w:val="1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Cs w:val="24"/>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6">
    <w:name w:val="Plain Text"/>
    <w:basedOn w:val="1"/>
    <w:qFormat/>
    <w:uiPriority w:val="0"/>
    <w:rPr>
      <w:rFonts w:ascii="宋体" w:hAnsi="Courier New" w:cs="Courier New"/>
      <w:szCs w:val="21"/>
    </w:rPr>
  </w:style>
  <w:style w:type="paragraph" w:styleId="7">
    <w:name w:val="footer"/>
    <w:basedOn w:val="1"/>
    <w:next w:val="1"/>
    <w:unhideWhenUsed/>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10"/>
    <w:pPr>
      <w:jc w:val="center"/>
      <w:outlineLvl w:val="0"/>
    </w:pPr>
    <w:rPr>
      <w:rFonts w:ascii="Arial" w:hAnsi="Arial"/>
      <w:b/>
      <w:sz w:val="32"/>
    </w:rPr>
  </w:style>
  <w:style w:type="character" w:styleId="13">
    <w:name w:val="Strong"/>
    <w:basedOn w:val="12"/>
    <w:qFormat/>
    <w:uiPriority w:val="22"/>
    <w:rPr>
      <w:b/>
      <w:bCs/>
    </w:rPr>
  </w:style>
  <w:style w:type="character" w:customStyle="1" w:styleId="14">
    <w:name w:val="标题 4 字符"/>
    <w:basedOn w:val="12"/>
    <w:link w:val="5"/>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3110</Words>
  <Characters>3197</Characters>
  <Lines>23</Lines>
  <Paragraphs>6</Paragraphs>
  <TotalTime>13</TotalTime>
  <ScaleCrop>false</ScaleCrop>
  <LinksUpToDate>false</LinksUpToDate>
  <CharactersWithSpaces>3310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2024-12-18T19:47:00Z</dcterms:created>
  <dc:creator>燕子</dc:creator>
  <cp:lastModifiedBy>Administrator</cp:lastModifiedBy>
  <cp:lastPrinted>2024-12-19T12:28:00Z</cp:lastPrinted>
  <dcterms:modified xsi:type="dcterms:W3CDTF">2024-12-26T06:24:42Z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B0D5F78575194A3C928B95E448E91E6D_11</vt:lpwstr>
  </property>
</Properties>
</file>