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rPr>
        <w:t>石柱土家族自治县冷水镇产业发展服务中心</w:t>
      </w:r>
      <w:r>
        <w:rPr>
          <w:rFonts w:hint="eastAsia" w:ascii="方正小标宋_GBK" w:hAnsi="方正小标宋_GBK" w:eastAsia="方正小标宋_GBK" w:cs="方正小标宋_GBK"/>
          <w:sz w:val="44"/>
          <w:szCs w:val="44"/>
          <w:shd w:val="clear" w:color="auto" w:fill="FFFFFF"/>
        </w:rPr>
        <w:t>202</w:t>
      </w:r>
      <w:r>
        <w:rPr>
          <w:rFonts w:hint="eastAsia" w:ascii="方正小标宋_GBK" w:hAnsi="方正小标宋_GBK" w:eastAsia="方正小标宋_GBK" w:cs="方正小标宋_GBK"/>
          <w:sz w:val="44"/>
          <w:szCs w:val="44"/>
          <w:shd w:val="clear" w:color="auto" w:fill="FFFFFF"/>
          <w:lang w:val="en-US" w:eastAsia="zh-CN"/>
        </w:rPr>
        <w:t>4</w:t>
      </w:r>
      <w:r>
        <w:rPr>
          <w:rFonts w:hint="eastAsia" w:ascii="方正小标宋_GBK" w:hAnsi="方正小标宋_GBK" w:eastAsia="方正小标宋_GBK" w:cs="方正小标宋_GBK"/>
          <w:sz w:val="44"/>
          <w:szCs w:val="44"/>
          <w:shd w:val="clear" w:color="auto" w:fill="FFFFFF"/>
        </w:rPr>
        <w:t>年度决算说明</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一、</w:t>
      </w:r>
      <w:r>
        <w:rPr>
          <w:rStyle w:val="12"/>
          <w:rFonts w:hint="eastAsia" w:ascii="方正黑体_GBK" w:hAnsi="方正黑体_GBK" w:eastAsia="方正黑体_GBK" w:cs="方正黑体_GBK"/>
          <w:b w:val="0"/>
          <w:bCs/>
          <w:sz w:val="32"/>
          <w:szCs w:val="32"/>
          <w:shd w:val="clear" w:color="auto" w:fill="FFFFFF"/>
          <w:lang w:eastAsia="zh-CN"/>
        </w:rPr>
        <w:t>单位</w:t>
      </w:r>
      <w:r>
        <w:rPr>
          <w:rStyle w:val="12"/>
          <w:rFonts w:hint="eastAsia" w:ascii="方正黑体_GBK" w:hAnsi="方正黑体_GBK" w:eastAsia="方正黑体_GBK" w:cs="方正黑体_GBK"/>
          <w:b w:val="0"/>
          <w:bCs/>
          <w:sz w:val="32"/>
          <w:szCs w:val="32"/>
          <w:shd w:val="clear" w:color="auto" w:fill="FFFFFF"/>
        </w:rPr>
        <w:t>基本情况</w:t>
      </w:r>
      <w:bookmarkStart w:id="0" w:name="_GoBack"/>
      <w:bookmarkEnd w:id="0"/>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楷体_GBK" w:hAnsi="方正楷体_GBK" w:eastAsia="方正楷体_GBK" w:cs="方正楷体_GBK"/>
          <w:b w:val="0"/>
          <w:bCs/>
          <w:sz w:val="32"/>
          <w:szCs w:val="32"/>
        </w:rPr>
      </w:pPr>
      <w:r>
        <w:rPr>
          <w:rStyle w:val="12"/>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widowControl/>
        <w:tabs>
          <w:tab w:val="left" w:pos="5340"/>
        </w:tabs>
        <w:kinsoku/>
        <w:wordWrap/>
        <w:overflowPunct/>
        <w:topLinePunct w:val="0"/>
        <w:autoSpaceDE/>
        <w:autoSpaceDN/>
        <w:bidi w:val="0"/>
        <w:adjustRightInd/>
        <w:snapToGrid/>
        <w:spacing w:line="592"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宗旨：为推进辖区产业高质量发展提供服务。</w:t>
      </w:r>
    </w:p>
    <w:p>
      <w:pPr>
        <w:keepNext w:val="0"/>
        <w:keepLines w:val="0"/>
        <w:pageBreakBefore w:val="0"/>
        <w:widowControl/>
        <w:tabs>
          <w:tab w:val="left" w:pos="5340"/>
        </w:tabs>
        <w:kinsoku/>
        <w:wordWrap/>
        <w:overflowPunct/>
        <w:topLinePunct w:val="0"/>
        <w:autoSpaceDE/>
        <w:autoSpaceDN/>
        <w:bidi w:val="0"/>
        <w:adjustRightInd/>
        <w:snapToGrid/>
        <w:spacing w:line="592"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职责：贯彻落实产业发展的方针政策。负责辖区产业结构和布局调整，编制辖区产业发展规划并组织实施。负责提出产业发展的技术措施、新技术引进及推广工作。负责产业公共信息服务和实用技术培训等工作。负责产业物资供销协调工作。负责各类产业灾害防治、疫病防控、水利工程管理的统筹协调指挥、技术指导工作。负责农技、农机、林业、水利水保、水产、畜牧兽医等方面的技术推广、信息服务工作。负责镇党委、人民政府交办的其他工作任务。</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default"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（二）机构设置</w:t>
      </w:r>
    </w:p>
    <w:p>
      <w:pPr>
        <w:keepNext w:val="0"/>
        <w:keepLines w:val="0"/>
        <w:pageBreakBefore w:val="0"/>
        <w:widowControl/>
        <w:tabs>
          <w:tab w:val="left" w:pos="5340"/>
        </w:tabs>
        <w:kinsoku/>
        <w:wordWrap/>
        <w:overflowPunct/>
        <w:topLinePunct w:val="0"/>
        <w:autoSpaceDE/>
        <w:autoSpaceDN/>
        <w:bidi w:val="0"/>
        <w:adjustRightInd/>
        <w:snapToGrid/>
        <w:spacing w:line="592"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根据上述职责，设置产业发展服务中心财政全额拨款公益一类副科级事业单位。</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default"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二、</w:t>
      </w:r>
      <w:r>
        <w:rPr>
          <w:rStyle w:val="12"/>
          <w:rFonts w:hint="eastAsia" w:ascii="方正黑体_GBK" w:hAnsi="方正黑体_GBK" w:eastAsia="方正黑体_GBK" w:cs="方正黑体_GBK"/>
          <w:b w:val="0"/>
          <w:bCs/>
          <w:sz w:val="32"/>
          <w:szCs w:val="32"/>
          <w:shd w:val="clear" w:color="auto" w:fill="FFFFFF"/>
          <w:lang w:eastAsia="zh-CN"/>
        </w:rPr>
        <w:t>单位</w:t>
      </w:r>
      <w:r>
        <w:rPr>
          <w:rStyle w:val="12"/>
          <w:rFonts w:hint="eastAsia" w:ascii="方正黑体_GBK" w:hAnsi="方正黑体_GBK" w:eastAsia="方正黑体_GBK" w:cs="方正黑体_GBK"/>
          <w:b w:val="0"/>
          <w:bCs/>
          <w:sz w:val="32"/>
          <w:szCs w:val="32"/>
          <w:shd w:val="clear" w:color="auto" w:fill="FFFFFF"/>
        </w:rPr>
        <w:t>决算</w:t>
      </w:r>
      <w:r>
        <w:rPr>
          <w:rStyle w:val="12"/>
          <w:rFonts w:hint="eastAsia" w:ascii="方正黑体_GBK" w:hAnsi="方正黑体_GBK" w:eastAsia="方正黑体_GBK" w:cs="方正黑体_GBK"/>
          <w:b w:val="0"/>
          <w:bCs/>
          <w:sz w:val="32"/>
          <w:szCs w:val="32"/>
          <w:shd w:val="clear" w:color="auto" w:fill="FFFFFF"/>
          <w:lang w:eastAsia="zh-CN"/>
        </w:rPr>
        <w:t>收支</w:t>
      </w:r>
      <w:r>
        <w:rPr>
          <w:rStyle w:val="12"/>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2024年度收</w:t>
      </w:r>
      <w:r>
        <w:rPr>
          <w:rFonts w:hint="eastAsia" w:ascii="Times New Roman" w:hAnsi="Times New Roman" w:eastAsia="方正仿宋_GBK" w:cs="Times New Roman"/>
          <w:snapToGrid w:val="0"/>
          <w:kern w:val="21"/>
          <w:sz w:val="32"/>
          <w:szCs w:val="24"/>
          <w:lang w:val="en-US" w:eastAsia="zh-CN" w:bidi="ar-SA"/>
        </w:rPr>
        <w:t>、支</w:t>
      </w:r>
      <w:r>
        <w:rPr>
          <w:rFonts w:hint="default" w:ascii="Times New Roman" w:hAnsi="Times New Roman" w:eastAsia="方正仿宋_GBK" w:cs="Times New Roman"/>
          <w:snapToGrid w:val="0"/>
          <w:kern w:val="21"/>
          <w:sz w:val="32"/>
          <w:szCs w:val="24"/>
          <w:lang w:val="en-US" w:eastAsia="zh-CN" w:bidi="ar-SA"/>
        </w:rPr>
        <w:t>总计</w:t>
      </w:r>
      <w:r>
        <w:rPr>
          <w:rFonts w:hint="eastAsia" w:ascii="Times New Roman" w:hAnsi="Times New Roman" w:eastAsia="方正仿宋_GBK" w:cs="Times New Roman"/>
          <w:snapToGrid w:val="0"/>
          <w:kern w:val="21"/>
          <w:sz w:val="32"/>
          <w:szCs w:val="24"/>
          <w:lang w:val="en-US" w:eastAsia="zh-CN" w:bidi="ar-SA"/>
        </w:rPr>
        <w:t>均为</w:t>
      </w:r>
      <w:r>
        <w:rPr>
          <w:rFonts w:hint="default" w:ascii="Times New Roman" w:hAnsi="Times New Roman" w:eastAsia="方正仿宋_GBK" w:cs="Times New Roman"/>
          <w:snapToGrid w:val="0"/>
          <w:kern w:val="21"/>
          <w:sz w:val="32"/>
          <w:szCs w:val="24"/>
          <w:lang w:val="en-US" w:eastAsia="zh-CN" w:bidi="ar-SA"/>
        </w:rPr>
        <w:t>137.10万元。收、支与2023年度相比，增加1.94万元，增长1.4%，主要原因是</w:t>
      </w:r>
      <w:r>
        <w:rPr>
          <w:rFonts w:hint="eastAsia" w:ascii="Times New Roman" w:hAnsi="Times New Roman" w:eastAsia="方正仿宋_GBK" w:cs="Times New Roman"/>
          <w:snapToGrid w:val="0"/>
          <w:kern w:val="21"/>
          <w:sz w:val="32"/>
          <w:szCs w:val="24"/>
          <w:lang w:val="en-US" w:eastAsia="zh-CN" w:bidi="ar-SA"/>
        </w:rPr>
        <w:t>人员变动，工资调标，导致总体收支增长。</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1、</w:t>
      </w:r>
      <w:r>
        <w:rPr>
          <w:rFonts w:hint="default" w:ascii="Times New Roman" w:hAnsi="Times New Roman" w:eastAsia="方正仿宋_GBK" w:cs="Times New Roman"/>
          <w:snapToGrid w:val="0"/>
          <w:kern w:val="21"/>
          <w:sz w:val="32"/>
          <w:szCs w:val="24"/>
          <w:lang w:val="en-US" w:eastAsia="zh-CN" w:bidi="ar-SA"/>
        </w:rPr>
        <w:t>收入情况。2024年度收入合计137.10万元，与2023年度相比，增加1.94万元，增长1.4%，主要原因是</w:t>
      </w:r>
      <w:r>
        <w:rPr>
          <w:rFonts w:hint="eastAsia" w:ascii="Times New Roman" w:hAnsi="Times New Roman" w:eastAsia="方正仿宋_GBK" w:cs="Times New Roman"/>
          <w:snapToGrid w:val="0"/>
          <w:kern w:val="21"/>
          <w:sz w:val="32"/>
          <w:szCs w:val="24"/>
          <w:lang w:val="en-US" w:eastAsia="zh-CN" w:bidi="ar-SA"/>
        </w:rPr>
        <w:t>人员变动，工资调标，导致收入增长。</w:t>
      </w:r>
      <w:r>
        <w:rPr>
          <w:rFonts w:hint="default" w:ascii="Times New Roman" w:hAnsi="Times New Roman" w:eastAsia="方正仿宋_GBK" w:cs="Times New Roman"/>
          <w:snapToGrid w:val="0"/>
          <w:kern w:val="21"/>
          <w:sz w:val="32"/>
          <w:szCs w:val="24"/>
          <w:lang w:val="en-US" w:eastAsia="zh-CN" w:bidi="ar-SA"/>
        </w:rPr>
        <w:t>其中：财政拨款收入137.10万元，占100.0%；事业收入0.00万元，占0.0%；经营收入0.00万元，占0.0%；其他收入0.00万元，占0.0%。此外，</w:t>
      </w:r>
      <w:r>
        <w:rPr>
          <w:rFonts w:hint="eastAsia" w:ascii="Times New Roman" w:hAnsi="Times New Roman" w:eastAsia="方正仿宋_GBK" w:cs="Times New Roman"/>
          <w:snapToGrid w:val="0"/>
          <w:kern w:val="21"/>
          <w:sz w:val="32"/>
          <w:szCs w:val="24"/>
          <w:lang w:val="en-US" w:eastAsia="zh-CN" w:bidi="ar-SA"/>
        </w:rPr>
        <w:t>使用非财政拨款结余（含专用结余）</w:t>
      </w:r>
      <w:r>
        <w:rPr>
          <w:rFonts w:hint="default" w:ascii="Times New Roman" w:hAnsi="Times New Roman" w:eastAsia="方正仿宋_GBK" w:cs="Times New Roman"/>
          <w:snapToGrid w:val="0"/>
          <w:kern w:val="21"/>
          <w:sz w:val="32"/>
          <w:szCs w:val="24"/>
          <w:lang w:val="en-US" w:eastAsia="zh-CN" w:bidi="ar-SA"/>
        </w:rPr>
        <w:t>0.00万元，年初结转和结余0.00万元。</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2、</w:t>
      </w:r>
      <w:r>
        <w:rPr>
          <w:rFonts w:hint="default" w:ascii="Times New Roman" w:hAnsi="Times New Roman" w:eastAsia="方正仿宋_GBK" w:cs="Times New Roman"/>
          <w:snapToGrid w:val="0"/>
          <w:kern w:val="21"/>
          <w:sz w:val="32"/>
          <w:szCs w:val="24"/>
          <w:lang w:val="en-US" w:eastAsia="zh-CN" w:bidi="ar-SA"/>
        </w:rPr>
        <w:t>支出情况。2024年度支出合计137.10万元，与2023年度相比，增加1.94万元，增长1.4%，主要原因是</w:t>
      </w:r>
      <w:r>
        <w:rPr>
          <w:rFonts w:hint="eastAsia" w:ascii="Times New Roman" w:hAnsi="Times New Roman" w:eastAsia="方正仿宋_GBK" w:cs="Times New Roman"/>
          <w:snapToGrid w:val="0"/>
          <w:kern w:val="21"/>
          <w:sz w:val="32"/>
          <w:szCs w:val="24"/>
          <w:lang w:val="en-US" w:eastAsia="zh-CN" w:bidi="ar-SA"/>
        </w:rPr>
        <w:t>人员变动，工资调标，导致总体支出增长。</w:t>
      </w:r>
      <w:r>
        <w:rPr>
          <w:rFonts w:hint="default" w:ascii="Times New Roman" w:hAnsi="Times New Roman" w:eastAsia="方正仿宋_GBK" w:cs="Times New Roman"/>
          <w:snapToGrid w:val="0"/>
          <w:kern w:val="21"/>
          <w:sz w:val="32"/>
          <w:szCs w:val="24"/>
          <w:lang w:val="en-US" w:eastAsia="zh-CN" w:bidi="ar-SA"/>
        </w:rPr>
        <w:t>其中：基本支出137.10万元，占100.0%；项目支出0.00万元，占0.0%；经营支出0.00万元，占0.0%。此外，结余分配0.00万元。</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3、结转结余情况。</w:t>
      </w:r>
      <w:r>
        <w:rPr>
          <w:rFonts w:hint="default" w:ascii="Times New Roman" w:hAnsi="Times New Roman" w:eastAsia="方正仿宋_GBK" w:cs="Times New Roman"/>
          <w:snapToGrid w:val="0"/>
          <w:kern w:val="21"/>
          <w:sz w:val="32"/>
          <w:szCs w:val="24"/>
          <w:lang w:val="en-US" w:eastAsia="zh-CN" w:bidi="ar-SA"/>
        </w:rPr>
        <w:t>2024</w:t>
      </w:r>
      <w:r>
        <w:rPr>
          <w:rFonts w:hint="eastAsia" w:ascii="Times New Roman" w:hAnsi="Times New Roman" w:eastAsia="方正仿宋_GBK" w:cs="Times New Roman"/>
          <w:snapToGrid w:val="0"/>
          <w:kern w:val="21"/>
          <w:sz w:val="32"/>
          <w:szCs w:val="24"/>
          <w:lang w:val="en-US" w:eastAsia="zh-CN" w:bidi="ar-SA"/>
        </w:rPr>
        <w:t>年度年末结转和结余</w:t>
      </w:r>
      <w:r>
        <w:rPr>
          <w:rFonts w:hint="default" w:ascii="Times New Roman" w:hAnsi="Times New Roman" w:eastAsia="方正仿宋_GBK" w:cs="Times New Roman"/>
          <w:snapToGrid w:val="0"/>
          <w:kern w:val="21"/>
          <w:sz w:val="32"/>
          <w:szCs w:val="24"/>
          <w:lang w:val="en-US" w:eastAsia="zh-CN" w:bidi="ar-SA"/>
        </w:rPr>
        <w:t>0.00</w:t>
      </w:r>
      <w:r>
        <w:rPr>
          <w:rFonts w:hint="eastAsia" w:ascii="Times New Roman" w:hAnsi="Times New Roman" w:eastAsia="方正仿宋_GBK" w:cs="Times New Roman"/>
          <w:snapToGrid w:val="0"/>
          <w:kern w:val="21"/>
          <w:sz w:val="32"/>
          <w:szCs w:val="24"/>
          <w:lang w:val="en-US" w:eastAsia="zh-CN" w:bidi="ar-SA"/>
        </w:rPr>
        <w:t>万元，</w:t>
      </w:r>
      <w:r>
        <w:rPr>
          <w:rFonts w:hint="default" w:ascii="Times New Roman" w:hAnsi="Times New Roman" w:eastAsia="方正仿宋_GBK" w:cs="Times New Roman"/>
          <w:snapToGrid w:val="0"/>
          <w:kern w:val="21"/>
          <w:sz w:val="32"/>
          <w:szCs w:val="24"/>
          <w:lang w:val="en-US" w:eastAsia="zh-CN" w:bidi="ar-SA"/>
        </w:rPr>
        <w:t>与2023年度相比，无增减</w:t>
      </w:r>
      <w:r>
        <w:rPr>
          <w:rFonts w:hint="eastAsia" w:ascii="Times New Roman" w:hAnsi="Times New Roman" w:eastAsia="方正仿宋_GBK" w:cs="Times New Roman"/>
          <w:snapToGrid w:val="0"/>
          <w:kern w:val="21"/>
          <w:sz w:val="32"/>
          <w:szCs w:val="24"/>
          <w:lang w:val="en-US" w:eastAsia="zh-CN" w:bidi="ar-SA"/>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（二）财政拨款收入支出决算总体情况说明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w:t>
      </w:r>
      <w:r>
        <w:rPr>
          <w:rFonts w:hint="eastAsia" w:ascii="Times New Roman" w:hAnsi="Times New Roman" w:eastAsia="方正仿宋_GBK" w:cs="Times New Roman"/>
          <w:snapToGrid w:val="0"/>
          <w:kern w:val="21"/>
          <w:sz w:val="32"/>
          <w:szCs w:val="24"/>
          <w:lang w:val="en-US" w:eastAsia="zh-CN" w:bidi="ar-SA"/>
        </w:rPr>
        <w:t>年度财政拨款收、支总计均为</w:t>
      </w:r>
      <w:r>
        <w:rPr>
          <w:rFonts w:hint="default" w:ascii="Times New Roman" w:hAnsi="Times New Roman" w:eastAsia="方正仿宋_GBK" w:cs="Times New Roman"/>
          <w:snapToGrid w:val="0"/>
          <w:kern w:val="21"/>
          <w:sz w:val="32"/>
          <w:szCs w:val="24"/>
          <w:lang w:val="en-US" w:eastAsia="zh-CN" w:bidi="ar-SA"/>
        </w:rPr>
        <w:t>137.10</w:t>
      </w:r>
      <w:r>
        <w:rPr>
          <w:rFonts w:hint="eastAsia" w:ascii="Times New Roman" w:hAnsi="Times New Roman" w:eastAsia="方正仿宋_GBK" w:cs="Times New Roman"/>
          <w:snapToGrid w:val="0"/>
          <w:kern w:val="21"/>
          <w:sz w:val="32"/>
          <w:szCs w:val="24"/>
          <w:lang w:val="en-US" w:eastAsia="zh-CN" w:bidi="ar-SA"/>
        </w:rPr>
        <w:t>万元。与</w:t>
      </w:r>
      <w:r>
        <w:rPr>
          <w:rFonts w:hint="default" w:ascii="Times New Roman" w:hAnsi="Times New Roman" w:eastAsia="方正仿宋_GBK" w:cs="Times New Roman"/>
          <w:snapToGrid w:val="0"/>
          <w:kern w:val="21"/>
          <w:sz w:val="32"/>
          <w:szCs w:val="24"/>
          <w:lang w:val="en-US" w:eastAsia="zh-CN" w:bidi="ar-SA"/>
        </w:rPr>
        <w:t>2023</w:t>
      </w:r>
      <w:r>
        <w:rPr>
          <w:rFonts w:hint="eastAsia" w:ascii="Times New Roman" w:hAnsi="Times New Roman" w:eastAsia="方正仿宋_GBK" w:cs="Times New Roman"/>
          <w:snapToGrid w:val="0"/>
          <w:kern w:val="21"/>
          <w:sz w:val="32"/>
          <w:szCs w:val="24"/>
          <w:lang w:val="en-US" w:eastAsia="zh-CN" w:bidi="ar-SA"/>
        </w:rPr>
        <w:t>年度相比，</w:t>
      </w:r>
      <w:r>
        <w:rPr>
          <w:rFonts w:hint="default" w:ascii="Times New Roman" w:hAnsi="Times New Roman" w:eastAsia="方正仿宋_GBK" w:cs="Times New Roman"/>
          <w:snapToGrid w:val="0"/>
          <w:kern w:val="21"/>
          <w:sz w:val="32"/>
          <w:szCs w:val="24"/>
          <w:lang w:val="en-US" w:eastAsia="zh-CN" w:bidi="ar-SA"/>
        </w:rPr>
        <w:t>财政拨款收、支总计各增加1.94万元，增长1.4%</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主要原因是</w:t>
      </w:r>
      <w:r>
        <w:rPr>
          <w:rFonts w:hint="eastAsia" w:ascii="Times New Roman" w:hAnsi="Times New Roman" w:eastAsia="方正仿宋_GBK" w:cs="Times New Roman"/>
          <w:snapToGrid w:val="0"/>
          <w:kern w:val="21"/>
          <w:sz w:val="32"/>
          <w:szCs w:val="24"/>
          <w:lang w:val="en-US" w:eastAsia="zh-CN" w:bidi="ar-SA"/>
        </w:rPr>
        <w:t>人员变动，工资调标，导致总体收支增长。</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1、</w:t>
      </w:r>
      <w:r>
        <w:rPr>
          <w:rFonts w:hint="default" w:ascii="Times New Roman" w:hAnsi="Times New Roman" w:eastAsia="方正仿宋_GBK" w:cs="Times New Roman"/>
          <w:snapToGrid w:val="0"/>
          <w:kern w:val="21"/>
          <w:sz w:val="32"/>
          <w:szCs w:val="24"/>
          <w:lang w:val="en-US" w:eastAsia="zh-CN" w:bidi="ar-SA"/>
        </w:rPr>
        <w:t>收入情况。2024年度一般公共预算财政拨款收入137.10万元，与2023年度相比，增加1.94万元，增长1.4%。主要原因是</w:t>
      </w:r>
      <w:r>
        <w:rPr>
          <w:rFonts w:hint="eastAsia" w:ascii="Times New Roman" w:hAnsi="Times New Roman" w:eastAsia="方正仿宋_GBK" w:cs="Times New Roman"/>
          <w:snapToGrid w:val="0"/>
          <w:kern w:val="21"/>
          <w:sz w:val="32"/>
          <w:szCs w:val="24"/>
          <w:lang w:val="en-US" w:eastAsia="zh-CN" w:bidi="ar-SA"/>
        </w:rPr>
        <w:t>人员变动，工资调标，导致收入增长。</w:t>
      </w:r>
      <w:r>
        <w:rPr>
          <w:rFonts w:hint="default" w:ascii="Times New Roman" w:hAnsi="Times New Roman" w:eastAsia="方正仿宋_GBK" w:cs="Times New Roman"/>
          <w:snapToGrid w:val="0"/>
          <w:kern w:val="21"/>
          <w:sz w:val="32"/>
          <w:szCs w:val="24"/>
          <w:lang w:val="en-US" w:eastAsia="zh-CN" w:bidi="ar-SA"/>
        </w:rPr>
        <w:t>较年初预算数增加21.92万元，增长19.0%。主要原因是</w:t>
      </w:r>
      <w:r>
        <w:rPr>
          <w:rFonts w:hint="eastAsia" w:ascii="Times New Roman" w:hAnsi="Times New Roman" w:eastAsia="方正仿宋_GBK" w:cs="Times New Roman"/>
          <w:snapToGrid w:val="0"/>
          <w:kern w:val="21"/>
          <w:sz w:val="32"/>
          <w:szCs w:val="24"/>
          <w:lang w:val="en-US" w:eastAsia="zh-CN" w:bidi="ar-SA"/>
        </w:rPr>
        <w:t>年初预算4人人员类经费，年中增加2人，人员类经费收入增加。</w:t>
      </w:r>
      <w:r>
        <w:rPr>
          <w:rFonts w:hint="default" w:ascii="Times New Roman" w:hAnsi="Times New Roman" w:eastAsia="方正仿宋_GBK" w:cs="Times New Roman"/>
          <w:snapToGrid w:val="0"/>
          <w:kern w:val="21"/>
          <w:sz w:val="32"/>
          <w:szCs w:val="24"/>
          <w:lang w:val="en-US" w:eastAsia="zh-CN" w:bidi="ar-SA"/>
        </w:rPr>
        <w:t>此外，年初财政拨款结转和结余0.00万元。</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2、</w:t>
      </w:r>
      <w:r>
        <w:rPr>
          <w:rFonts w:hint="default" w:ascii="Times New Roman" w:hAnsi="Times New Roman" w:eastAsia="方正仿宋_GBK" w:cs="Times New Roman"/>
          <w:snapToGrid w:val="0"/>
          <w:kern w:val="21"/>
          <w:sz w:val="32"/>
          <w:szCs w:val="24"/>
          <w:lang w:val="en-US" w:eastAsia="zh-CN" w:bidi="ar-SA"/>
        </w:rPr>
        <w:t>支出情况。2024年度一般公共预算财政拨款支出137.10万元，与2023年度相比，增加1.94万元，增长1.4%。主要原因是</w:t>
      </w:r>
      <w:r>
        <w:rPr>
          <w:rFonts w:hint="eastAsia" w:ascii="Times New Roman" w:hAnsi="Times New Roman" w:eastAsia="方正仿宋_GBK" w:cs="Times New Roman"/>
          <w:snapToGrid w:val="0"/>
          <w:kern w:val="21"/>
          <w:sz w:val="32"/>
          <w:szCs w:val="24"/>
          <w:lang w:val="en-US" w:eastAsia="zh-CN" w:bidi="ar-SA"/>
        </w:rPr>
        <w:t>人员变动，工资调标，导致支出增长。</w:t>
      </w:r>
      <w:r>
        <w:rPr>
          <w:rFonts w:hint="default" w:ascii="Times New Roman" w:hAnsi="Times New Roman" w:eastAsia="方正仿宋_GBK" w:cs="Times New Roman"/>
          <w:snapToGrid w:val="0"/>
          <w:kern w:val="21"/>
          <w:sz w:val="32"/>
          <w:szCs w:val="24"/>
          <w:lang w:val="en-US" w:eastAsia="zh-CN" w:bidi="ar-SA"/>
        </w:rPr>
        <w:t>较年初预算数增加21.92万元，增长19.0%。主要原因是</w:t>
      </w:r>
      <w:r>
        <w:rPr>
          <w:rFonts w:hint="eastAsia" w:ascii="Times New Roman" w:hAnsi="Times New Roman" w:eastAsia="方正仿宋_GBK" w:cs="Times New Roman"/>
          <w:snapToGrid w:val="0"/>
          <w:kern w:val="21"/>
          <w:sz w:val="32"/>
          <w:szCs w:val="24"/>
          <w:lang w:val="en-US" w:eastAsia="zh-CN" w:bidi="ar-SA"/>
        </w:rPr>
        <w:t>年初预算4人人员类经费，年中增加2人，人员类经费支出增加。</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一般公共预算财政拨款支出主要</w:t>
      </w:r>
      <w:r>
        <w:rPr>
          <w:rFonts w:hint="eastAsia" w:ascii="Times New Roman" w:hAnsi="Times New Roman" w:eastAsia="方正仿宋_GBK" w:cs="Times New Roman"/>
          <w:snapToGrid w:val="0"/>
          <w:kern w:val="21"/>
          <w:sz w:val="32"/>
          <w:szCs w:val="24"/>
          <w:lang w:val="en-US" w:eastAsia="zh-CN" w:bidi="ar-SA"/>
        </w:rPr>
        <w:t>用途如下</w:t>
      </w:r>
      <w:r>
        <w:rPr>
          <w:rFonts w:hint="default" w:ascii="Times New Roman" w:hAnsi="Times New Roman" w:eastAsia="方正仿宋_GBK" w:cs="Times New Roman"/>
          <w:snapToGrid w:val="0"/>
          <w:kern w:val="21"/>
          <w:sz w:val="32"/>
          <w:szCs w:val="24"/>
          <w:lang w:val="en-US" w:eastAsia="zh-CN" w:bidi="ar-SA"/>
        </w:rPr>
        <w:t>：</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（1）</w:t>
      </w:r>
      <w:r>
        <w:rPr>
          <w:rFonts w:hint="default" w:ascii="Times New Roman" w:hAnsi="Times New Roman" w:eastAsia="方正仿宋_GBK" w:cs="Times New Roman"/>
          <w:snapToGrid w:val="0"/>
          <w:kern w:val="21"/>
          <w:sz w:val="32"/>
          <w:szCs w:val="24"/>
          <w:lang w:val="en-US" w:eastAsia="zh-CN" w:bidi="ar-SA"/>
        </w:rPr>
        <w:t>社会保障</w:t>
      </w:r>
      <w:r>
        <w:rPr>
          <w:rFonts w:hint="eastAsia" w:ascii="Times New Roman" w:hAnsi="Times New Roman" w:eastAsia="方正仿宋_GBK" w:cs="Times New Roman"/>
          <w:snapToGrid w:val="0"/>
          <w:kern w:val="21"/>
          <w:sz w:val="32"/>
          <w:szCs w:val="24"/>
          <w:lang w:val="en-US" w:eastAsia="zh-CN" w:bidi="ar-SA"/>
        </w:rPr>
        <w:t>和</w:t>
      </w:r>
      <w:r>
        <w:rPr>
          <w:rFonts w:hint="default" w:ascii="Times New Roman" w:hAnsi="Times New Roman" w:eastAsia="方正仿宋_GBK" w:cs="Times New Roman"/>
          <w:snapToGrid w:val="0"/>
          <w:kern w:val="21"/>
          <w:sz w:val="32"/>
          <w:szCs w:val="24"/>
          <w:lang w:val="en-US" w:eastAsia="zh-CN" w:bidi="ar-SA"/>
        </w:rPr>
        <w:t>就业支出24.52万元，占17.9%，较年初预算数增加4.23万元，增长20.9%，主要原因是</w:t>
      </w:r>
      <w:r>
        <w:rPr>
          <w:rFonts w:hint="eastAsia" w:ascii="Times New Roman" w:hAnsi="Times New Roman" w:eastAsia="方正仿宋_GBK" w:cs="Times New Roman"/>
          <w:snapToGrid w:val="0"/>
          <w:kern w:val="21"/>
          <w:sz w:val="32"/>
          <w:szCs w:val="24"/>
          <w:lang w:val="en-US" w:eastAsia="zh-CN" w:bidi="ar-SA"/>
        </w:rPr>
        <w:t>年初预算4人人员类经费，年中增加2人，导致养老保险、职业年金等支出增加。</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w:t>
      </w:r>
      <w:r>
        <w:rPr>
          <w:rFonts w:hint="eastAsia" w:ascii="Times New Roman" w:hAnsi="Times New Roman" w:eastAsia="方正仿宋_GBK" w:cs="Times New Roman"/>
          <w:snapToGrid w:val="0"/>
          <w:kern w:val="21"/>
          <w:sz w:val="32"/>
          <w:szCs w:val="24"/>
          <w:lang w:val="en-US" w:eastAsia="zh-CN" w:bidi="ar-SA"/>
        </w:rPr>
        <w:t>2</w:t>
      </w:r>
      <w:r>
        <w:rPr>
          <w:rFonts w:hint="default" w:ascii="Times New Roman" w:hAnsi="Times New Roman" w:eastAsia="方正仿宋_GBK" w:cs="Times New Roman"/>
          <w:snapToGrid w:val="0"/>
          <w:kern w:val="21"/>
          <w:sz w:val="32"/>
          <w:szCs w:val="24"/>
          <w:lang w:val="en-US" w:eastAsia="zh-CN" w:bidi="ar-SA"/>
        </w:rPr>
        <w:t>）卫生健康支出6.45万元，占4.7%，较年初预算数无增减</w:t>
      </w:r>
      <w:r>
        <w:rPr>
          <w:rFonts w:hint="eastAsia" w:ascii="Times New Roman" w:hAnsi="Times New Roman" w:eastAsia="方正仿宋_GBK" w:cs="Times New Roman"/>
          <w:snapToGrid w:val="0"/>
          <w:kern w:val="21"/>
          <w:sz w:val="32"/>
          <w:szCs w:val="24"/>
          <w:lang w:val="en-US" w:eastAsia="zh-CN" w:bidi="ar-SA"/>
        </w:rPr>
        <w:t>。</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w:t>
      </w:r>
      <w:r>
        <w:rPr>
          <w:rFonts w:hint="eastAsia" w:ascii="Times New Roman" w:hAnsi="Times New Roman" w:eastAsia="方正仿宋_GBK" w:cs="Times New Roman"/>
          <w:snapToGrid w:val="0"/>
          <w:kern w:val="21"/>
          <w:sz w:val="32"/>
          <w:szCs w:val="24"/>
          <w:lang w:val="en-US" w:eastAsia="zh-CN" w:bidi="ar-SA"/>
        </w:rPr>
        <w:t>3</w:t>
      </w:r>
      <w:r>
        <w:rPr>
          <w:rFonts w:hint="default" w:ascii="Times New Roman" w:hAnsi="Times New Roman" w:eastAsia="方正仿宋_GBK" w:cs="Times New Roman"/>
          <w:snapToGrid w:val="0"/>
          <w:kern w:val="21"/>
          <w:sz w:val="32"/>
          <w:szCs w:val="24"/>
          <w:lang w:val="en-US" w:eastAsia="zh-CN" w:bidi="ar-SA"/>
        </w:rPr>
        <w:t>）农林水支出101.16万元，占73.8%，较年初预算数增加17.70万元，增长21.2%，主要原因是</w:t>
      </w:r>
      <w:r>
        <w:rPr>
          <w:rFonts w:hint="eastAsia" w:ascii="Times New Roman" w:hAnsi="Times New Roman" w:eastAsia="方正仿宋_GBK" w:cs="Times New Roman"/>
          <w:snapToGrid w:val="0"/>
          <w:kern w:val="21"/>
          <w:sz w:val="32"/>
          <w:szCs w:val="24"/>
          <w:lang w:val="en-US" w:eastAsia="zh-CN" w:bidi="ar-SA"/>
        </w:rPr>
        <w:t>年初预算4人人员类经费，年中增加2人，导致工资、津补贴等支出增加。</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w:t>
      </w:r>
      <w:r>
        <w:rPr>
          <w:rFonts w:hint="eastAsia" w:ascii="Times New Roman" w:hAnsi="Times New Roman" w:eastAsia="方正仿宋_GBK" w:cs="Times New Roman"/>
          <w:snapToGrid w:val="0"/>
          <w:kern w:val="21"/>
          <w:sz w:val="32"/>
          <w:szCs w:val="24"/>
          <w:lang w:val="en-US" w:eastAsia="zh-CN" w:bidi="ar-SA"/>
        </w:rPr>
        <w:t>4</w:t>
      </w:r>
      <w:r>
        <w:rPr>
          <w:rFonts w:hint="default" w:ascii="Times New Roman" w:hAnsi="Times New Roman" w:eastAsia="方正仿宋_GBK" w:cs="Times New Roman"/>
          <w:snapToGrid w:val="0"/>
          <w:kern w:val="21"/>
          <w:sz w:val="32"/>
          <w:szCs w:val="24"/>
          <w:lang w:val="en-US" w:eastAsia="zh-CN" w:bidi="ar-SA"/>
        </w:rPr>
        <w:t>）住房保障支出4.97万元，占3.6%，较年初预算数无增减</w:t>
      </w:r>
      <w:r>
        <w:rPr>
          <w:rFonts w:hint="eastAsia" w:ascii="Times New Roman" w:hAnsi="Times New Roman" w:eastAsia="方正仿宋_GBK" w:cs="Times New Roman"/>
          <w:snapToGrid w:val="0"/>
          <w:kern w:val="21"/>
          <w:sz w:val="32"/>
          <w:szCs w:val="24"/>
          <w:lang w:val="en-US" w:eastAsia="zh-CN" w:bidi="ar-SA"/>
        </w:rPr>
        <w:t>。</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3.结转结余情况。2024年度年末一般公共预算财政拨款结转和结余0.00万元，与2023年度相比，无增减</w:t>
      </w:r>
      <w:r>
        <w:rPr>
          <w:rFonts w:hint="eastAsia" w:ascii="Times New Roman" w:hAnsi="Times New Roman" w:eastAsia="方正仿宋_GBK" w:cs="Times New Roman"/>
          <w:snapToGrid w:val="0"/>
          <w:kern w:val="21"/>
          <w:sz w:val="32"/>
          <w:szCs w:val="24"/>
          <w:lang w:val="en-US" w:eastAsia="zh-CN" w:bidi="ar-SA"/>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2024年度一般公共财政拨款基本支出137.10万元。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其中：人员经费120.27万元，与2023年度相比，增加1.67万元，增长1.4%，主要原因是</w:t>
      </w:r>
      <w:r>
        <w:rPr>
          <w:rFonts w:hint="eastAsia" w:ascii="Times New Roman" w:hAnsi="Times New Roman" w:eastAsia="方正仿宋_GBK" w:cs="Times New Roman"/>
          <w:snapToGrid w:val="0"/>
          <w:kern w:val="21"/>
          <w:sz w:val="32"/>
          <w:szCs w:val="24"/>
          <w:lang w:val="en-US" w:eastAsia="zh-CN" w:bidi="ar-SA"/>
        </w:rPr>
        <w:t>人员变动，工资调标，导致支出增长。</w:t>
      </w:r>
      <w:r>
        <w:rPr>
          <w:rFonts w:hint="default" w:ascii="Times New Roman" w:hAnsi="Times New Roman" w:eastAsia="方正仿宋_GBK" w:cs="Times New Roman"/>
          <w:snapToGrid w:val="0"/>
          <w:kern w:val="21"/>
          <w:sz w:val="32"/>
          <w:szCs w:val="24"/>
          <w:lang w:val="en-US" w:eastAsia="zh-CN" w:bidi="ar-SA"/>
        </w:rPr>
        <w:t>人员经费用途主要包括</w:t>
      </w:r>
      <w:r>
        <w:rPr>
          <w:rFonts w:hint="eastAsia" w:ascii="Times New Roman" w:hAnsi="Times New Roman" w:eastAsia="方正仿宋_GBK" w:cs="Times New Roman"/>
          <w:snapToGrid w:val="0"/>
          <w:kern w:val="21"/>
          <w:sz w:val="32"/>
          <w:szCs w:val="24"/>
          <w:lang w:val="en-US" w:eastAsia="zh-CN" w:bidi="ar-SA"/>
        </w:rPr>
        <w:t>基本工资、津贴补贴、社会保障缴费、住房公积金等。</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公用经费16.83万元，与2023年度相比，增加0.27万元，增长1.6%，主要原因是</w:t>
      </w:r>
      <w:r>
        <w:rPr>
          <w:rFonts w:hint="eastAsia" w:ascii="Times New Roman" w:hAnsi="Times New Roman" w:eastAsia="方正仿宋_GBK" w:cs="Times New Roman"/>
          <w:snapToGrid w:val="0"/>
          <w:kern w:val="21"/>
          <w:sz w:val="32"/>
          <w:szCs w:val="24"/>
          <w:lang w:val="en-US" w:eastAsia="zh-CN" w:bidi="ar-SA"/>
        </w:rPr>
        <w:t>人员工资变动，工会经费等相应增加，</w:t>
      </w:r>
      <w:r>
        <w:rPr>
          <w:rFonts w:hint="default" w:ascii="Times New Roman" w:hAnsi="Times New Roman" w:eastAsia="方正仿宋_GBK" w:cs="Times New Roman"/>
          <w:snapToGrid w:val="0"/>
          <w:kern w:val="21"/>
          <w:sz w:val="32"/>
          <w:szCs w:val="24"/>
          <w:lang w:val="en-US" w:eastAsia="zh-CN" w:bidi="ar-SA"/>
        </w:rPr>
        <w:t>公用经费用途主要包括</w:t>
      </w:r>
      <w:r>
        <w:rPr>
          <w:rFonts w:hint="eastAsia" w:ascii="Times New Roman" w:hAnsi="Times New Roman" w:eastAsia="方正仿宋_GBK" w:cs="Times New Roman"/>
          <w:snapToGrid w:val="0"/>
          <w:kern w:val="21"/>
          <w:sz w:val="32"/>
          <w:szCs w:val="24"/>
          <w:lang w:val="en-US" w:eastAsia="zh-CN" w:bidi="ar-SA"/>
        </w:rPr>
        <w:t>办公费、水电费、培训费、差旅费、工会经费等。</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（五）政府性基金预算收支决算情况说明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本</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2024年度无政府性基金预算财政拨款收支。</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本</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三、</w:t>
      </w:r>
      <w:r>
        <w:rPr>
          <w:rStyle w:val="12"/>
          <w:rFonts w:hint="eastAsia" w:ascii="方正黑体_GBK" w:hAnsi="方正黑体_GBK" w:eastAsia="方正黑体_GBK" w:cs="方正黑体_GBK"/>
          <w:b w:val="0"/>
          <w:bCs/>
          <w:sz w:val="32"/>
          <w:szCs w:val="32"/>
          <w:shd w:val="clear" w:color="auto" w:fill="FFFFFF"/>
          <w:lang w:eastAsia="zh-CN"/>
        </w:rPr>
        <w:t>财政拨款</w:t>
      </w:r>
      <w:r>
        <w:rPr>
          <w:rStyle w:val="12"/>
          <w:rFonts w:hint="eastAsia" w:ascii="方正黑体_GBK" w:hAnsi="方正黑体_GBK" w:eastAsia="方正黑体_GBK" w:cs="方正黑体_GBK"/>
          <w:b w:val="0"/>
          <w:bCs/>
          <w:sz w:val="32"/>
          <w:szCs w:val="32"/>
          <w:shd w:val="clear" w:color="auto" w:fill="FFFFFF"/>
        </w:rPr>
        <w:t>“三公”经费情况说明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（一）“三公”经费支出总体情况说明</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2024年度“三公”经费支出共计0.00万元，较年初预算数无增减</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较上年支出数无增减</w:t>
      </w:r>
      <w:r>
        <w:rPr>
          <w:rFonts w:hint="eastAsia" w:ascii="Times New Roman" w:hAnsi="Times New Roman" w:eastAsia="方正仿宋_GBK" w:cs="Times New Roman"/>
          <w:snapToGrid w:val="0"/>
          <w:kern w:val="21"/>
          <w:sz w:val="32"/>
          <w:szCs w:val="24"/>
          <w:lang w:val="en-US" w:eastAsia="zh-CN" w:bidi="ar-SA"/>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（二）“三公”经费分项支出情况</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2024年度本</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因公出国（境）费用0.00万元</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费用支出较年初预算数无增减</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较上年支出数无增减</w:t>
      </w:r>
      <w:r>
        <w:rPr>
          <w:rFonts w:hint="eastAsia" w:ascii="Times New Roman" w:hAnsi="Times New Roman" w:eastAsia="方正仿宋_GBK" w:cs="Times New Roman"/>
          <w:snapToGrid w:val="0"/>
          <w:kern w:val="21"/>
          <w:sz w:val="32"/>
          <w:szCs w:val="24"/>
          <w:lang w:val="en-US" w:eastAsia="zh-CN" w:bidi="ar-SA"/>
        </w:rPr>
        <w:t>。</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公务</w:t>
      </w:r>
      <w:r>
        <w:rPr>
          <w:rFonts w:hint="eastAsia" w:ascii="Times New Roman" w:hAnsi="Times New Roman" w:eastAsia="方正仿宋_GBK" w:cs="Times New Roman"/>
          <w:snapToGrid w:val="0"/>
          <w:kern w:val="21"/>
          <w:sz w:val="32"/>
          <w:szCs w:val="24"/>
          <w:lang w:val="en-US" w:eastAsia="zh-CN" w:bidi="ar-SA"/>
        </w:rPr>
        <w:t>用</w:t>
      </w:r>
      <w:r>
        <w:rPr>
          <w:rFonts w:hint="default" w:ascii="Times New Roman" w:hAnsi="Times New Roman" w:eastAsia="方正仿宋_GBK" w:cs="Times New Roman"/>
          <w:snapToGrid w:val="0"/>
          <w:kern w:val="21"/>
          <w:sz w:val="32"/>
          <w:szCs w:val="24"/>
          <w:lang w:val="en-US" w:eastAsia="zh-CN" w:bidi="ar-SA"/>
        </w:rPr>
        <w:t>车购置费0.00万元</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费用支出较年初预算数无增减</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较上年支出数无增减</w:t>
      </w:r>
      <w:r>
        <w:rPr>
          <w:rFonts w:hint="eastAsia" w:ascii="Times New Roman" w:hAnsi="Times New Roman" w:eastAsia="方正仿宋_GBK" w:cs="Times New Roman"/>
          <w:snapToGrid w:val="0"/>
          <w:kern w:val="21"/>
          <w:sz w:val="32"/>
          <w:szCs w:val="24"/>
          <w:lang w:val="en-US" w:eastAsia="zh-CN" w:bidi="ar-SA"/>
        </w:rPr>
        <w:t>。</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公务</w:t>
      </w:r>
      <w:r>
        <w:rPr>
          <w:rFonts w:hint="eastAsia" w:ascii="Times New Roman" w:hAnsi="Times New Roman" w:eastAsia="方正仿宋_GBK" w:cs="Times New Roman"/>
          <w:snapToGrid w:val="0"/>
          <w:kern w:val="21"/>
          <w:sz w:val="32"/>
          <w:szCs w:val="24"/>
          <w:lang w:val="en-US" w:eastAsia="zh-CN" w:bidi="ar-SA"/>
        </w:rPr>
        <w:t>用</w:t>
      </w:r>
      <w:r>
        <w:rPr>
          <w:rFonts w:hint="default" w:ascii="Times New Roman" w:hAnsi="Times New Roman" w:eastAsia="方正仿宋_GBK" w:cs="Times New Roman"/>
          <w:snapToGrid w:val="0"/>
          <w:kern w:val="21"/>
          <w:sz w:val="32"/>
          <w:szCs w:val="24"/>
          <w:lang w:val="en-US" w:eastAsia="zh-CN" w:bidi="ar-SA"/>
        </w:rPr>
        <w:t>车运行维护费0.00万元</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费用支出较年初预算数无增减，较上年支出数无增减</w:t>
      </w:r>
      <w:r>
        <w:rPr>
          <w:rFonts w:hint="eastAsia" w:ascii="Times New Roman" w:hAnsi="Times New Roman" w:eastAsia="方正仿宋_GBK" w:cs="Times New Roman"/>
          <w:snapToGrid w:val="0"/>
          <w:kern w:val="21"/>
          <w:sz w:val="32"/>
          <w:szCs w:val="24"/>
          <w:lang w:val="en-US" w:eastAsia="zh-CN" w:bidi="ar-SA"/>
        </w:rPr>
        <w:t>。</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公务接待费0.00万元，费用支出较年初预算数无增减，较上年支出数无增减</w:t>
      </w:r>
      <w:r>
        <w:rPr>
          <w:rFonts w:hint="eastAsia" w:ascii="Times New Roman" w:hAnsi="Times New Roman" w:eastAsia="方正仿宋_GBK" w:cs="Times New Roman"/>
          <w:snapToGrid w:val="0"/>
          <w:kern w:val="21"/>
          <w:sz w:val="32"/>
          <w:szCs w:val="24"/>
          <w:lang w:val="en-US" w:eastAsia="zh-CN" w:bidi="ar-SA"/>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（三）“三公”经费实物量情况</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2024年度本</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因公出国（境）共计0个团组，0人；公务用车购置0辆，公务车保有量为0辆；国内公务接待0批次0人，其中：国内外事接待0批次，0人；国（境）外公务接待0批次，0人。2024年本</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人均接待费0元，车均购置费0万元，车均维护费0万元。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default"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（一）财政拨款会议费、培训费和差旅费情况说明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本年度会议费支出0.00万元，与2023年度相比，无增减</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本年度培训费支出0.00万元，与2023年度相比，无变化</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本年度差旅费支出0.30万元，与2023年度相比，增加0.30万元，增长100.0%，主要原因是</w:t>
      </w:r>
      <w:r>
        <w:rPr>
          <w:rFonts w:hint="eastAsia" w:ascii="Times New Roman" w:hAnsi="Times New Roman" w:eastAsia="方正仿宋_GBK" w:cs="Times New Roman"/>
          <w:snapToGrid w:val="0"/>
          <w:kern w:val="21"/>
          <w:sz w:val="32"/>
          <w:szCs w:val="24"/>
          <w:lang w:val="en-US" w:eastAsia="zh-CN" w:bidi="ar-SA"/>
        </w:rPr>
        <w:t>职工出差费用增加。</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（二）机关运行经费情况说明</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按照部门决算列报口径，我</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不在机关运行经费统计范围</w:t>
      </w:r>
      <w:r>
        <w:rPr>
          <w:rFonts w:hint="eastAsia" w:ascii="Times New Roman" w:hAnsi="Times New Roman" w:eastAsia="方正仿宋_GBK" w:cs="Times New Roman"/>
          <w:snapToGrid w:val="0"/>
          <w:kern w:val="21"/>
          <w:sz w:val="32"/>
          <w:szCs w:val="24"/>
          <w:lang w:val="en-US" w:eastAsia="zh-CN" w:bidi="ar-SA"/>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（三）国有资产占用情况说明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截至2024年12月31日，本</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（四）政府采购支出情况说明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2024年度我</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未发生政府采购事项，无相关经费支出。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default" w:ascii="Times New Roman" w:hAnsi="Times New Roman" w:eastAsia="方正黑体_GBK"/>
          <w:snapToGrid w:val="0"/>
          <w:kern w:val="21"/>
          <w:sz w:val="32"/>
        </w:rPr>
      </w:pPr>
      <w:r>
        <w:rPr>
          <w:rFonts w:hint="eastAsia" w:ascii="Times New Roman" w:hAnsi="Times New Roman" w:eastAsia="方正黑体_GBK"/>
          <w:snapToGrid w:val="0"/>
          <w:kern w:val="21"/>
          <w:sz w:val="32"/>
          <w:lang w:eastAsia="zh-CN"/>
        </w:rPr>
        <w:t>五、</w:t>
      </w:r>
      <w:r>
        <w:rPr>
          <w:rFonts w:hint="eastAsia" w:ascii="Times New Roman" w:hAnsi="Times New Roman" w:eastAsia="方正黑体_GBK"/>
          <w:snapToGrid w:val="0"/>
          <w:kern w:val="21"/>
          <w:sz w:val="32"/>
        </w:rPr>
        <w:t>预算绩效管理情况说明</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楷体_GBK"/>
          <w:snapToGrid w:val="0"/>
          <w:kern w:val="21"/>
          <w:sz w:val="32"/>
        </w:rPr>
      </w:pPr>
      <w:r>
        <w:rPr>
          <w:rFonts w:hint="eastAsia" w:ascii="Times New Roman" w:hAnsi="Times New Roman" w:eastAsia="方正楷体_GBK"/>
          <w:snapToGrid w:val="0"/>
          <w:kern w:val="21"/>
          <w:sz w:val="32"/>
          <w:lang w:eastAsia="zh-CN"/>
        </w:rPr>
        <w:t>（一）</w:t>
      </w:r>
      <w:r>
        <w:rPr>
          <w:rFonts w:hint="eastAsia" w:ascii="Times New Roman" w:hAnsi="Times New Roman" w:eastAsia="方正楷体_GBK"/>
          <w:snapToGrid w:val="0"/>
          <w:kern w:val="21"/>
          <w:sz w:val="32"/>
        </w:rPr>
        <w:t>单位自评情况</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仿宋_GBK"/>
          <w:snapToGrid w:val="0"/>
          <w:kern w:val="21"/>
          <w:sz w:val="32"/>
          <w:lang w:val="en-US" w:eastAsia="zh-CN"/>
        </w:rPr>
        <w:t>本单位不涉及。</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default" w:ascii="Times New Roman" w:hAnsi="Times New Roman" w:eastAsia="方正楷体_GBK"/>
          <w:snapToGrid w:val="0"/>
          <w:kern w:val="21"/>
          <w:sz w:val="32"/>
        </w:rPr>
      </w:pPr>
      <w:r>
        <w:rPr>
          <w:rFonts w:hint="eastAsia" w:ascii="Times New Roman" w:hAnsi="Times New Roman" w:eastAsia="方正楷体_GBK"/>
          <w:snapToGrid w:val="0"/>
          <w:kern w:val="21"/>
          <w:sz w:val="32"/>
        </w:rPr>
        <w:t>（二）单位绩效评价情况</w:t>
      </w:r>
    </w:p>
    <w:p>
      <w:pPr>
        <w:pStyle w:val="9"/>
        <w:keepNext w:val="0"/>
        <w:keepLines w:val="0"/>
        <w:pageBreakBefore w:val="0"/>
        <w:kinsoku/>
        <w:wordWrap/>
        <w:overflowPunct/>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我单位未组织开展绩效评价。</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default" w:ascii="Times New Roman" w:hAnsi="Times New Roman" w:eastAsia="方正楷体_GBK"/>
          <w:snapToGrid w:val="0"/>
          <w:kern w:val="21"/>
          <w:sz w:val="32"/>
        </w:rPr>
      </w:pPr>
      <w:r>
        <w:rPr>
          <w:rFonts w:hint="eastAsia" w:ascii="Times New Roman" w:hAnsi="Times New Roman" w:eastAsia="方正楷体_GBK"/>
          <w:snapToGrid w:val="0"/>
          <w:kern w:val="21"/>
          <w:sz w:val="32"/>
        </w:rPr>
        <w:t>（三）财政绩效评价情况</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市财政局未委托第三方对我单位开展绩效评价。</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黑体_GBK"/>
          <w:snapToGrid w:val="0"/>
          <w:kern w:val="21"/>
          <w:sz w:val="32"/>
          <w:lang w:val="en-US" w:eastAsia="zh-CN"/>
        </w:rPr>
      </w:pPr>
      <w:r>
        <w:rPr>
          <w:rFonts w:hint="eastAsia" w:ascii="Times New Roman" w:hAnsi="Times New Roman" w:eastAsia="方正黑体_GBK"/>
          <w:snapToGrid w:val="0"/>
          <w:kern w:val="21"/>
          <w:sz w:val="32"/>
          <w:lang w:val="en-US" w:eastAsia="zh-CN"/>
        </w:rPr>
        <w:t>六、专业名词解释</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（一）财政拨款收入：</w:t>
      </w:r>
      <w:r>
        <w:rPr>
          <w:rFonts w:hint="eastAsia" w:ascii="Times New Roman" w:hAnsi="Times New Roman" w:eastAsia="方正仿宋_GBK"/>
          <w:snapToGrid w:val="0"/>
          <w:kern w:val="21"/>
          <w:sz w:val="32"/>
          <w:lang w:val="en-US" w:eastAsia="zh-CN"/>
        </w:rPr>
        <w:t>指本年度从本级财政部门取得的财政拨款，包括一般公共预算财政拨款和政府性基金预算财政拨款。</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（二）事业收入：</w:t>
      </w:r>
      <w:r>
        <w:rPr>
          <w:rFonts w:hint="eastAsia" w:ascii="Times New Roman" w:hAnsi="Times New Roman" w:eastAsia="方正仿宋_GBK"/>
          <w:snapToGrid w:val="0"/>
          <w:kern w:val="21"/>
          <w:sz w:val="32"/>
          <w:lang w:val="en-US" w:eastAsia="zh-CN"/>
        </w:rPr>
        <w:t>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方正仿宋_GBK" w:hAnsi="方正仿宋_GBK" w:eastAsia="方正仿宋_GBK" w:cs="方正仿宋_GBK"/>
          <w:snapToGrid w:val="0"/>
          <w:kern w:val="21"/>
          <w:sz w:val="32"/>
          <w:szCs w:val="32"/>
        </w:rPr>
      </w:pPr>
      <w:r>
        <w:rPr>
          <w:rFonts w:hint="eastAsia" w:ascii="Times New Roman" w:hAnsi="Times New Roman" w:eastAsia="方正楷体_GBK"/>
          <w:snapToGrid w:val="0"/>
          <w:kern w:val="21"/>
          <w:sz w:val="32"/>
          <w:szCs w:val="32"/>
          <w:lang w:val="en-US" w:eastAsia="zh-CN"/>
        </w:rPr>
        <w:t>（三）经营收入：</w:t>
      </w:r>
      <w:r>
        <w:rPr>
          <w:rFonts w:hint="eastAsia" w:ascii="Times New Roman" w:hAnsi="Times New Roman" w:eastAsia="方正仿宋_GBK"/>
          <w:snapToGrid w:val="0"/>
          <w:kern w:val="21"/>
          <w:sz w:val="32"/>
          <w:lang w:val="en-US" w:eastAsia="zh-CN"/>
        </w:rPr>
        <w:t>指事业单位在专业业务活动及其辅助活动之外开展非独立核算经营活动取得的现金流入。</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（四）其他收入：</w:t>
      </w:r>
      <w:r>
        <w:rPr>
          <w:rFonts w:hint="eastAsia" w:ascii="Times New Roman" w:hAnsi="Times New Roman" w:eastAsia="方正仿宋_GBK"/>
          <w:snapToGrid w:val="0"/>
          <w:kern w:val="21"/>
          <w:sz w:val="32"/>
          <w:lang w:val="en-US" w:eastAsia="zh-CN"/>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（五）使用非财政拨款结余：</w:t>
      </w:r>
      <w:r>
        <w:rPr>
          <w:rFonts w:hint="eastAsia" w:ascii="Times New Roman" w:hAnsi="Times New Roman" w:eastAsia="方正仿宋_GBK"/>
          <w:snapToGrid w:val="0"/>
          <w:kern w:val="21"/>
          <w:sz w:val="32"/>
          <w:lang w:val="en-US" w:eastAsia="zh-CN"/>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（六）年初结转和结余：</w:t>
      </w:r>
      <w:r>
        <w:rPr>
          <w:rFonts w:hint="eastAsia" w:ascii="Times New Roman" w:hAnsi="Times New Roman" w:eastAsia="方正仿宋_GBK"/>
          <w:snapToGrid w:val="0"/>
          <w:kern w:val="21"/>
          <w:sz w:val="32"/>
          <w:lang w:val="en-US" w:eastAsia="zh-CN"/>
        </w:rPr>
        <w:t>指单位上年结转本年使用的基本支出结转、项目支出结转和结余、经营结余。</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方正仿宋_GBK" w:hAnsi="方正仿宋_GBK" w:eastAsia="方正仿宋_GBK" w:cs="方正仿宋_GBK"/>
          <w:snapToGrid w:val="0"/>
          <w:kern w:val="21"/>
          <w:sz w:val="32"/>
          <w:szCs w:val="32"/>
        </w:rPr>
      </w:pPr>
      <w:r>
        <w:rPr>
          <w:rFonts w:hint="eastAsia" w:ascii="Times New Roman" w:hAnsi="Times New Roman" w:eastAsia="方正楷体_GBK"/>
          <w:snapToGrid w:val="0"/>
          <w:kern w:val="21"/>
          <w:sz w:val="32"/>
          <w:szCs w:val="32"/>
          <w:lang w:val="en-US" w:eastAsia="zh-CN"/>
        </w:rPr>
        <w:t>（七）结余分配：</w:t>
      </w:r>
      <w:r>
        <w:rPr>
          <w:rFonts w:hint="eastAsia" w:ascii="Times New Roman" w:hAnsi="Times New Roman" w:eastAsia="方正仿宋_GBK"/>
          <w:snapToGrid w:val="0"/>
          <w:kern w:val="21"/>
          <w:sz w:val="32"/>
          <w:lang w:val="en-US" w:eastAsia="zh-CN"/>
        </w:rPr>
        <w:t>指单位按照国家有关规定，缴纳所得税、提取专用基金、转入非财政拨款结余等当年结余的分配情况。</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（八）年末结转和结余：</w:t>
      </w:r>
      <w:r>
        <w:rPr>
          <w:rFonts w:hint="eastAsia" w:ascii="Times New Roman" w:hAnsi="Times New Roman" w:eastAsia="方正仿宋_GBK"/>
          <w:snapToGrid w:val="0"/>
          <w:kern w:val="21"/>
          <w:sz w:val="32"/>
          <w:lang w:val="en-US" w:eastAsia="zh-CN"/>
        </w:rPr>
        <w:t>指单位结转下年的基本支出结转、项目支出结转和结余、经营结余。</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（九）基本支出：</w:t>
      </w:r>
      <w:r>
        <w:rPr>
          <w:rFonts w:hint="eastAsia" w:ascii="Times New Roman" w:hAnsi="Times New Roman" w:eastAsia="方正仿宋_GBK"/>
          <w:snapToGrid w:val="0"/>
          <w:kern w:val="21"/>
          <w:sz w:val="32"/>
          <w:lang w:val="en-US" w:eastAsia="zh-CN"/>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（十）项目支出：</w:t>
      </w:r>
      <w:r>
        <w:rPr>
          <w:rFonts w:hint="eastAsia" w:ascii="Times New Roman" w:hAnsi="Times New Roman" w:eastAsia="方正仿宋_GBK"/>
          <w:snapToGrid w:val="0"/>
          <w:kern w:val="21"/>
          <w:sz w:val="32"/>
          <w:lang w:val="en-US" w:eastAsia="zh-CN"/>
        </w:rPr>
        <w:t>指在基本支出之外为完成特定行政任务和事业发展目标所发生的支出。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（十一）经营支出：</w:t>
      </w:r>
      <w:r>
        <w:rPr>
          <w:rFonts w:hint="eastAsia" w:ascii="Times New Roman" w:hAnsi="Times New Roman" w:eastAsia="方正仿宋_GBK"/>
          <w:snapToGrid w:val="0"/>
          <w:kern w:val="21"/>
          <w:sz w:val="32"/>
          <w:lang w:val="en-US" w:eastAsia="zh-CN"/>
        </w:rPr>
        <w:t>指事业单位在专业业务活动及其辅助活动之外开展非独立核算经营活动发生的支出。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（十二）“三公”经费：</w:t>
      </w:r>
      <w:r>
        <w:rPr>
          <w:rFonts w:hint="eastAsia" w:ascii="Times New Roman" w:hAnsi="Times New Roman" w:eastAsia="方正仿宋_GBK"/>
          <w:snapToGrid w:val="0"/>
          <w:kern w:val="21"/>
          <w:sz w:val="32"/>
          <w:lang w:val="en-US" w:eastAsia="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楷体_GBK"/>
          <w:snapToGrid w:val="0"/>
          <w:kern w:val="21"/>
          <w:sz w:val="32"/>
          <w:szCs w:val="32"/>
          <w:lang w:val="en-US" w:eastAsia="zh-CN"/>
        </w:rPr>
        <w:t>（十三）机关运行经费：</w:t>
      </w:r>
      <w:r>
        <w:rPr>
          <w:rFonts w:hint="eastAsia" w:ascii="Times New Roman" w:hAnsi="Times New Roman" w:eastAsia="方正仿宋_GBK"/>
          <w:snapToGrid w:val="0"/>
          <w:kern w:val="21"/>
          <w:sz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楷体_GBK"/>
          <w:snapToGrid w:val="0"/>
          <w:kern w:val="21"/>
          <w:sz w:val="32"/>
          <w:szCs w:val="32"/>
          <w:lang w:val="en-US" w:eastAsia="zh-CN"/>
        </w:rPr>
        <w:t>（十四）工资福利支出（支出经济分类科目类级）：</w:t>
      </w:r>
      <w:r>
        <w:rPr>
          <w:rFonts w:hint="eastAsia" w:ascii="Times New Roman" w:hAnsi="Times New Roman" w:eastAsia="方正仿宋_GBK"/>
          <w:snapToGrid w:val="0"/>
          <w:kern w:val="21"/>
          <w:sz w:val="32"/>
        </w:rPr>
        <w:t>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楷体_GBK"/>
          <w:snapToGrid w:val="0"/>
          <w:kern w:val="21"/>
          <w:sz w:val="32"/>
          <w:szCs w:val="32"/>
          <w:lang w:val="en-US" w:eastAsia="zh-CN"/>
        </w:rPr>
        <w:t>（十五）商品和服务支出（支出经济分类科目类级）：</w:t>
      </w:r>
      <w:r>
        <w:rPr>
          <w:rFonts w:hint="eastAsia" w:ascii="Times New Roman" w:hAnsi="Times New Roman" w:eastAsia="方正仿宋_GBK"/>
          <w:snapToGrid w:val="0"/>
          <w:kern w:val="21"/>
          <w:sz w:val="32"/>
        </w:rPr>
        <w:t>反映单位购买商品和服务的支出（不包括用于购置固定资产的支出、战略性和应急储备支出）。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方正仿宋_GBK" w:hAnsi="方正仿宋_GBK" w:eastAsia="方正仿宋_GBK" w:cs="方正仿宋_GBK"/>
          <w:snapToGrid w:val="0"/>
          <w:kern w:val="21"/>
          <w:sz w:val="32"/>
          <w:szCs w:val="32"/>
        </w:rPr>
      </w:pPr>
      <w:r>
        <w:rPr>
          <w:rFonts w:hint="eastAsia" w:ascii="Times New Roman" w:hAnsi="Times New Roman" w:eastAsia="方正楷体_GBK"/>
          <w:snapToGrid w:val="0"/>
          <w:kern w:val="21"/>
          <w:sz w:val="32"/>
          <w:szCs w:val="32"/>
          <w:lang w:val="en-US" w:eastAsia="zh-CN"/>
        </w:rPr>
        <w:t>（十六）对个人和家庭的补助（支出经济分类科目类级）：</w:t>
      </w:r>
      <w:r>
        <w:rPr>
          <w:rFonts w:hint="eastAsia" w:ascii="方正仿宋_GBK" w:hAnsi="方正仿宋_GBK" w:eastAsia="方正仿宋_GBK" w:cs="方正仿宋_GBK"/>
          <w:snapToGrid w:val="0"/>
          <w:kern w:val="21"/>
          <w:sz w:val="32"/>
          <w:szCs w:val="32"/>
        </w:rPr>
        <w:t>反映用于对个人和家庭的补助支出。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方正仿宋_GBK" w:hAnsi="方正仿宋_GBK" w:eastAsia="方正仿宋_GBK" w:cs="方正仿宋_GBK"/>
          <w:snapToGrid w:val="0"/>
          <w:kern w:val="21"/>
          <w:sz w:val="32"/>
          <w:szCs w:val="32"/>
        </w:rPr>
      </w:pPr>
      <w:r>
        <w:rPr>
          <w:rFonts w:hint="eastAsia" w:ascii="Times New Roman" w:hAnsi="Times New Roman" w:eastAsia="方正楷体_GBK"/>
          <w:snapToGrid w:val="0"/>
          <w:kern w:val="21"/>
          <w:sz w:val="32"/>
          <w:szCs w:val="32"/>
          <w:lang w:val="en-US" w:eastAsia="zh-CN"/>
        </w:rPr>
        <w:t>（十七）其他资本性支出（支出经济分类科目类级）：</w:t>
      </w:r>
      <w:r>
        <w:rPr>
          <w:rFonts w:hint="eastAsia" w:ascii="方正仿宋_GBK" w:hAnsi="方正仿宋_GBK" w:eastAsia="方正仿宋_GBK" w:cs="方正仿宋_GBK"/>
          <w:snapToGrid w:val="0"/>
          <w:kern w:val="21"/>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黑体_GBK"/>
          <w:snapToGrid w:val="0"/>
          <w:kern w:val="21"/>
          <w:sz w:val="32"/>
        </w:rPr>
      </w:pPr>
      <w:r>
        <w:rPr>
          <w:rFonts w:hint="eastAsia" w:ascii="Times New Roman" w:hAnsi="Times New Roman" w:eastAsia="方正黑体_GBK"/>
          <w:snapToGrid w:val="0"/>
          <w:kern w:val="21"/>
          <w:sz w:val="32"/>
        </w:rPr>
        <w:t> 七、决算公开联系方式及信息反馈渠道</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仿宋_GBK"/>
          <w:snapToGrid w:val="0"/>
          <w:kern w:val="21"/>
          <w:sz w:val="32"/>
        </w:rPr>
        <w:t>本单位决算公开信息反馈和联系方式：</w:t>
      </w:r>
      <w:r>
        <w:rPr>
          <w:rFonts w:hint="eastAsia" w:ascii="Times New Roman" w:hAnsi="Times New Roman" w:eastAsia="方正仿宋_GBK"/>
          <w:snapToGrid w:val="0"/>
          <w:kern w:val="21"/>
          <w:sz w:val="32"/>
          <w:lang w:val="en-US" w:eastAsia="zh-CN"/>
        </w:rPr>
        <w:t>73397001。</w:t>
      </w:r>
    </w:p>
    <w:p>
      <w:pPr>
        <w:pStyle w:val="13"/>
        <w:keepNext w:val="0"/>
        <w:keepLines w:val="0"/>
        <w:pageBreakBefore w:val="0"/>
        <w:kinsoku/>
        <w:wordWrap/>
        <w:overflowPunct/>
        <w:autoSpaceDE w:val="0"/>
        <w:autoSpaceDN/>
        <w:bidi w:val="0"/>
        <w:adjustRightInd/>
        <w:spacing w:beforeAutospacing="0" w:afterAutospacing="0" w:line="594" w:lineRule="exact"/>
        <w:ind w:left="0" w:leftChars="0" w:firstLine="640" w:firstLineChars="200"/>
        <w:textAlignment w:val="auto"/>
        <w:rPr>
          <w:rFonts w:hint="eastAsia" w:ascii="Times New Roman" w:hAnsi="Times New Roman" w:eastAsia="方正仿宋_GBK" w:cs="Times New Roman"/>
          <w:snapToGrid w:val="0"/>
          <w:kern w:val="21"/>
          <w:sz w:val="32"/>
          <w:szCs w:val="24"/>
          <w:lang w:val="en-US" w:eastAsia="zh-CN" w:bidi="ar-SA"/>
        </w:rPr>
      </w:pP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石柱土家族自治县冷水镇产业发展服务中心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1,370,987.98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245,164.08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64,465.34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1,011,633.92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49,724.64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1,370,987.98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1,370,987.98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1,370,987.98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1,370,987.98</w:t>
            </w:r>
          </w:p>
        </w:tc>
      </w:tr>
    </w:tbl>
    <w:p>
      <w:pPr>
        <w:pStyle w:val="13"/>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3"/>
        <w:numPr>
          <w:ilvl w:val="0"/>
          <w:numId w:val="0"/>
        </w:numPr>
        <w:autoSpaceDE w:val="0"/>
        <w:rPr>
          <w:rFonts w:hint="eastAsia" w:ascii="宋体" w:hAnsi="宋体" w:eastAsia="宋体" w:cs="宋体"/>
          <w:sz w:val="21"/>
          <w:szCs w:val="21"/>
          <w:lang w:val="en-US" w:eastAsia="zh-CN"/>
        </w:rPr>
      </w:pPr>
    </w:p>
    <w:tbl>
      <w:tblPr>
        <w:tblStyle w:val="10"/>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石柱土家族自治县冷水镇产业发展服务中心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1,370,987.98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1,370,987.98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245,164.08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245,164.08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245,164.08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245,164.08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101,342.72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101,342.72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50,671.36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50,671.36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64,465.34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64,465.34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64,465.34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64,465.34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39,365.34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39,365.34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1,011,633.92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1,011,633.92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1,011,633.92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1,011,633.92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1,011,633.92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1,011,633.92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49,724.64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49,724.64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49,724.64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49,724.64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49,724.64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49,724.64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石柱土家族自治县冷水镇产业发展服务中心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1,370,987.98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1,370,987.98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245,164.08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245,164.08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245,164.08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245,164.08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101,342.72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101,342.72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50,671.36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50,671.36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64,465.34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64,465.34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64,465.34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64,465.34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39,365.34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39,365.34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1,011,633.92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1,011,633.92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1,011,633.92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1,011,633.92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1,011,633.92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1,011,633.92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49,724.64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49,724.64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49,724.64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49,724.64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49,724.64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49,724.64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石柱土家族自治县冷水镇产业发展服务中心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1,370,987.98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245,164.08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245,164.08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64,465.34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64,465.34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1,011,633.92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1,011,633.92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49,724.64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49,724.64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1,370,987.98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1,370,987.98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1,370,987.98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1,370,987.98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1,370,987.98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1,370,987.98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石柱土家族自治县冷水镇产业发展服务中心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1,370,987.98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1,370,987.98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1,370,987.98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1,370,987.98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245,164.08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245,164.08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245,164.08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245,164.08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245,164.08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245,164.08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245,164.08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245,164.08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93,150.00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93,150.00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93,150.00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93,150.00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101,342.72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101,342.72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101,342.72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101,342.72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50,671.36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50,671.36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50,671.36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50,671.36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64,465.34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64,465.34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64,465.34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64,465.34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64,465.34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64,465.34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64,465.34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64,465.34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39,365.34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39,365.34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39,365.34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39,365.34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25,100.00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25,100.00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25,100.00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25,100.00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1,011,633.92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1,011,633.92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1,011,633.92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1,011,633.92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1,011,633.92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1,011,633.92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1,011,633.92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1,011,633.92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1,011,633.92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1,011,633.92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1,011,633.92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1,011,633.92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49,724.64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49,724.64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49,724.64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49,724.64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49,724.64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49,724.64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49,724.64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49,724.64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49,724.64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49,724.64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49,724.64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49,724.64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石柱土家族自治县冷水镇产业发展服务中心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1,097,050.54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168,287.44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233,612.00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104,598.09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82,908.00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520,803.00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101,342.72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50,671.36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41,437.20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3,951.62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49,724.64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12,600.00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105,650.00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93,150.00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8,287.44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4,401.91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1,202,700.54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168,287.44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石柱土家族自治县冷水镇产业发展服务中心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石柱土家族自治县冷水镇产业发展服务中心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石柱土家族自治县冷水镇产业发展服务中心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3"/>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B74261"/>
    <w:rsid w:val="01F3521E"/>
    <w:rsid w:val="03E3214F"/>
    <w:rsid w:val="04446191"/>
    <w:rsid w:val="044C50BA"/>
    <w:rsid w:val="06A2550B"/>
    <w:rsid w:val="06F80EE2"/>
    <w:rsid w:val="07001CCA"/>
    <w:rsid w:val="075678DB"/>
    <w:rsid w:val="08051BCA"/>
    <w:rsid w:val="081232CB"/>
    <w:rsid w:val="08887FC5"/>
    <w:rsid w:val="08BA052C"/>
    <w:rsid w:val="08DB07BA"/>
    <w:rsid w:val="098305D0"/>
    <w:rsid w:val="09B72B6E"/>
    <w:rsid w:val="0A3851D8"/>
    <w:rsid w:val="0A5C4B69"/>
    <w:rsid w:val="0AEC3BC7"/>
    <w:rsid w:val="0B9335CE"/>
    <w:rsid w:val="0BF751B0"/>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63F6D8E"/>
    <w:rsid w:val="189B0D0B"/>
    <w:rsid w:val="194A1770"/>
    <w:rsid w:val="19917D9C"/>
    <w:rsid w:val="19B906A4"/>
    <w:rsid w:val="1A1F744B"/>
    <w:rsid w:val="1A4854EC"/>
    <w:rsid w:val="1B6F15B6"/>
    <w:rsid w:val="1BAA2EDC"/>
    <w:rsid w:val="1CE157EE"/>
    <w:rsid w:val="1CEA6E7C"/>
    <w:rsid w:val="1D014A01"/>
    <w:rsid w:val="1D022362"/>
    <w:rsid w:val="1D297C66"/>
    <w:rsid w:val="1DD26311"/>
    <w:rsid w:val="1DE44B16"/>
    <w:rsid w:val="1E754405"/>
    <w:rsid w:val="1EF67CA4"/>
    <w:rsid w:val="1F15070B"/>
    <w:rsid w:val="1FCD26AF"/>
    <w:rsid w:val="20642787"/>
    <w:rsid w:val="21556F04"/>
    <w:rsid w:val="22403BD3"/>
    <w:rsid w:val="22C91E20"/>
    <w:rsid w:val="24B92327"/>
    <w:rsid w:val="2533755C"/>
    <w:rsid w:val="26396DF4"/>
    <w:rsid w:val="27167136"/>
    <w:rsid w:val="27B23302"/>
    <w:rsid w:val="29310A5F"/>
    <w:rsid w:val="29C37A35"/>
    <w:rsid w:val="29C95E09"/>
    <w:rsid w:val="2A076083"/>
    <w:rsid w:val="2A5218FD"/>
    <w:rsid w:val="2A73162E"/>
    <w:rsid w:val="2B167953"/>
    <w:rsid w:val="2B200583"/>
    <w:rsid w:val="2B8209DE"/>
    <w:rsid w:val="2C161D32"/>
    <w:rsid w:val="2C2D3EC7"/>
    <w:rsid w:val="2C6762A3"/>
    <w:rsid w:val="2D8D2A49"/>
    <w:rsid w:val="2FE029D7"/>
    <w:rsid w:val="2FF06E00"/>
    <w:rsid w:val="315D199F"/>
    <w:rsid w:val="315F0B22"/>
    <w:rsid w:val="31D84415"/>
    <w:rsid w:val="32285F6F"/>
    <w:rsid w:val="325E612F"/>
    <w:rsid w:val="32770556"/>
    <w:rsid w:val="329C0913"/>
    <w:rsid w:val="331B019D"/>
    <w:rsid w:val="3337290D"/>
    <w:rsid w:val="352930DB"/>
    <w:rsid w:val="35573069"/>
    <w:rsid w:val="356679FC"/>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CFE039D"/>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1F72149"/>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5A127B"/>
    <w:rsid w:val="4DAC4ACA"/>
    <w:rsid w:val="4E9361D0"/>
    <w:rsid w:val="4F186D58"/>
    <w:rsid w:val="4F2711ED"/>
    <w:rsid w:val="4F7A31F5"/>
    <w:rsid w:val="50463BC3"/>
    <w:rsid w:val="50EC262C"/>
    <w:rsid w:val="50F639B0"/>
    <w:rsid w:val="50FE23F8"/>
    <w:rsid w:val="515526FB"/>
    <w:rsid w:val="51594984"/>
    <w:rsid w:val="51D830B6"/>
    <w:rsid w:val="522F6E0C"/>
    <w:rsid w:val="52463BA1"/>
    <w:rsid w:val="53C0244D"/>
    <w:rsid w:val="53DD4D4E"/>
    <w:rsid w:val="53E578CE"/>
    <w:rsid w:val="543B029D"/>
    <w:rsid w:val="545D0246"/>
    <w:rsid w:val="554E5773"/>
    <w:rsid w:val="555A3CBC"/>
    <w:rsid w:val="56530F5D"/>
    <w:rsid w:val="58211E24"/>
    <w:rsid w:val="5842572D"/>
    <w:rsid w:val="5AE75037"/>
    <w:rsid w:val="5B0A1A92"/>
    <w:rsid w:val="5B584E6A"/>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310700"/>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8332285"/>
    <w:rsid w:val="692172FD"/>
    <w:rsid w:val="6A3829EE"/>
    <w:rsid w:val="6B474EF5"/>
    <w:rsid w:val="6C560CAE"/>
    <w:rsid w:val="6D0615E4"/>
    <w:rsid w:val="6D903FF5"/>
    <w:rsid w:val="6DA955B8"/>
    <w:rsid w:val="6DB30687"/>
    <w:rsid w:val="6DE346AB"/>
    <w:rsid w:val="6E3766E2"/>
    <w:rsid w:val="6F7F6A2D"/>
    <w:rsid w:val="6FB442D1"/>
    <w:rsid w:val="6FFB2E76"/>
    <w:rsid w:val="71C34D91"/>
    <w:rsid w:val="71ED38AA"/>
    <w:rsid w:val="720229AA"/>
    <w:rsid w:val="72DB435C"/>
    <w:rsid w:val="73AC41D5"/>
    <w:rsid w:val="750837F0"/>
    <w:rsid w:val="764F62AB"/>
    <w:rsid w:val="765C45EC"/>
    <w:rsid w:val="768A7619"/>
    <w:rsid w:val="76E14979"/>
    <w:rsid w:val="77EA362A"/>
    <w:rsid w:val="7875383E"/>
    <w:rsid w:val="796D60A4"/>
    <w:rsid w:val="79A031D5"/>
    <w:rsid w:val="7A1525F7"/>
    <w:rsid w:val="7A1F0E59"/>
    <w:rsid w:val="7A3E6CB6"/>
    <w:rsid w:val="7A680D2D"/>
    <w:rsid w:val="7B420052"/>
    <w:rsid w:val="7BD06A28"/>
    <w:rsid w:val="7C1E4CD7"/>
    <w:rsid w:val="7C3A7C0B"/>
    <w:rsid w:val="7C5248E4"/>
    <w:rsid w:val="7C566698"/>
    <w:rsid w:val="7E50670C"/>
    <w:rsid w:val="7FA112F3"/>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Body Text"/>
    <w:basedOn w:val="1"/>
    <w:next w:val="5"/>
    <w:unhideWhenUsed/>
    <w:qFormat/>
    <w:uiPriority w:val="0"/>
    <w:pPr>
      <w:spacing w:beforeLines="0" w:after="120" w:afterLines="0"/>
      <w:jc w:val="left"/>
    </w:pPr>
    <w:rPr>
      <w:rFonts w:hint="eastAsia" w:ascii="宋体" w:hAnsi="宋体" w:cs="宋体"/>
      <w:kern w:val="0"/>
      <w:sz w:val="24"/>
      <w:szCs w:val="24"/>
      <w:lang w:val="en-US" w:eastAsia="zh-CN" w:bidi="ar"/>
    </w:rPr>
  </w:style>
  <w:style w:type="paragraph" w:customStyle="1" w:styleId="5">
    <w:name w:val="默认"/>
    <w:basedOn w:val="1"/>
    <w:unhideWhenUsed/>
    <w:qFormat/>
    <w:uiPriority w:val="0"/>
    <w:pPr>
      <w:spacing w:beforeLines="0" w:afterLines="0"/>
      <w:jc w:val="left"/>
    </w:pPr>
    <w:rPr>
      <w:rFonts w:hint="default" w:ascii="Helvetica" w:hAnsi="Helvetica" w:cs="Helvetica"/>
      <w:color w:val="000000"/>
      <w:kern w:val="0"/>
      <w:sz w:val="22"/>
      <w:szCs w:val="22"/>
      <w:lang w:val="en-US" w:eastAsia="zh-CN" w:bidi="ar"/>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3</TotalTime>
  <ScaleCrop>false</ScaleCrop>
  <LinksUpToDate>false</LinksUpToDate>
  <CharactersWithSpaces>21460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Dana1O_1O</cp:lastModifiedBy>
  <dcterms:modified xsi:type="dcterms:W3CDTF">2025-10-10T03:02:11Z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BB46EABDBB2749749395447164B066B3_12</vt:lpwstr>
  </property>
</Properties>
</file>