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石柱土家族自治县冷水镇新时代文明实践服务中心</w:t>
      </w:r>
      <w:r>
        <w:rPr>
          <w:rFonts w:hint="default"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年度决算说明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一、</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宗旨：为开展新时代文明实践活动和群众文化活动提供服务。</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主要职责：贯彻落实文化、</w:t>
      </w:r>
      <w:bookmarkStart w:id="0" w:name="_GoBack"/>
      <w:bookmarkEnd w:id="0"/>
      <w:r>
        <w:rPr>
          <w:rFonts w:hint="eastAsia" w:ascii="Times New Roman" w:hAnsi="Times New Roman" w:eastAsia="方正仿宋_GBK" w:cs="Times New Roman"/>
          <w:snapToGrid w:val="0"/>
          <w:kern w:val="21"/>
          <w:sz w:val="32"/>
          <w:szCs w:val="24"/>
          <w:lang w:val="en-US" w:eastAsia="zh-CN" w:bidi="ar-SA"/>
        </w:rPr>
        <w:t>体育、新时代文明实践工作和精神文明建设工作的方针政策。负责指导、协调、规划辖区新时代文明实践、精神文明建设工作。负责精神文明建设先进典型培育、挖掘、推介工作。负责辖区志愿服务工作和志愿者队伍建设。负责乡镇、村两级文化体育阵地建设，承担辖区文化体育、广播电视等事务性工作。负责组织开展文化体育活动、文化交流。负责辖区内文物、非物质文化遗产的挖掘、保护及地方文献资料的收集整理工作。负责科技培训工作。负责指导各村开展文体活动。负责镇党委、人民政府交办的其他工作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根据上述职责，</w:t>
      </w:r>
      <w:r>
        <w:rPr>
          <w:rFonts w:hint="default" w:ascii="Times New Roman" w:hAnsi="Times New Roman" w:eastAsia="方正仿宋_GBK" w:cs="Times New Roman"/>
          <w:snapToGrid w:val="0"/>
          <w:kern w:val="21"/>
          <w:sz w:val="32"/>
          <w:szCs w:val="24"/>
          <w:lang w:val="en-US" w:eastAsia="zh-CN" w:bidi="ar-SA"/>
        </w:rPr>
        <w:t>设置</w:t>
      </w:r>
      <w:r>
        <w:rPr>
          <w:rFonts w:hint="eastAsia" w:ascii="Times New Roman" w:hAnsi="Times New Roman" w:eastAsia="方正仿宋_GBK" w:cs="Times New Roman"/>
          <w:snapToGrid w:val="0"/>
          <w:kern w:val="21"/>
          <w:sz w:val="32"/>
          <w:szCs w:val="24"/>
          <w:lang w:val="en-US" w:eastAsia="zh-CN" w:bidi="ar-SA"/>
        </w:rPr>
        <w:t>新时代文明实践</w:t>
      </w:r>
      <w:r>
        <w:rPr>
          <w:rFonts w:hint="default" w:ascii="Times New Roman" w:hAnsi="Times New Roman" w:eastAsia="方正仿宋_GBK" w:cs="Times New Roman"/>
          <w:snapToGrid w:val="0"/>
          <w:kern w:val="21"/>
          <w:sz w:val="32"/>
          <w:szCs w:val="24"/>
          <w:lang w:val="en-US" w:eastAsia="zh-CN" w:bidi="ar-SA"/>
        </w:rPr>
        <w:t>服务中心财政全额拨款公益一类副科级事业单位</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二、</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决算</w:t>
      </w:r>
      <w:r>
        <w:rPr>
          <w:rStyle w:val="12"/>
          <w:rFonts w:hint="eastAsia" w:ascii="方正黑体_GBK" w:hAnsi="方正黑体_GBK" w:eastAsia="方正黑体_GBK" w:cs="方正黑体_GBK"/>
          <w:b w:val="0"/>
          <w:bCs/>
          <w:sz w:val="32"/>
          <w:szCs w:val="32"/>
          <w:shd w:val="clear" w:color="auto" w:fill="FFFFFF"/>
          <w:lang w:eastAsia="zh-CN"/>
        </w:rPr>
        <w:t>收支</w:t>
      </w:r>
      <w:r>
        <w:rPr>
          <w:rStyle w:val="12"/>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年度收、支总计均为</w:t>
      </w:r>
      <w:r>
        <w:rPr>
          <w:rFonts w:hint="default" w:ascii="Times New Roman" w:hAnsi="Times New Roman" w:eastAsia="方正仿宋_GBK" w:cs="Times New Roman"/>
          <w:snapToGrid w:val="0"/>
          <w:kern w:val="21"/>
          <w:sz w:val="32"/>
          <w:szCs w:val="24"/>
          <w:lang w:val="en-US" w:eastAsia="zh-CN" w:bidi="ar-SA"/>
        </w:rPr>
        <w:t>35.15</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收、支与2023年度相比，增加14.37万元，增长69.2%</w:t>
      </w:r>
      <w:r>
        <w:rPr>
          <w:rFonts w:hint="eastAsia" w:ascii="Times New Roman" w:hAnsi="Times New Roman" w:eastAsia="方正仿宋_GBK" w:cs="Times New Roman"/>
          <w:snapToGrid w:val="0"/>
          <w:kern w:val="21"/>
          <w:sz w:val="32"/>
          <w:szCs w:val="24"/>
          <w:lang w:val="en-US" w:eastAsia="zh-CN" w:bidi="ar-SA"/>
        </w:rPr>
        <w:t>，主要原因是机构改革后，本年比上年新增2名事业人员，导致人员类经费增加。</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1、收入情况。</w:t>
      </w: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年度收入合计</w:t>
      </w:r>
      <w:r>
        <w:rPr>
          <w:rFonts w:hint="default" w:ascii="Times New Roman" w:hAnsi="Times New Roman" w:eastAsia="方正仿宋_GBK" w:cs="Times New Roman"/>
          <w:snapToGrid w:val="0"/>
          <w:kern w:val="21"/>
          <w:sz w:val="32"/>
          <w:szCs w:val="24"/>
          <w:lang w:val="en-US" w:eastAsia="zh-CN" w:bidi="ar-SA"/>
        </w:rPr>
        <w:t>35.15</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与2023年度相比，增加14.37万元，增长69.2%</w:t>
      </w:r>
      <w:r>
        <w:rPr>
          <w:rFonts w:hint="eastAsia" w:ascii="Times New Roman" w:hAnsi="Times New Roman" w:eastAsia="方正仿宋_GBK" w:cs="Times New Roman"/>
          <w:snapToGrid w:val="0"/>
          <w:kern w:val="21"/>
          <w:sz w:val="32"/>
          <w:szCs w:val="24"/>
          <w:lang w:val="en-US" w:eastAsia="zh-CN" w:bidi="ar-SA"/>
        </w:rPr>
        <w:t>，主要原因是机构改革后，本年比上年新增2名事业人员，导致人员类经费收入增加。其中：财政拨款收入</w:t>
      </w:r>
      <w:r>
        <w:rPr>
          <w:rFonts w:hint="default" w:ascii="Times New Roman" w:hAnsi="Times New Roman" w:eastAsia="方正仿宋_GBK" w:cs="Times New Roman"/>
          <w:snapToGrid w:val="0"/>
          <w:kern w:val="21"/>
          <w:sz w:val="32"/>
          <w:szCs w:val="24"/>
          <w:lang w:val="en-US" w:eastAsia="zh-CN" w:bidi="ar-SA"/>
        </w:rPr>
        <w:t>35.15</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100.0%</w:t>
      </w:r>
      <w:r>
        <w:rPr>
          <w:rFonts w:hint="eastAsia" w:ascii="Times New Roman" w:hAnsi="Times New Roman" w:eastAsia="方正仿宋_GBK" w:cs="Times New Roman"/>
          <w:snapToGrid w:val="0"/>
          <w:kern w:val="21"/>
          <w:sz w:val="32"/>
          <w:szCs w:val="24"/>
          <w:lang w:val="en-US" w:eastAsia="zh-CN" w:bidi="ar-SA"/>
        </w:rPr>
        <w:t>；事业收入</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0.0%</w:t>
      </w:r>
      <w:r>
        <w:rPr>
          <w:rFonts w:hint="eastAsia" w:ascii="Times New Roman" w:hAnsi="Times New Roman" w:eastAsia="方正仿宋_GBK" w:cs="Times New Roman"/>
          <w:snapToGrid w:val="0"/>
          <w:kern w:val="21"/>
          <w:sz w:val="32"/>
          <w:szCs w:val="24"/>
          <w:lang w:val="en-US" w:eastAsia="zh-CN" w:bidi="ar-SA"/>
        </w:rPr>
        <w:t>；经营收入</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0.0%</w:t>
      </w:r>
      <w:r>
        <w:rPr>
          <w:rFonts w:hint="eastAsia" w:ascii="Times New Roman" w:hAnsi="Times New Roman" w:eastAsia="方正仿宋_GBK" w:cs="Times New Roman"/>
          <w:snapToGrid w:val="0"/>
          <w:kern w:val="21"/>
          <w:sz w:val="32"/>
          <w:szCs w:val="24"/>
          <w:lang w:val="en-US" w:eastAsia="zh-CN" w:bidi="ar-SA"/>
        </w:rPr>
        <w:t>；其他收入</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0.0%</w:t>
      </w:r>
      <w:r>
        <w:rPr>
          <w:rFonts w:hint="eastAsia" w:ascii="Times New Roman" w:hAnsi="Times New Roman" w:eastAsia="方正仿宋_GBK" w:cs="Times New Roman"/>
          <w:snapToGrid w:val="0"/>
          <w:kern w:val="21"/>
          <w:sz w:val="32"/>
          <w:szCs w:val="24"/>
          <w:lang w:val="en-US" w:eastAsia="zh-CN" w:bidi="ar-SA"/>
        </w:rPr>
        <w:t>。此外，使用非财政拨款结余（含专用结余）</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万元，年初结转和结余</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2、支出情况。</w:t>
      </w: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年度支出合计</w:t>
      </w:r>
      <w:r>
        <w:rPr>
          <w:rFonts w:hint="default" w:ascii="Times New Roman" w:hAnsi="Times New Roman" w:eastAsia="方正仿宋_GBK" w:cs="Times New Roman"/>
          <w:snapToGrid w:val="0"/>
          <w:kern w:val="21"/>
          <w:sz w:val="32"/>
          <w:szCs w:val="24"/>
          <w:lang w:val="en-US" w:eastAsia="zh-CN" w:bidi="ar-SA"/>
        </w:rPr>
        <w:t>35.15</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与2023年度相比，增加14.37万元，增长69.2%</w:t>
      </w:r>
      <w:r>
        <w:rPr>
          <w:rFonts w:hint="eastAsia" w:ascii="Times New Roman" w:hAnsi="Times New Roman" w:eastAsia="方正仿宋_GBK" w:cs="Times New Roman"/>
          <w:snapToGrid w:val="0"/>
          <w:kern w:val="21"/>
          <w:sz w:val="32"/>
          <w:szCs w:val="24"/>
          <w:lang w:val="en-US" w:eastAsia="zh-CN" w:bidi="ar-SA"/>
        </w:rPr>
        <w:t>，主要原因是机构改革后，本年比上年新增2名事业人员，导致人员类经费支出增加。其中：基本支出</w:t>
      </w:r>
      <w:r>
        <w:rPr>
          <w:rFonts w:hint="default" w:ascii="Times New Roman" w:hAnsi="Times New Roman" w:eastAsia="方正仿宋_GBK" w:cs="Times New Roman"/>
          <w:snapToGrid w:val="0"/>
          <w:kern w:val="21"/>
          <w:sz w:val="32"/>
          <w:szCs w:val="24"/>
          <w:lang w:val="en-US" w:eastAsia="zh-CN" w:bidi="ar-SA"/>
        </w:rPr>
        <w:t>35.15</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100.0%</w:t>
      </w:r>
      <w:r>
        <w:rPr>
          <w:rFonts w:hint="eastAsia" w:ascii="Times New Roman" w:hAnsi="Times New Roman" w:eastAsia="方正仿宋_GBK" w:cs="Times New Roman"/>
          <w:snapToGrid w:val="0"/>
          <w:kern w:val="21"/>
          <w:sz w:val="32"/>
          <w:szCs w:val="24"/>
          <w:lang w:val="en-US" w:eastAsia="zh-CN" w:bidi="ar-SA"/>
        </w:rPr>
        <w:t>；项目支出</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0.0%</w:t>
      </w:r>
      <w:r>
        <w:rPr>
          <w:rFonts w:hint="eastAsia" w:ascii="Times New Roman" w:hAnsi="Times New Roman" w:eastAsia="方正仿宋_GBK" w:cs="Times New Roman"/>
          <w:snapToGrid w:val="0"/>
          <w:kern w:val="21"/>
          <w:sz w:val="32"/>
          <w:szCs w:val="24"/>
          <w:lang w:val="en-US" w:eastAsia="zh-CN" w:bidi="ar-SA"/>
        </w:rPr>
        <w:t>；经营支出</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0.0%</w:t>
      </w:r>
      <w:r>
        <w:rPr>
          <w:rFonts w:hint="eastAsia" w:ascii="Times New Roman" w:hAnsi="Times New Roman" w:eastAsia="方正仿宋_GBK" w:cs="Times New Roman"/>
          <w:snapToGrid w:val="0"/>
          <w:kern w:val="21"/>
          <w:sz w:val="32"/>
          <w:szCs w:val="24"/>
          <w:lang w:val="en-US" w:eastAsia="zh-CN" w:bidi="ar-SA"/>
        </w:rPr>
        <w:t>。此外，结余</w:t>
      </w:r>
      <w:r>
        <w:rPr>
          <w:rFonts w:hint="default" w:ascii="Times New Roman" w:hAnsi="Times New Roman" w:eastAsia="方正仿宋_GBK" w:cs="Times New Roman"/>
          <w:snapToGrid w:val="0"/>
          <w:kern w:val="21"/>
          <w:sz w:val="32"/>
          <w:szCs w:val="24"/>
          <w:lang w:val="en-US" w:eastAsia="zh-CN" w:bidi="ar-SA"/>
        </w:rPr>
        <w:t>分配0.00万元。</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w:t>
      </w:r>
      <w:r>
        <w:rPr>
          <w:rFonts w:hint="default" w:ascii="Times New Roman" w:hAnsi="Times New Roman" w:eastAsia="方正仿宋_GBK" w:cs="Times New Roman"/>
          <w:snapToGrid w:val="0"/>
          <w:kern w:val="21"/>
          <w:sz w:val="32"/>
          <w:szCs w:val="24"/>
          <w:lang w:val="en-US" w:eastAsia="zh-CN" w:bidi="ar-SA"/>
        </w:rPr>
        <w:t>结转结余情况。2024年度年末结转和结余0.00万元，与2023年度相比，无增减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年度财政拨款收、支总计均为</w:t>
      </w:r>
      <w:r>
        <w:rPr>
          <w:rFonts w:hint="default" w:ascii="Times New Roman" w:hAnsi="Times New Roman" w:eastAsia="方正仿宋_GBK" w:cs="Times New Roman"/>
          <w:snapToGrid w:val="0"/>
          <w:kern w:val="21"/>
          <w:sz w:val="32"/>
          <w:szCs w:val="24"/>
          <w:lang w:val="en-US" w:eastAsia="zh-CN" w:bidi="ar-SA"/>
        </w:rPr>
        <w:t>35.15</w:t>
      </w:r>
      <w:r>
        <w:rPr>
          <w:rFonts w:hint="eastAsia" w:ascii="Times New Roman" w:hAnsi="Times New Roman" w:eastAsia="方正仿宋_GBK" w:cs="Times New Roman"/>
          <w:snapToGrid w:val="0"/>
          <w:kern w:val="21"/>
          <w:sz w:val="32"/>
          <w:szCs w:val="24"/>
          <w:lang w:val="en-US" w:eastAsia="zh-CN" w:bidi="ar-SA"/>
        </w:rPr>
        <w:t>万元。与</w:t>
      </w:r>
      <w:r>
        <w:rPr>
          <w:rFonts w:hint="default" w:ascii="Times New Roman" w:hAnsi="Times New Roman" w:eastAsia="方正仿宋_GBK" w:cs="Times New Roman"/>
          <w:snapToGrid w:val="0"/>
          <w:kern w:val="21"/>
          <w:sz w:val="32"/>
          <w:szCs w:val="24"/>
          <w:lang w:val="en-US" w:eastAsia="zh-CN" w:bidi="ar-SA"/>
        </w:rPr>
        <w:t>2023</w:t>
      </w:r>
      <w:r>
        <w:rPr>
          <w:rFonts w:hint="eastAsia" w:ascii="Times New Roman" w:hAnsi="Times New Roman" w:eastAsia="方正仿宋_GBK" w:cs="Times New Roman"/>
          <w:snapToGrid w:val="0"/>
          <w:kern w:val="21"/>
          <w:sz w:val="32"/>
          <w:szCs w:val="24"/>
          <w:lang w:val="en-US" w:eastAsia="zh-CN" w:bidi="ar-SA"/>
        </w:rPr>
        <w:t>年度相比，</w:t>
      </w:r>
      <w:r>
        <w:rPr>
          <w:rFonts w:hint="default" w:ascii="Times New Roman" w:hAnsi="Times New Roman" w:eastAsia="方正仿宋_GBK" w:cs="Times New Roman"/>
          <w:snapToGrid w:val="0"/>
          <w:kern w:val="21"/>
          <w:sz w:val="32"/>
          <w:szCs w:val="24"/>
          <w:lang w:val="en-US" w:eastAsia="zh-CN" w:bidi="ar-SA"/>
        </w:rPr>
        <w:t>财政拨款收、支总计各增加14.37万元，增长69.2%</w:t>
      </w:r>
      <w:r>
        <w:rPr>
          <w:rFonts w:hint="eastAsia" w:ascii="Times New Roman" w:hAnsi="Times New Roman" w:eastAsia="方正仿宋_GBK" w:cs="Times New Roman"/>
          <w:snapToGrid w:val="0"/>
          <w:kern w:val="21"/>
          <w:sz w:val="32"/>
          <w:szCs w:val="24"/>
          <w:lang w:val="en-US" w:eastAsia="zh-CN" w:bidi="ar-SA"/>
        </w:rPr>
        <w:t>。主要原因是机构改革后，本年比上年新增2名事业人员，导致人员类经费增加。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1、收入情况。</w:t>
      </w: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年度一般公共预算财政拨款收入</w:t>
      </w:r>
      <w:r>
        <w:rPr>
          <w:rFonts w:hint="default" w:ascii="Times New Roman" w:hAnsi="Times New Roman" w:eastAsia="方正仿宋_GBK" w:cs="Times New Roman"/>
          <w:snapToGrid w:val="0"/>
          <w:kern w:val="21"/>
          <w:sz w:val="32"/>
          <w:szCs w:val="24"/>
          <w:lang w:val="en-US" w:eastAsia="zh-CN" w:bidi="ar-SA"/>
        </w:rPr>
        <w:t>35.15</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与2023年度相比，增加14.37万元，增长69.2%</w:t>
      </w:r>
      <w:r>
        <w:rPr>
          <w:rFonts w:hint="eastAsia" w:ascii="Times New Roman" w:hAnsi="Times New Roman" w:eastAsia="方正仿宋_GBK" w:cs="Times New Roman"/>
          <w:snapToGrid w:val="0"/>
          <w:kern w:val="21"/>
          <w:sz w:val="32"/>
          <w:szCs w:val="24"/>
          <w:lang w:val="en-US" w:eastAsia="zh-CN" w:bidi="ar-SA"/>
        </w:rPr>
        <w:t>。主要原因是机构改革后，本年比上年新增2名事业人员，导致人员类经费收入增加。</w:t>
      </w:r>
      <w:r>
        <w:rPr>
          <w:rFonts w:hint="default" w:ascii="Times New Roman" w:hAnsi="Times New Roman" w:eastAsia="方正仿宋_GBK" w:cs="Times New Roman"/>
          <w:snapToGrid w:val="0"/>
          <w:kern w:val="21"/>
          <w:sz w:val="32"/>
          <w:szCs w:val="24"/>
          <w:lang w:val="en-US" w:eastAsia="zh-CN" w:bidi="ar-SA"/>
        </w:rPr>
        <w:t>较年初预算数增加17.70万元，增长101.4%</w:t>
      </w:r>
      <w:r>
        <w:rPr>
          <w:rFonts w:hint="eastAsia" w:ascii="Times New Roman" w:hAnsi="Times New Roman" w:eastAsia="方正仿宋_GBK" w:cs="Times New Roman"/>
          <w:snapToGrid w:val="0"/>
          <w:kern w:val="21"/>
          <w:sz w:val="32"/>
          <w:szCs w:val="24"/>
          <w:lang w:val="en-US" w:eastAsia="zh-CN" w:bidi="ar-SA"/>
        </w:rPr>
        <w:t>。主要原因是年初预算1人人员类经费，年中增加3人，人员类经费收入增加。此外，年初财政拨款结转和结余</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2、支出情况。</w:t>
      </w: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年度一般公共预算财政拨款支出</w:t>
      </w:r>
      <w:r>
        <w:rPr>
          <w:rFonts w:hint="default" w:ascii="Times New Roman" w:hAnsi="Times New Roman" w:eastAsia="方正仿宋_GBK" w:cs="Times New Roman"/>
          <w:snapToGrid w:val="0"/>
          <w:kern w:val="21"/>
          <w:sz w:val="32"/>
          <w:szCs w:val="24"/>
          <w:lang w:val="en-US" w:eastAsia="zh-CN" w:bidi="ar-SA"/>
        </w:rPr>
        <w:t>35.15</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与2023年度相比，增加14.37万元，增长69.2%</w:t>
      </w:r>
      <w:r>
        <w:rPr>
          <w:rFonts w:hint="eastAsia" w:ascii="Times New Roman" w:hAnsi="Times New Roman" w:eastAsia="方正仿宋_GBK" w:cs="Times New Roman"/>
          <w:snapToGrid w:val="0"/>
          <w:kern w:val="21"/>
          <w:sz w:val="32"/>
          <w:szCs w:val="24"/>
          <w:lang w:val="en-US" w:eastAsia="zh-CN" w:bidi="ar-SA"/>
        </w:rPr>
        <w:t>。主要原因是机构改革后，本年比上年新增2名事业人员，导致人员类经费收入增加。</w:t>
      </w:r>
      <w:r>
        <w:rPr>
          <w:rFonts w:hint="default" w:ascii="Times New Roman" w:hAnsi="Times New Roman" w:eastAsia="方正仿宋_GBK" w:cs="Times New Roman"/>
          <w:snapToGrid w:val="0"/>
          <w:kern w:val="21"/>
          <w:sz w:val="32"/>
          <w:szCs w:val="24"/>
          <w:lang w:val="en-US" w:eastAsia="zh-CN" w:bidi="ar-SA"/>
        </w:rPr>
        <w:t>较年初预算数增加17.70万元，增长101.4%</w:t>
      </w:r>
      <w:r>
        <w:rPr>
          <w:rFonts w:hint="eastAsia" w:ascii="Times New Roman" w:hAnsi="Times New Roman" w:eastAsia="方正仿宋_GBK" w:cs="Times New Roman"/>
          <w:snapToGrid w:val="0"/>
          <w:kern w:val="21"/>
          <w:sz w:val="32"/>
          <w:szCs w:val="24"/>
          <w:lang w:val="en-US" w:eastAsia="zh-CN" w:bidi="ar-SA"/>
        </w:rPr>
        <w:t>。主要原因是年初预算1人人员类经费，年中增加3人，人员类经费支出增加。</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一般公共预算财政拨款支出主要用途如下：</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（1）文化旅游体育与传媒支出</w:t>
      </w:r>
      <w:r>
        <w:rPr>
          <w:rFonts w:hint="default" w:ascii="Times New Roman" w:hAnsi="Times New Roman" w:eastAsia="方正仿宋_GBK" w:cs="Times New Roman"/>
          <w:snapToGrid w:val="0"/>
          <w:kern w:val="21"/>
          <w:sz w:val="32"/>
          <w:szCs w:val="24"/>
          <w:lang w:val="en-US" w:eastAsia="zh-CN" w:bidi="ar-SA"/>
        </w:rPr>
        <w:t>29.85</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84.9%</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较年初预算数增加16.02万元，增长115.8%</w:t>
      </w:r>
      <w:r>
        <w:rPr>
          <w:rFonts w:hint="eastAsia" w:ascii="Times New Roman" w:hAnsi="Times New Roman" w:eastAsia="方正仿宋_GBK" w:cs="Times New Roman"/>
          <w:snapToGrid w:val="0"/>
          <w:kern w:val="21"/>
          <w:sz w:val="32"/>
          <w:szCs w:val="24"/>
          <w:lang w:val="en-US" w:eastAsia="zh-CN" w:bidi="ar-SA"/>
        </w:rPr>
        <w:t>，主要原因是年初预算1人，年中增加3人，人员工资、津补贴等支出增加。</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（2）社会保障和就业支出</w:t>
      </w:r>
      <w:r>
        <w:rPr>
          <w:rFonts w:hint="default" w:ascii="Times New Roman" w:hAnsi="Times New Roman" w:eastAsia="方正仿宋_GBK" w:cs="Times New Roman"/>
          <w:snapToGrid w:val="0"/>
          <w:kern w:val="21"/>
          <w:sz w:val="32"/>
          <w:szCs w:val="24"/>
          <w:lang w:val="en-US" w:eastAsia="zh-CN" w:bidi="ar-SA"/>
        </w:rPr>
        <w:t>3.48</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9.9%</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较年初预算数增加1.68万元，增长93.3%</w:t>
      </w:r>
      <w:r>
        <w:rPr>
          <w:rFonts w:hint="eastAsia" w:ascii="Times New Roman" w:hAnsi="Times New Roman" w:eastAsia="方正仿宋_GBK" w:cs="Times New Roman"/>
          <w:snapToGrid w:val="0"/>
          <w:kern w:val="21"/>
          <w:sz w:val="32"/>
          <w:szCs w:val="24"/>
          <w:lang w:val="en-US" w:eastAsia="zh-CN" w:bidi="ar-SA"/>
        </w:rPr>
        <w:t>，主要原因是年初预算1人人员类经费，年中增加3人，养老保险、职业年金等支出增加。</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（3）卫生健康支出</w:t>
      </w:r>
      <w:r>
        <w:rPr>
          <w:rFonts w:hint="default" w:ascii="Times New Roman" w:hAnsi="Times New Roman" w:eastAsia="方正仿宋_GBK" w:cs="Times New Roman"/>
          <w:snapToGrid w:val="0"/>
          <w:kern w:val="21"/>
          <w:sz w:val="32"/>
          <w:szCs w:val="24"/>
          <w:lang w:val="en-US" w:eastAsia="zh-CN" w:bidi="ar-SA"/>
        </w:rPr>
        <w:t>0.92</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2.6%</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较年初预算数无增减</w:t>
      </w:r>
      <w:r>
        <w:rPr>
          <w:rFonts w:hint="eastAsia" w:ascii="Times New Roman" w:hAnsi="Times New Roman" w:eastAsia="方正仿宋_GBK" w:cs="Times New Roman"/>
          <w:snapToGrid w:val="0"/>
          <w:kern w:val="21"/>
          <w:sz w:val="32"/>
          <w:szCs w:val="24"/>
          <w:lang w:val="en-US" w:eastAsia="zh-CN" w:bidi="ar-SA"/>
        </w:rPr>
        <w:t>，主要原因是年初预算1人，年中增加3人，医疗保险等支出增加。</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（4）住房保障支出</w:t>
      </w:r>
      <w:r>
        <w:rPr>
          <w:rFonts w:hint="default" w:ascii="Times New Roman" w:hAnsi="Times New Roman" w:eastAsia="方正仿宋_GBK" w:cs="Times New Roman"/>
          <w:snapToGrid w:val="0"/>
          <w:kern w:val="21"/>
          <w:sz w:val="32"/>
          <w:szCs w:val="24"/>
          <w:lang w:val="en-US" w:eastAsia="zh-CN" w:bidi="ar-SA"/>
        </w:rPr>
        <w:t>0.90</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2.6%</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较年初预算数无增减</w:t>
      </w:r>
      <w:r>
        <w:rPr>
          <w:rFonts w:hint="eastAsia" w:ascii="Times New Roman" w:hAnsi="Times New Roman" w:eastAsia="方正仿宋_GBK" w:cs="Times New Roman"/>
          <w:snapToGrid w:val="0"/>
          <w:kern w:val="21"/>
          <w:sz w:val="32"/>
          <w:szCs w:val="24"/>
          <w:lang w:val="en-US" w:eastAsia="zh-CN" w:bidi="ar-SA"/>
        </w:rPr>
        <w:t>，主要原因是年初预算1人，年中增加3人，住房公积金支出增加。</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w:t>
      </w:r>
      <w:r>
        <w:rPr>
          <w:rFonts w:hint="default" w:ascii="Times New Roman" w:hAnsi="Times New Roman" w:eastAsia="方正仿宋_GBK" w:cs="Times New Roman"/>
          <w:snapToGrid w:val="0"/>
          <w:kern w:val="21"/>
          <w:sz w:val="32"/>
          <w:szCs w:val="24"/>
          <w:lang w:val="en-US" w:eastAsia="zh-CN" w:bidi="ar-SA"/>
        </w:rPr>
        <w:t>结转结余情况。2024年度年末一般公共预算财政拨款结转和结余0.00万元，与2023年度相比，无增减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2024年度一般公共财政拨款基本支出35.15万元。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其中：人员经费33.00万元，与2023年度相比，增加14.37万元，增长77.1%，主要原因是</w:t>
      </w:r>
      <w:r>
        <w:rPr>
          <w:rFonts w:hint="eastAsia" w:ascii="Times New Roman" w:hAnsi="Times New Roman" w:eastAsia="方正仿宋_GBK" w:cs="Times New Roman"/>
          <w:snapToGrid w:val="0"/>
          <w:kern w:val="21"/>
          <w:sz w:val="32"/>
          <w:szCs w:val="24"/>
          <w:lang w:val="en-US" w:eastAsia="zh-CN" w:bidi="ar-SA"/>
        </w:rPr>
        <w:t>机构改革后，本年比上年新增2名事业人员，导致人员类经费收入增加。</w:t>
      </w:r>
      <w:r>
        <w:rPr>
          <w:rFonts w:hint="default" w:ascii="Times New Roman" w:hAnsi="Times New Roman" w:eastAsia="方正仿宋_GBK" w:cs="Times New Roman"/>
          <w:snapToGrid w:val="0"/>
          <w:kern w:val="21"/>
          <w:sz w:val="32"/>
          <w:szCs w:val="24"/>
          <w:lang w:val="en-US" w:eastAsia="zh-CN" w:bidi="ar-SA"/>
        </w:rPr>
        <w:t>人员经费用途主要包括</w:t>
      </w:r>
      <w:r>
        <w:rPr>
          <w:rFonts w:hint="eastAsia" w:ascii="Times New Roman" w:hAnsi="Times New Roman" w:eastAsia="方正仿宋_GBK" w:cs="Times New Roman"/>
          <w:snapToGrid w:val="0"/>
          <w:kern w:val="21"/>
          <w:sz w:val="32"/>
          <w:szCs w:val="24"/>
          <w:lang w:val="en-US" w:eastAsia="zh-CN" w:bidi="ar-SA"/>
        </w:rPr>
        <w:t>基本工资、津贴补贴、社会保障缴费、住房公积金等。</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公用经费2.15万元，与2023年度相比，无增减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（五）政府性基金预算收支决算情况说明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2024年度无政府性基金预算财政拨款收支。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三、</w:t>
      </w:r>
      <w:r>
        <w:rPr>
          <w:rStyle w:val="12"/>
          <w:rFonts w:hint="eastAsia" w:ascii="方正黑体_GBK" w:hAnsi="方正黑体_GBK" w:eastAsia="方正黑体_GBK" w:cs="方正黑体_GBK"/>
          <w:b w:val="0"/>
          <w:bCs/>
          <w:sz w:val="32"/>
          <w:szCs w:val="32"/>
          <w:shd w:val="clear" w:color="auto" w:fill="FFFFFF"/>
          <w:lang w:eastAsia="zh-CN"/>
        </w:rPr>
        <w:t>财政拨款</w:t>
      </w:r>
      <w:r>
        <w:rPr>
          <w:rStyle w:val="12"/>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（一）“三公”经费支出总体情况说明</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2024年度“三公”经费支出共计0.00万元，较年初预算数无增减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（二）“三公”经费分项支出情况</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因公出国（境）费用0.00万元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w:t>
      </w:r>
      <w:r>
        <w:rPr>
          <w:rFonts w:hint="eastAsia" w:ascii="Times New Roman" w:hAnsi="Times New Roman" w:eastAsia="方正仿宋_GBK" w:cs="Times New Roman"/>
          <w:snapToGrid w:val="0"/>
          <w:kern w:val="21"/>
          <w:sz w:val="32"/>
          <w:szCs w:val="24"/>
          <w:lang w:val="en-US" w:eastAsia="zh-CN" w:bidi="ar-SA"/>
        </w:rPr>
        <w:t>用</w:t>
      </w:r>
      <w:r>
        <w:rPr>
          <w:rFonts w:hint="default" w:ascii="Times New Roman" w:hAnsi="Times New Roman" w:eastAsia="方正仿宋_GBK" w:cs="Times New Roman"/>
          <w:snapToGrid w:val="0"/>
          <w:kern w:val="21"/>
          <w:sz w:val="32"/>
          <w:szCs w:val="24"/>
          <w:lang w:val="en-US" w:eastAsia="zh-CN" w:bidi="ar-SA"/>
        </w:rPr>
        <w:t>车购置费0.00万元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w:t>
      </w:r>
      <w:r>
        <w:rPr>
          <w:rFonts w:hint="eastAsia" w:ascii="Times New Roman" w:hAnsi="Times New Roman" w:eastAsia="方正仿宋_GBK" w:cs="Times New Roman"/>
          <w:snapToGrid w:val="0"/>
          <w:kern w:val="21"/>
          <w:sz w:val="32"/>
          <w:szCs w:val="24"/>
          <w:lang w:val="en-US" w:eastAsia="zh-CN" w:bidi="ar-SA"/>
        </w:rPr>
        <w:t>用</w:t>
      </w:r>
      <w:r>
        <w:rPr>
          <w:rFonts w:hint="default" w:ascii="Times New Roman" w:hAnsi="Times New Roman" w:eastAsia="方正仿宋_GBK" w:cs="Times New Roman"/>
          <w:snapToGrid w:val="0"/>
          <w:kern w:val="21"/>
          <w:sz w:val="32"/>
          <w:szCs w:val="24"/>
          <w:lang w:val="en-US" w:eastAsia="zh-CN" w:bidi="ar-SA"/>
        </w:rPr>
        <w:t>车运行维护费0.00万元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公务接待费0.00万元，费用支出较年初预算数无增减，较上年支出数无增减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（三）“三公”经费实物量情况</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0.10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与2023年度相比，增加0.10万元，增长100.0%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napToGrid w:val="0"/>
          <w:kern w:val="21"/>
          <w:sz w:val="32"/>
          <w:szCs w:val="24"/>
          <w:lang w:val="en-US" w:eastAsia="zh-CN" w:bidi="ar-SA"/>
        </w:rPr>
        <w:t>主要原因是</w:t>
      </w:r>
      <w:r>
        <w:rPr>
          <w:rFonts w:hint="eastAsia" w:ascii="Times New Roman" w:hAnsi="Times New Roman" w:eastAsia="方正仿宋_GBK" w:cs="Times New Roman"/>
          <w:snapToGrid w:val="0"/>
          <w:kern w:val="21"/>
          <w:sz w:val="32"/>
          <w:szCs w:val="24"/>
          <w:lang w:val="en-US" w:eastAsia="zh-CN" w:bidi="ar-SA"/>
        </w:rPr>
        <w:t>职工出差费用增加。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（二）机关运行经费情况说明</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按照部门决算列报口径，我</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不在机关运行经费统计范围</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（三）国有资产占用情况说明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截至2024年12月31日，本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（四）政府采购支出情况说明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2024年度我</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未发生政府采购事项，无相关经费支出。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黑体_GBK"/>
          <w:snapToGrid w:val="0"/>
          <w:kern w:val="21"/>
          <w:sz w:val="32"/>
        </w:rPr>
      </w:pPr>
      <w:r>
        <w:rPr>
          <w:rFonts w:hint="eastAsia" w:ascii="Times New Roman" w:hAnsi="Times New Roman" w:eastAsia="方正黑体_GBK"/>
          <w:snapToGrid w:val="0"/>
          <w:kern w:val="21"/>
          <w:sz w:val="32"/>
          <w:lang w:eastAsia="zh-CN"/>
        </w:rPr>
        <w:t>五、</w:t>
      </w:r>
      <w:r>
        <w:rPr>
          <w:rFonts w:hint="eastAsia" w:ascii="Times New Roman" w:hAnsi="Times New Roman" w:eastAsia="方正黑体_GBK"/>
          <w:snapToGrid w:val="0"/>
          <w:kern w:val="21"/>
          <w:sz w:val="32"/>
        </w:rPr>
        <w:t>预算绩效管理情况说明</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snapToGrid w:val="0"/>
          <w:kern w:val="21"/>
          <w:sz w:val="32"/>
        </w:rPr>
      </w:pPr>
      <w:r>
        <w:rPr>
          <w:rFonts w:hint="eastAsia" w:ascii="Times New Roman" w:hAnsi="Times New Roman" w:eastAsia="方正楷体_GBK"/>
          <w:snapToGrid w:val="0"/>
          <w:kern w:val="21"/>
          <w:sz w:val="32"/>
          <w:lang w:eastAsia="zh-CN"/>
        </w:rPr>
        <w:t>（一）</w:t>
      </w:r>
      <w:r>
        <w:rPr>
          <w:rFonts w:hint="eastAsia" w:ascii="Times New Roman" w:hAnsi="Times New Roman" w:eastAsia="方正楷体_GBK"/>
          <w:snapToGrid w:val="0"/>
          <w:kern w:val="21"/>
          <w:sz w:val="32"/>
        </w:rPr>
        <w:t>单位自评情况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lang w:val="en-US" w:eastAsia="zh-CN"/>
        </w:rPr>
        <w:t>本单位不涉及。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楷体_GBK"/>
          <w:snapToGrid w:val="0"/>
          <w:kern w:val="21"/>
          <w:sz w:val="32"/>
        </w:rPr>
      </w:pPr>
      <w:r>
        <w:rPr>
          <w:rFonts w:hint="eastAsia" w:ascii="Times New Roman" w:hAnsi="Times New Roman" w:eastAsia="方正楷体_GBK"/>
          <w:snapToGrid w:val="0"/>
          <w:kern w:val="21"/>
          <w:sz w:val="32"/>
        </w:rPr>
        <w:t>（二）单位绩效评价情况</w:t>
      </w:r>
    </w:p>
    <w:p>
      <w:pPr>
        <w:pStyle w:val="9"/>
        <w:keepNext w:val="0"/>
        <w:keepLines w:val="0"/>
        <w:pageBreakBefore w:val="0"/>
        <w:kinsoku/>
        <w:wordWrap/>
        <w:overflowPunct/>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我单位未组织开展绩效评价。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楷体_GBK"/>
          <w:snapToGrid w:val="0"/>
          <w:kern w:val="21"/>
          <w:sz w:val="32"/>
        </w:rPr>
      </w:pPr>
      <w:r>
        <w:rPr>
          <w:rFonts w:hint="eastAsia" w:ascii="Times New Roman" w:hAnsi="Times New Roman" w:eastAsia="方正楷体_GBK"/>
          <w:snapToGrid w:val="0"/>
          <w:kern w:val="21"/>
          <w:sz w:val="32"/>
        </w:rPr>
        <w:t>（三）财政绩效评价情况</w:t>
      </w:r>
    </w:p>
    <w:p>
      <w:pPr>
        <w:pStyle w:val="13"/>
        <w:keepNext w:val="0"/>
        <w:keepLines w:val="0"/>
        <w:pageBreakBefore w:val="0"/>
        <w:kinsoku/>
        <w:wordWrap/>
        <w:overflowPunct/>
        <w:autoSpaceDE w:val="0"/>
        <w:autoSpaceDN/>
        <w:bidi w:val="0"/>
        <w:adjustRightInd/>
        <w:spacing w:beforeAutospacing="0" w:afterAutospacing="0" w:line="594" w:lineRule="exact"/>
        <w:ind w:left="0" w:leftChars="0"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市财政局未委托第三方对我单位开展绩效评价。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lang w:val="en-US" w:eastAsia="zh-CN"/>
        </w:rPr>
      </w:pPr>
      <w:r>
        <w:rPr>
          <w:rFonts w:hint="eastAsia" w:ascii="Times New Roman" w:hAnsi="Times New Roman" w:eastAsia="方正黑体_GBK"/>
          <w:snapToGrid w:val="0"/>
          <w:kern w:val="21"/>
          <w:sz w:val="32"/>
          <w:lang w:val="en-US" w:eastAsia="zh-CN"/>
        </w:rPr>
        <w:t>六、专业名词解释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（一）财政拨款收入：</w:t>
      </w:r>
      <w:r>
        <w:rPr>
          <w:rFonts w:hint="eastAsia" w:ascii="Times New Roman" w:hAnsi="Times New Roman" w:eastAsia="方正仿宋_GBK"/>
          <w:snapToGrid w:val="0"/>
          <w:kern w:val="21"/>
          <w:sz w:val="32"/>
          <w:lang w:val="en-US" w:eastAsia="zh-CN"/>
        </w:rPr>
        <w:t>指本年度从本级财政部门取得的财政拨款，包括一般公共预算财政拨款和政府性基金预算财政拨款。</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（二）事业收入：</w:t>
      </w:r>
      <w:r>
        <w:rPr>
          <w:rFonts w:hint="eastAsia" w:ascii="Times New Roman" w:hAnsi="Times New Roman" w:eastAsia="方正仿宋_GBK"/>
          <w:snapToGrid w:val="0"/>
          <w:kern w:val="21"/>
          <w:sz w:val="32"/>
          <w:lang w:val="en-US" w:eastAsia="zh-CN"/>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（三）经营收入：</w:t>
      </w:r>
      <w:r>
        <w:rPr>
          <w:rFonts w:hint="eastAsia" w:ascii="Times New Roman" w:hAnsi="Times New Roman" w:eastAsia="方正仿宋_GBK"/>
          <w:snapToGrid w:val="0"/>
          <w:kern w:val="21"/>
          <w:sz w:val="32"/>
          <w:lang w:val="en-US" w:eastAsia="zh-CN"/>
        </w:rPr>
        <w:t>指事业单位在专业业务活动及其辅助活动之外开展非独立核算经营活动取得的现金流入。</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（四）其他收入：</w:t>
      </w:r>
      <w:r>
        <w:rPr>
          <w:rFonts w:hint="eastAsia" w:ascii="Times New Roman" w:hAnsi="Times New Roman" w:eastAsia="方正仿宋_GBK"/>
          <w:snapToGrid w:val="0"/>
          <w:kern w:val="21"/>
          <w:sz w:val="32"/>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（五）使用非财政拨款结余：</w:t>
      </w:r>
      <w:r>
        <w:rPr>
          <w:rFonts w:hint="eastAsia" w:ascii="Times New Roman" w:hAnsi="Times New Roman" w:eastAsia="方正仿宋_GBK"/>
          <w:snapToGrid w:val="0"/>
          <w:kern w:val="21"/>
          <w:sz w:val="32"/>
          <w:lang w:val="en-US" w:eastAsia="zh-CN"/>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（六）年初结转和结余：</w:t>
      </w:r>
      <w:r>
        <w:rPr>
          <w:rFonts w:hint="eastAsia" w:ascii="Times New Roman" w:hAnsi="Times New Roman" w:eastAsia="方正仿宋_GBK"/>
          <w:snapToGrid w:val="0"/>
          <w:kern w:val="21"/>
          <w:sz w:val="32"/>
          <w:lang w:val="en-US" w:eastAsia="zh-CN"/>
        </w:rPr>
        <w:t>指单位上年结转本年使用的基本支出结转、项目支出结转和结余、经营结余。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（七）结余分配：</w:t>
      </w:r>
      <w:r>
        <w:rPr>
          <w:rFonts w:hint="eastAsia" w:ascii="Times New Roman" w:hAnsi="Times New Roman" w:eastAsia="方正仿宋_GBK"/>
          <w:snapToGrid w:val="0"/>
          <w:kern w:val="21"/>
          <w:sz w:val="32"/>
          <w:lang w:val="en-US" w:eastAsia="zh-CN"/>
        </w:rPr>
        <w:t>指单位按照国家有关规定，缴纳所得税、提取专用基金、转入非财政拨款结余等当年结余的分配情况。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（八）年末结转和结余：</w:t>
      </w:r>
      <w:r>
        <w:rPr>
          <w:rFonts w:hint="eastAsia" w:ascii="Times New Roman" w:hAnsi="Times New Roman" w:eastAsia="方正仿宋_GBK"/>
          <w:snapToGrid w:val="0"/>
          <w:kern w:val="21"/>
          <w:sz w:val="32"/>
          <w:lang w:val="en-US" w:eastAsia="zh-CN"/>
        </w:rPr>
        <w:t>指单位结转下年的基本支出结转、项目支出结转和结余、经营结余。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（九）基本支出：</w:t>
      </w:r>
      <w:r>
        <w:rPr>
          <w:rFonts w:hint="eastAsia" w:ascii="Times New Roman" w:hAnsi="Times New Roman" w:eastAsia="方正仿宋_GBK"/>
          <w:snapToGrid w:val="0"/>
          <w:kern w:val="21"/>
          <w:sz w:val="32"/>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（十）项目支出：</w:t>
      </w:r>
      <w:r>
        <w:rPr>
          <w:rFonts w:hint="eastAsia" w:ascii="Times New Roman" w:hAnsi="Times New Roman" w:eastAsia="方正仿宋_GBK"/>
          <w:snapToGrid w:val="0"/>
          <w:kern w:val="21"/>
          <w:sz w:val="32"/>
          <w:lang w:val="en-US" w:eastAsia="zh-CN"/>
        </w:rPr>
        <w:t>指在基本支出之外为完成特定行政任务和事业发展目标所发生的支出。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（十一）经营支出：</w:t>
      </w:r>
      <w:r>
        <w:rPr>
          <w:rFonts w:hint="eastAsia" w:ascii="Times New Roman" w:hAnsi="Times New Roman" w:eastAsia="方正仿宋_GBK"/>
          <w:snapToGrid w:val="0"/>
          <w:kern w:val="21"/>
          <w:sz w:val="32"/>
          <w:lang w:val="en-US" w:eastAsia="zh-CN"/>
        </w:rPr>
        <w:t>指事业单位在专业业务活动及其辅助活动之外开展非独立核算经营活动发生的支出。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（十二）“三公”经费：</w:t>
      </w:r>
      <w:r>
        <w:rPr>
          <w:rFonts w:hint="eastAsia" w:ascii="Times New Roman" w:hAnsi="Times New Roman" w:eastAsia="方正仿宋_GBK"/>
          <w:snapToGrid w:val="0"/>
          <w:kern w:val="21"/>
          <w:sz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（十三）机关运行经费：</w:t>
      </w:r>
      <w:r>
        <w:rPr>
          <w:rFonts w:hint="eastAsia" w:ascii="Times New Roman" w:hAnsi="Times New Roman" w:eastAsia="方正仿宋_GBK"/>
          <w:snapToGrid w:val="0"/>
          <w:kern w:val="21"/>
          <w:sz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（十四）工资福利支出（支出经济分类科目类级）：</w:t>
      </w:r>
      <w:r>
        <w:rPr>
          <w:rFonts w:hint="eastAsia" w:ascii="Times New Roman" w:hAnsi="Times New Roman" w:eastAsia="方正仿宋_GBK"/>
          <w:snapToGrid w:val="0"/>
          <w:kern w:val="21"/>
          <w:sz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（十五）商品和服务支出（支出经济分类科目类级）：</w:t>
      </w:r>
      <w:r>
        <w:rPr>
          <w:rFonts w:hint="eastAsia" w:ascii="Times New Roman" w:hAnsi="Times New Roman" w:eastAsia="方正仿宋_GBK"/>
          <w:snapToGrid w:val="0"/>
          <w:kern w:val="21"/>
          <w:sz w:val="32"/>
        </w:rPr>
        <w:t>反映单位购买商品和服务的支出（不包括用于购置固定资产的支出、战略性和应急储备支出）。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（十六）对个人和家庭的补助（支出经济分类科目类级）：</w:t>
      </w:r>
      <w:r>
        <w:rPr>
          <w:rFonts w:hint="eastAsia" w:ascii="方正仿宋_GBK" w:hAnsi="方正仿宋_GBK" w:eastAsia="方正仿宋_GBK" w:cs="方正仿宋_GBK"/>
          <w:snapToGrid w:val="0"/>
          <w:kern w:val="21"/>
          <w:sz w:val="32"/>
          <w:szCs w:val="32"/>
        </w:rPr>
        <w:t>反映用于对个人和家庭的补助支出。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（十七）其他资本性支出（支出经济分类科目类级）：</w:t>
      </w:r>
      <w:r>
        <w:rPr>
          <w:rFonts w:hint="eastAsia" w:ascii="方正仿宋_GBK" w:hAnsi="方正仿宋_GBK" w:eastAsia="方正仿宋_GBK" w:cs="方正仿宋_GBK"/>
          <w:snapToGrid w:val="0"/>
          <w:kern w:val="21"/>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rPr>
      </w:pPr>
      <w:r>
        <w:rPr>
          <w:rFonts w:hint="eastAsia" w:ascii="Times New Roman" w:hAnsi="Times New Roman" w:eastAsia="方正黑体_GBK"/>
          <w:snapToGrid w:val="0"/>
          <w:kern w:val="21"/>
          <w:sz w:val="32"/>
        </w:rPr>
        <w:t> 七、决算公开联系方式及信息反馈渠道</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rPr>
        <w:t>本单位决算公开信息反馈和联系方式：</w:t>
      </w:r>
      <w:r>
        <w:rPr>
          <w:rFonts w:hint="eastAsia" w:ascii="Times New Roman" w:hAnsi="Times New Roman" w:eastAsia="方正仿宋_GBK"/>
          <w:snapToGrid w:val="0"/>
          <w:kern w:val="21"/>
          <w:sz w:val="32"/>
          <w:lang w:val="en-US" w:eastAsia="zh-CN"/>
        </w:rPr>
        <w:t>73397001。</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p>
    <w:tbl>
      <w:tblPr>
        <w:tblStyle w:val="10"/>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石柱土家族自治县冷水镇新时代文明实践服务中心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351,535.87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298,473.79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34,831.92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9,227.28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351,535.87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351,535.87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351,535.87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351,535.87</w:t>
            </w:r>
          </w:p>
        </w:tc>
      </w:tr>
    </w:tbl>
    <w:p>
      <w:pPr>
        <w:pStyle w:val="13"/>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3"/>
        <w:numPr>
          <w:ilvl w:val="0"/>
          <w:numId w:val="0"/>
        </w:numPr>
        <w:autoSpaceDE w:val="0"/>
        <w:rPr>
          <w:rFonts w:hint="eastAsia" w:ascii="宋体" w:hAnsi="宋体" w:eastAsia="宋体" w:cs="宋体"/>
          <w:sz w:val="21"/>
          <w:szCs w:val="21"/>
          <w:lang w:val="en-US" w:eastAsia="zh-CN"/>
        </w:rPr>
      </w:pP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石柱土家族自治县冷水镇新时代文明实践服务中心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351,535.87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351,535.87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34,831.92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34,831.92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34,831.92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34,831.92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11,610.64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11,610.64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石柱土家族自治县冷水镇新时代文明实践服务中心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351,535.87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351,535.87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34,831.92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34,831.92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34,831.92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34,831.92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11,610.64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11,610.64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石柱土家族自治县冷水镇新时代文明实践服务中心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351,535.87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298,473.79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298,473.79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34,831.92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34,831.92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9,227.28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9,227.28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9,002.88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9,002.88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351,535.87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351,535.87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351,535.87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351,535.87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351,535.87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351,535.87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351,535.87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351,535.87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351,535.87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351,535.87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298,473.79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298,473.79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298,473.79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298,473.79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34,831.92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34,831.92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34,831.92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34,831.92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34,831.92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34,831.92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34,831.92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34,831.92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23,221.28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23,221.28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23,221.28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23,221.28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11,610.64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11,610.64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11,610.64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11,610.64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9,227.28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9,227.28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9,227.28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9,227.28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9,227.28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9,227.28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9,227.28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9,227.28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9,002.88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9,002.88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9,002.88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9,002.88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9,002.88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9,002.88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石柱土家族自治县冷水镇新时代文明实践服务中心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330,035.39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21,500.48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74,634.00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25,436.00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175,928.00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23,221.28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11,610.64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7,502.40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9,002.88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330,035.39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21,500.48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石柱土家族自治县冷水镇新时代文明实践服务中心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石柱土家族自治县冷水镇新时代文明实践服务中心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3"/>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F1926"/>
    <w:rsid w:val="00550ABE"/>
    <w:rsid w:val="007B419D"/>
    <w:rsid w:val="009B67B8"/>
    <w:rsid w:val="00B03CCD"/>
    <w:rsid w:val="00FE7556"/>
    <w:rsid w:val="01474EBF"/>
    <w:rsid w:val="01570F70"/>
    <w:rsid w:val="01F3521E"/>
    <w:rsid w:val="03E3214F"/>
    <w:rsid w:val="042D4C6A"/>
    <w:rsid w:val="04446191"/>
    <w:rsid w:val="044C50BA"/>
    <w:rsid w:val="06A2550B"/>
    <w:rsid w:val="06CA5532"/>
    <w:rsid w:val="06F80EE2"/>
    <w:rsid w:val="07001CCA"/>
    <w:rsid w:val="075678DB"/>
    <w:rsid w:val="08051BCA"/>
    <w:rsid w:val="08887FC5"/>
    <w:rsid w:val="08BA052C"/>
    <w:rsid w:val="08C607F0"/>
    <w:rsid w:val="08DB07BA"/>
    <w:rsid w:val="098305D0"/>
    <w:rsid w:val="09B72B6E"/>
    <w:rsid w:val="0A3851D8"/>
    <w:rsid w:val="0A411361"/>
    <w:rsid w:val="0A5C4B69"/>
    <w:rsid w:val="0AEC3BC7"/>
    <w:rsid w:val="0B3550F2"/>
    <w:rsid w:val="0B9335CE"/>
    <w:rsid w:val="0C7927C4"/>
    <w:rsid w:val="0C9B098C"/>
    <w:rsid w:val="0D11728C"/>
    <w:rsid w:val="0D673E11"/>
    <w:rsid w:val="0DB50EFE"/>
    <w:rsid w:val="0DBE6D1A"/>
    <w:rsid w:val="0DDA54E4"/>
    <w:rsid w:val="0E3A5F83"/>
    <w:rsid w:val="0EFE2F29"/>
    <w:rsid w:val="0F836721"/>
    <w:rsid w:val="0FB513D3"/>
    <w:rsid w:val="103645A3"/>
    <w:rsid w:val="107B59E5"/>
    <w:rsid w:val="10FE0470"/>
    <w:rsid w:val="11003CB0"/>
    <w:rsid w:val="111445C7"/>
    <w:rsid w:val="1158083A"/>
    <w:rsid w:val="11F03528"/>
    <w:rsid w:val="12C921C4"/>
    <w:rsid w:val="13850DCB"/>
    <w:rsid w:val="13871C70"/>
    <w:rsid w:val="13A71CB4"/>
    <w:rsid w:val="13AF1D43"/>
    <w:rsid w:val="13CE1647"/>
    <w:rsid w:val="141A11EA"/>
    <w:rsid w:val="14200702"/>
    <w:rsid w:val="148E377E"/>
    <w:rsid w:val="1580711B"/>
    <w:rsid w:val="180B4D80"/>
    <w:rsid w:val="187E183C"/>
    <w:rsid w:val="189B0D0B"/>
    <w:rsid w:val="194A1770"/>
    <w:rsid w:val="19917D9C"/>
    <w:rsid w:val="19B906A4"/>
    <w:rsid w:val="1A1F744B"/>
    <w:rsid w:val="1A4854EC"/>
    <w:rsid w:val="1B6F15B6"/>
    <w:rsid w:val="1BAA2EDC"/>
    <w:rsid w:val="1C1E42B1"/>
    <w:rsid w:val="1C222CB7"/>
    <w:rsid w:val="1C255E3A"/>
    <w:rsid w:val="1CE157EE"/>
    <w:rsid w:val="1D014A01"/>
    <w:rsid w:val="1D022362"/>
    <w:rsid w:val="1D3B5982"/>
    <w:rsid w:val="1DD26311"/>
    <w:rsid w:val="1DF715B8"/>
    <w:rsid w:val="1EE24A39"/>
    <w:rsid w:val="1EF67CA4"/>
    <w:rsid w:val="1FB27690"/>
    <w:rsid w:val="1FCD26AF"/>
    <w:rsid w:val="1FF535FC"/>
    <w:rsid w:val="20642787"/>
    <w:rsid w:val="21556F04"/>
    <w:rsid w:val="22403BD3"/>
    <w:rsid w:val="24B92327"/>
    <w:rsid w:val="2533755C"/>
    <w:rsid w:val="25B305EA"/>
    <w:rsid w:val="26396DF4"/>
    <w:rsid w:val="26A33197"/>
    <w:rsid w:val="27167136"/>
    <w:rsid w:val="27B23302"/>
    <w:rsid w:val="28B81B5C"/>
    <w:rsid w:val="291753F8"/>
    <w:rsid w:val="29310A5F"/>
    <w:rsid w:val="29C37A35"/>
    <w:rsid w:val="29C95E09"/>
    <w:rsid w:val="2A076083"/>
    <w:rsid w:val="2A73162E"/>
    <w:rsid w:val="2B167953"/>
    <w:rsid w:val="2B200583"/>
    <w:rsid w:val="2B77111E"/>
    <w:rsid w:val="2B8209DE"/>
    <w:rsid w:val="2C161D32"/>
    <w:rsid w:val="2C2D3EC7"/>
    <w:rsid w:val="2C6762A3"/>
    <w:rsid w:val="2D8D2A49"/>
    <w:rsid w:val="2E560813"/>
    <w:rsid w:val="2E8C0CED"/>
    <w:rsid w:val="2FE029D7"/>
    <w:rsid w:val="2FF06E00"/>
    <w:rsid w:val="315D199F"/>
    <w:rsid w:val="315F0B22"/>
    <w:rsid w:val="31CF55C7"/>
    <w:rsid w:val="31D84415"/>
    <w:rsid w:val="32285F6F"/>
    <w:rsid w:val="32770556"/>
    <w:rsid w:val="328C07CD"/>
    <w:rsid w:val="329C0913"/>
    <w:rsid w:val="3337290D"/>
    <w:rsid w:val="352930DB"/>
    <w:rsid w:val="35573069"/>
    <w:rsid w:val="358C217E"/>
    <w:rsid w:val="359F188C"/>
    <w:rsid w:val="35D5415D"/>
    <w:rsid w:val="362D2433"/>
    <w:rsid w:val="3640708F"/>
    <w:rsid w:val="36C9128A"/>
    <w:rsid w:val="37841E99"/>
    <w:rsid w:val="37BF1123"/>
    <w:rsid w:val="37F26E25"/>
    <w:rsid w:val="38BE4696"/>
    <w:rsid w:val="39166507"/>
    <w:rsid w:val="393A5AF3"/>
    <w:rsid w:val="39B82A39"/>
    <w:rsid w:val="39F33306"/>
    <w:rsid w:val="3ADF03A2"/>
    <w:rsid w:val="3AF173C3"/>
    <w:rsid w:val="3B1705E5"/>
    <w:rsid w:val="3B18334B"/>
    <w:rsid w:val="3B36794F"/>
    <w:rsid w:val="3B544954"/>
    <w:rsid w:val="3B7F24AA"/>
    <w:rsid w:val="3BB5298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C744E6"/>
    <w:rsid w:val="44DD597D"/>
    <w:rsid w:val="465B470D"/>
    <w:rsid w:val="469D6AD4"/>
    <w:rsid w:val="47674801"/>
    <w:rsid w:val="48225EF7"/>
    <w:rsid w:val="48C12AEC"/>
    <w:rsid w:val="495C4A24"/>
    <w:rsid w:val="4AD70EE7"/>
    <w:rsid w:val="4ADA0BDD"/>
    <w:rsid w:val="4B7951CB"/>
    <w:rsid w:val="4B7C315C"/>
    <w:rsid w:val="4BAB7F90"/>
    <w:rsid w:val="4C93212D"/>
    <w:rsid w:val="4DAC4ACA"/>
    <w:rsid w:val="4DF03773"/>
    <w:rsid w:val="4F186D58"/>
    <w:rsid w:val="4F522031"/>
    <w:rsid w:val="50EC262C"/>
    <w:rsid w:val="522F6E0C"/>
    <w:rsid w:val="52463BA1"/>
    <w:rsid w:val="526F66CB"/>
    <w:rsid w:val="53C0244D"/>
    <w:rsid w:val="53DD4D4E"/>
    <w:rsid w:val="53E578CE"/>
    <w:rsid w:val="543B029D"/>
    <w:rsid w:val="545D0246"/>
    <w:rsid w:val="54974DD6"/>
    <w:rsid w:val="552C52CA"/>
    <w:rsid w:val="554E5773"/>
    <w:rsid w:val="555A3CBC"/>
    <w:rsid w:val="56530F5D"/>
    <w:rsid w:val="574C0B47"/>
    <w:rsid w:val="5842572D"/>
    <w:rsid w:val="5978263A"/>
    <w:rsid w:val="5AE75037"/>
    <w:rsid w:val="5B58571C"/>
    <w:rsid w:val="5B8376C2"/>
    <w:rsid w:val="5B96133A"/>
    <w:rsid w:val="5C1336B7"/>
    <w:rsid w:val="5C263CE4"/>
    <w:rsid w:val="5C5D2777"/>
    <w:rsid w:val="5CAB4497"/>
    <w:rsid w:val="5D290C69"/>
    <w:rsid w:val="5D537F41"/>
    <w:rsid w:val="5E3D71AC"/>
    <w:rsid w:val="5EFA176D"/>
    <w:rsid w:val="5F0247F9"/>
    <w:rsid w:val="5F2D4A41"/>
    <w:rsid w:val="5FA266F3"/>
    <w:rsid w:val="601C34ED"/>
    <w:rsid w:val="60A958A9"/>
    <w:rsid w:val="60D22ADB"/>
    <w:rsid w:val="60FA2528"/>
    <w:rsid w:val="61025A59"/>
    <w:rsid w:val="613D5BBC"/>
    <w:rsid w:val="61536C39"/>
    <w:rsid w:val="61B90339"/>
    <w:rsid w:val="62944DD7"/>
    <w:rsid w:val="634D1435"/>
    <w:rsid w:val="638D02E2"/>
    <w:rsid w:val="63C25DC5"/>
    <w:rsid w:val="63C62057"/>
    <w:rsid w:val="63C73832"/>
    <w:rsid w:val="646060BC"/>
    <w:rsid w:val="64FB113D"/>
    <w:rsid w:val="65472B37"/>
    <w:rsid w:val="654D0C85"/>
    <w:rsid w:val="656152C6"/>
    <w:rsid w:val="6587477F"/>
    <w:rsid w:val="658C3A08"/>
    <w:rsid w:val="65C031CA"/>
    <w:rsid w:val="65CE6852"/>
    <w:rsid w:val="66267C04"/>
    <w:rsid w:val="663F505A"/>
    <w:rsid w:val="665C1999"/>
    <w:rsid w:val="667F2393"/>
    <w:rsid w:val="66EE5541"/>
    <w:rsid w:val="685C1DC4"/>
    <w:rsid w:val="692172FD"/>
    <w:rsid w:val="69E32EC5"/>
    <w:rsid w:val="6A3829EE"/>
    <w:rsid w:val="6B474EF5"/>
    <w:rsid w:val="6BEA5819"/>
    <w:rsid w:val="6BF64EAE"/>
    <w:rsid w:val="6C560CAE"/>
    <w:rsid w:val="6D0615E4"/>
    <w:rsid w:val="6D903FF5"/>
    <w:rsid w:val="6DA63F32"/>
    <w:rsid w:val="6DA955B8"/>
    <w:rsid w:val="6DE346AB"/>
    <w:rsid w:val="6EF1731F"/>
    <w:rsid w:val="6F7F6A2D"/>
    <w:rsid w:val="6FB442D1"/>
    <w:rsid w:val="6FFB2E76"/>
    <w:rsid w:val="71C34D91"/>
    <w:rsid w:val="71ED38AA"/>
    <w:rsid w:val="720229AA"/>
    <w:rsid w:val="72DB435C"/>
    <w:rsid w:val="750837F0"/>
    <w:rsid w:val="753F6B6A"/>
    <w:rsid w:val="758614DD"/>
    <w:rsid w:val="764F62AB"/>
    <w:rsid w:val="765C45EC"/>
    <w:rsid w:val="768A7619"/>
    <w:rsid w:val="76E14979"/>
    <w:rsid w:val="77EA362A"/>
    <w:rsid w:val="785D6A87"/>
    <w:rsid w:val="7875383E"/>
    <w:rsid w:val="796D60A4"/>
    <w:rsid w:val="79A031D5"/>
    <w:rsid w:val="7A1525F7"/>
    <w:rsid w:val="7A3E6CB6"/>
    <w:rsid w:val="7A680D2D"/>
    <w:rsid w:val="7B420052"/>
    <w:rsid w:val="7BD06A28"/>
    <w:rsid w:val="7C1E4CD7"/>
    <w:rsid w:val="7C3A7C0B"/>
    <w:rsid w:val="7C5248E4"/>
    <w:rsid w:val="7C566698"/>
    <w:rsid w:val="7D0D1339"/>
    <w:rsid w:val="7E5F5463"/>
    <w:rsid w:val="7F373E42"/>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index 7"/>
    <w:basedOn w:val="1"/>
    <w:next w:val="1"/>
    <w:qFormat/>
    <w:uiPriority w:val="0"/>
    <w:pPr>
      <w:spacing w:line="594" w:lineRule="exact"/>
      <w:ind w:left="1200" w:leftChars="1200"/>
    </w:pPr>
    <w:rPr>
      <w:rFonts w:eastAsia="方正仿宋_GBK"/>
      <w:color w:val="000000"/>
      <w:kern w:val="0"/>
      <w:sz w:val="33"/>
      <w:szCs w:val="33"/>
    </w:rPr>
  </w:style>
  <w:style w:type="paragraph" w:styleId="4">
    <w:name w:val="Body Text"/>
    <w:basedOn w:val="1"/>
    <w:next w:val="5"/>
    <w:unhideWhenUsed/>
    <w:qFormat/>
    <w:uiPriority w:val="0"/>
    <w:pPr>
      <w:spacing w:beforeLines="0" w:after="120" w:afterLines="0"/>
      <w:jc w:val="left"/>
    </w:pPr>
    <w:rPr>
      <w:rFonts w:hint="eastAsia" w:ascii="宋体" w:hAnsi="宋体" w:cs="宋体"/>
      <w:kern w:val="0"/>
      <w:sz w:val="24"/>
      <w:szCs w:val="24"/>
      <w:lang w:val="en-US" w:eastAsia="zh-CN" w:bidi="ar"/>
    </w:rPr>
  </w:style>
  <w:style w:type="paragraph" w:customStyle="1" w:styleId="5">
    <w:name w:val="默认"/>
    <w:basedOn w:val="1"/>
    <w:unhideWhenUsed/>
    <w:qFormat/>
    <w:uiPriority w:val="0"/>
    <w:pPr>
      <w:spacing w:beforeLines="0" w:afterLines="0"/>
      <w:jc w:val="left"/>
    </w:pPr>
    <w:rPr>
      <w:rFonts w:hint="default" w:ascii="Helvetica" w:hAnsi="Helvetica" w:cs="Helvetica"/>
      <w:color w:val="000000"/>
      <w:kern w:val="0"/>
      <w:sz w:val="22"/>
      <w:szCs w:val="22"/>
      <w:lang w:val="en-US" w:eastAsia="zh-CN" w:bidi="ar"/>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正文-公1"/>
    <w:basedOn w:val="15"/>
    <w:next w:val="1"/>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TotalTime>
  <ScaleCrop>false</ScaleCrop>
  <LinksUpToDate>false</LinksUpToDate>
  <CharactersWithSpaces>21460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Dana1O_1O</cp:lastModifiedBy>
  <dcterms:modified xsi:type="dcterms:W3CDTF">2025-10-10T03:05:03Z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BB46EABDBB2749749395447164B066B3_12</vt:lpwstr>
  </property>
</Properties>
</file>