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rPr>
        <w:t>石柱土家族自治县冷水镇综合行政执法大队</w:t>
      </w:r>
      <w:r>
        <w:rPr>
          <w:rFonts w:hint="eastAsia" w:ascii="方正小标宋_GBK" w:hAnsi="方正小标宋_GBK" w:eastAsia="方正小标宋_GBK" w:cs="方正小标宋_GBK"/>
          <w:sz w:val="44"/>
          <w:szCs w:val="44"/>
          <w:shd w:val="clear" w:color="auto" w:fill="FFFFFF"/>
        </w:rPr>
        <w:t>202</w:t>
      </w:r>
      <w:r>
        <w:rPr>
          <w:rFonts w:hint="eastAsia" w:ascii="方正小标宋_GBK" w:hAnsi="方正小标宋_GBK" w:eastAsia="方正小标宋_GBK" w:cs="方正小标宋_GBK"/>
          <w:sz w:val="44"/>
          <w:szCs w:val="44"/>
          <w:shd w:val="clear" w:color="auto" w:fill="FFFFFF"/>
          <w:lang w:val="en-US" w:eastAsia="zh-CN"/>
        </w:rPr>
        <w:t>4</w:t>
      </w:r>
      <w:r>
        <w:rPr>
          <w:rFonts w:hint="eastAsia" w:ascii="方正小标宋_GBK" w:hAnsi="方正小标宋_GBK" w:eastAsia="方正小标宋_GBK" w:cs="方正小标宋_GBK"/>
          <w:sz w:val="44"/>
          <w:szCs w:val="44"/>
          <w:shd w:val="clear" w:color="auto" w:fill="FFFFFF"/>
        </w:rPr>
        <w:t>年度决算说明</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一、</w:t>
      </w:r>
      <w:r>
        <w:rPr>
          <w:rStyle w:val="11"/>
          <w:rFonts w:hint="eastAsia" w:ascii="方正黑体_GBK" w:hAnsi="方正黑体_GBK" w:eastAsia="方正黑体_GBK" w:cs="方正黑体_GBK"/>
          <w:b w:val="0"/>
          <w:bCs/>
          <w:sz w:val="32"/>
          <w:szCs w:val="32"/>
          <w:shd w:val="clear" w:color="auto" w:fill="FFFFFF"/>
          <w:lang w:eastAsia="zh-CN"/>
        </w:rPr>
        <w:t>单位</w:t>
      </w:r>
      <w:r>
        <w:rPr>
          <w:rStyle w:val="11"/>
          <w:rFonts w:hint="eastAsia" w:ascii="方正黑体_GBK" w:hAnsi="方正黑体_GBK" w:eastAsia="方正黑体_GBK" w:cs="方正黑体_GBK"/>
          <w:b w:val="0"/>
          <w:bCs/>
          <w:sz w:val="32"/>
          <w:szCs w:val="32"/>
          <w:shd w:val="clear" w:color="auto" w:fill="FFFFFF"/>
        </w:rPr>
        <w:t>基本情况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楷体_GBK" w:hAnsi="方正楷体_GBK" w:eastAsia="方正楷体_GBK" w:cs="方正楷体_GBK"/>
          <w:b w:val="0"/>
          <w:bCs/>
          <w:sz w:val="32"/>
          <w:szCs w:val="32"/>
        </w:rPr>
      </w:pPr>
      <w:r>
        <w:rPr>
          <w:rStyle w:val="11"/>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widowControl/>
        <w:tabs>
          <w:tab w:val="left" w:pos="5340"/>
        </w:tabs>
        <w:kinsoku/>
        <w:wordWrap/>
        <w:overflowPunct/>
        <w:topLinePunct w:val="0"/>
        <w:autoSpaceDE/>
        <w:autoSpaceDN/>
        <w:bidi w:val="0"/>
        <w:adjustRightInd/>
        <w:snapToGrid/>
        <w:spacing w:line="596" w:lineRule="atLeast"/>
        <w:ind w:firstLine="640" w:firstLineChars="200"/>
        <w:jc w:val="both"/>
        <w:textAlignment w:val="auto"/>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宗旨：开展综合行政执法。</w:t>
      </w:r>
    </w:p>
    <w:p>
      <w:pPr>
        <w:keepNext w:val="0"/>
        <w:keepLines w:val="0"/>
        <w:pageBreakBefore w:val="0"/>
        <w:widowControl/>
        <w:kinsoku/>
        <w:wordWrap/>
        <w:overflowPunct/>
        <w:topLinePunct w:val="0"/>
        <w:autoSpaceDE/>
        <w:autoSpaceDN/>
        <w:bidi w:val="0"/>
        <w:adjustRightInd/>
        <w:snapToGrid/>
        <w:spacing w:line="596" w:lineRule="atLeast"/>
        <w:ind w:firstLine="640" w:firstLineChars="200"/>
        <w:jc w:val="both"/>
        <w:textAlignment w:val="auto"/>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主要职责：贯彻落实综合行政执法相关法律法规及政策。根据法律法规规定、市政府赋权，以镇人民</w:t>
      </w:r>
      <w:bookmarkStart w:id="0" w:name="_GoBack"/>
      <w:bookmarkEnd w:id="0"/>
      <w:r>
        <w:rPr>
          <w:rFonts w:hint="eastAsia" w:ascii="Times New Roman" w:hAnsi="Times New Roman" w:eastAsia="方正仿宋_GBK" w:cs="Times New Roman"/>
          <w:snapToGrid w:val="0"/>
          <w:kern w:val="21"/>
          <w:sz w:val="32"/>
          <w:szCs w:val="24"/>
          <w:lang w:val="en-US" w:eastAsia="zh-CN" w:bidi="ar-SA"/>
        </w:rPr>
        <w:t>政府名义统一行使权以及与其行政处罚权有关的行政检查、行政强制措施。根据县级相关部门委托，以委托行政机关名义实施委托范围内的行政处罚权。负责联合县级有关行政主管部门开展行政执法工作。负责依据有关法律、法规和规章，参与起草本辖区实行综合行政执法领域相关方面的工作计划，并具体实施。负责镇党委、人民政府交办的其他工作任务。</w:t>
      </w:r>
    </w:p>
    <w:p>
      <w:pPr>
        <w:keepNext w:val="0"/>
        <w:keepLines w:val="0"/>
        <w:pageBreakBefore w:val="0"/>
        <w:widowControl/>
        <w:tabs>
          <w:tab w:val="left" w:pos="5340"/>
        </w:tabs>
        <w:kinsoku/>
        <w:wordWrap/>
        <w:overflowPunct/>
        <w:topLinePunct w:val="0"/>
        <w:autoSpaceDE/>
        <w:autoSpaceDN/>
        <w:bidi w:val="0"/>
        <w:adjustRightInd/>
        <w:snapToGrid/>
        <w:spacing w:line="596" w:lineRule="atLeast"/>
        <w:ind w:firstLine="640" w:firstLineChars="200"/>
        <w:jc w:val="both"/>
        <w:textAlignment w:val="auto"/>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除法律法规规定外，市政府赋权及县级相关部门委托的行政处罚权以赋权文件、委托协议为准。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1"/>
          <w:rFonts w:hint="default"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（二）机构设置</w:t>
      </w:r>
    </w:p>
    <w:p>
      <w:pPr>
        <w:keepNext w:val="0"/>
        <w:keepLines w:val="0"/>
        <w:pageBreakBefore w:val="0"/>
        <w:widowControl/>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根据上述职责，</w:t>
      </w:r>
      <w:r>
        <w:rPr>
          <w:rFonts w:hint="default" w:ascii="Times New Roman" w:hAnsi="Times New Roman" w:eastAsia="方正仿宋_GBK" w:cs="Times New Roman"/>
          <w:snapToGrid w:val="0"/>
          <w:kern w:val="21"/>
          <w:sz w:val="32"/>
          <w:szCs w:val="24"/>
          <w:lang w:val="en-US" w:eastAsia="zh-CN" w:bidi="ar-SA"/>
        </w:rPr>
        <w:t>设置</w:t>
      </w:r>
      <w:r>
        <w:rPr>
          <w:rFonts w:hint="eastAsia" w:ascii="Times New Roman" w:hAnsi="Times New Roman" w:eastAsia="方正仿宋_GBK" w:cs="Times New Roman"/>
          <w:snapToGrid w:val="0"/>
          <w:kern w:val="21"/>
          <w:sz w:val="32"/>
          <w:szCs w:val="24"/>
          <w:lang w:val="en-US" w:eastAsia="zh-CN" w:bidi="ar-SA"/>
        </w:rPr>
        <w:t>综合行政执法大队</w:t>
      </w:r>
      <w:r>
        <w:rPr>
          <w:rFonts w:hint="default" w:ascii="Times New Roman" w:hAnsi="Times New Roman" w:eastAsia="方正仿宋_GBK" w:cs="Times New Roman"/>
          <w:snapToGrid w:val="0"/>
          <w:kern w:val="21"/>
          <w:sz w:val="32"/>
          <w:szCs w:val="24"/>
          <w:lang w:val="en-US" w:eastAsia="zh-CN" w:bidi="ar-SA"/>
        </w:rPr>
        <w:t>财政全额拨款公益一类副科级事业单位</w:t>
      </w:r>
      <w:r>
        <w:rPr>
          <w:rFonts w:hint="eastAsia" w:ascii="Times New Roman" w:hAnsi="Times New Roman" w:eastAsia="方正仿宋_GBK" w:cs="Times New Roman"/>
          <w:snapToGrid w:val="0"/>
          <w:kern w:val="21"/>
          <w:sz w:val="32"/>
          <w:szCs w:val="24"/>
          <w:lang w:val="en-US" w:eastAsia="zh-CN" w:bidi="ar-SA"/>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二、</w:t>
      </w:r>
      <w:r>
        <w:rPr>
          <w:rStyle w:val="11"/>
          <w:rFonts w:hint="eastAsia" w:ascii="方正黑体_GBK" w:hAnsi="方正黑体_GBK" w:eastAsia="方正黑体_GBK" w:cs="方正黑体_GBK"/>
          <w:b w:val="0"/>
          <w:bCs/>
          <w:sz w:val="32"/>
          <w:szCs w:val="32"/>
          <w:shd w:val="clear" w:color="auto" w:fill="FFFFFF"/>
          <w:lang w:eastAsia="zh-CN"/>
        </w:rPr>
        <w:t>单位</w:t>
      </w:r>
      <w:r>
        <w:rPr>
          <w:rStyle w:val="11"/>
          <w:rFonts w:hint="eastAsia" w:ascii="方正黑体_GBK" w:hAnsi="方正黑体_GBK" w:eastAsia="方正黑体_GBK" w:cs="方正黑体_GBK"/>
          <w:b w:val="0"/>
          <w:bCs/>
          <w:sz w:val="32"/>
          <w:szCs w:val="32"/>
          <w:shd w:val="clear" w:color="auto" w:fill="FFFFFF"/>
        </w:rPr>
        <w:t>决算</w:t>
      </w:r>
      <w:r>
        <w:rPr>
          <w:rStyle w:val="11"/>
          <w:rFonts w:hint="eastAsia" w:ascii="方正黑体_GBK" w:hAnsi="方正黑体_GBK" w:eastAsia="方正黑体_GBK" w:cs="方正黑体_GBK"/>
          <w:b w:val="0"/>
          <w:bCs/>
          <w:sz w:val="32"/>
          <w:szCs w:val="32"/>
          <w:shd w:val="clear" w:color="auto" w:fill="FFFFFF"/>
          <w:lang w:eastAsia="zh-CN"/>
        </w:rPr>
        <w:t>收支</w:t>
      </w:r>
      <w:r>
        <w:rPr>
          <w:rStyle w:val="11"/>
          <w:rFonts w:hint="eastAsia" w:ascii="方正黑体_GBK" w:hAnsi="方正黑体_GBK" w:eastAsia="方正黑体_GBK" w:cs="方正黑体_GBK"/>
          <w:b w:val="0"/>
          <w:bCs/>
          <w:sz w:val="32"/>
          <w:szCs w:val="32"/>
          <w:shd w:val="clear" w:color="auto" w:fill="FFFFFF"/>
        </w:rPr>
        <w:t>情况说明</w:t>
      </w:r>
    </w:p>
    <w:p>
      <w:pPr>
        <w:pStyle w:val="12"/>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8"/>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w:t>
      </w:r>
      <w:r>
        <w:rPr>
          <w:rFonts w:hint="eastAsia" w:ascii="Times New Roman" w:hAnsi="Times New Roman" w:eastAsia="方正仿宋_GBK" w:cs="Times New Roman"/>
          <w:snapToGrid w:val="0"/>
          <w:kern w:val="21"/>
          <w:sz w:val="32"/>
          <w:szCs w:val="24"/>
          <w:lang w:val="en-US" w:eastAsia="zh-CN" w:bidi="ar-SA"/>
        </w:rPr>
        <w:t>年度收、支总计均为</w:t>
      </w:r>
      <w:r>
        <w:rPr>
          <w:rFonts w:hint="default" w:ascii="Times New Roman" w:hAnsi="Times New Roman" w:eastAsia="方正仿宋_GBK" w:cs="Times New Roman"/>
          <w:snapToGrid w:val="0"/>
          <w:kern w:val="21"/>
          <w:sz w:val="32"/>
          <w:szCs w:val="24"/>
          <w:lang w:val="en-US" w:eastAsia="zh-CN" w:bidi="ar-SA"/>
        </w:rPr>
        <w:t>99.29</w:t>
      </w:r>
      <w:r>
        <w:rPr>
          <w:rFonts w:hint="eastAsia" w:ascii="Times New Roman" w:hAnsi="Times New Roman" w:eastAsia="方正仿宋_GBK" w:cs="Times New Roman"/>
          <w:snapToGrid w:val="0"/>
          <w:kern w:val="21"/>
          <w:sz w:val="32"/>
          <w:szCs w:val="24"/>
          <w:lang w:val="en-US" w:eastAsia="zh-CN" w:bidi="ar-SA"/>
        </w:rPr>
        <w:t>万元。</w:t>
      </w:r>
      <w:r>
        <w:rPr>
          <w:rFonts w:hint="default" w:ascii="Times New Roman" w:hAnsi="Times New Roman" w:eastAsia="方正仿宋_GBK" w:cs="Times New Roman"/>
          <w:snapToGrid w:val="0"/>
          <w:kern w:val="21"/>
          <w:sz w:val="32"/>
          <w:szCs w:val="24"/>
          <w:lang w:val="en-US" w:eastAsia="zh-CN" w:bidi="ar-SA"/>
        </w:rPr>
        <w:t>收、支与2023年度相比，减少10.88万元，下降9.9%</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主要原因是</w:t>
      </w:r>
      <w:r>
        <w:rPr>
          <w:rFonts w:hint="eastAsia" w:ascii="Times New Roman" w:hAnsi="Times New Roman" w:eastAsia="方正仿宋_GBK" w:cs="Times New Roman"/>
          <w:snapToGrid w:val="0"/>
          <w:kern w:val="21"/>
          <w:sz w:val="32"/>
          <w:szCs w:val="24"/>
          <w:lang w:val="en-US" w:eastAsia="zh-CN" w:bidi="ar-SA"/>
        </w:rPr>
        <w:t>机构改革后，本单位较上年减少2人，导致人员类经费减少。</w:t>
      </w:r>
    </w:p>
    <w:p>
      <w:pPr>
        <w:pStyle w:val="8"/>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1、</w:t>
      </w:r>
      <w:r>
        <w:rPr>
          <w:rFonts w:hint="default" w:ascii="Times New Roman" w:hAnsi="Times New Roman" w:eastAsia="方正仿宋_GBK" w:cs="Times New Roman"/>
          <w:snapToGrid w:val="0"/>
          <w:kern w:val="21"/>
          <w:sz w:val="32"/>
          <w:szCs w:val="24"/>
          <w:lang w:val="en-US" w:eastAsia="zh-CN" w:bidi="ar-SA"/>
        </w:rPr>
        <w:t>收入情况。2024年度收入合计99.29万元，与2023年度相比，减少10.88万元，下降9.9%，主要原因是</w:t>
      </w:r>
      <w:r>
        <w:rPr>
          <w:rFonts w:hint="eastAsia" w:ascii="Times New Roman" w:hAnsi="Times New Roman" w:eastAsia="方正仿宋_GBK" w:cs="Times New Roman"/>
          <w:snapToGrid w:val="0"/>
          <w:kern w:val="21"/>
          <w:sz w:val="32"/>
          <w:szCs w:val="24"/>
          <w:lang w:val="en-US" w:eastAsia="zh-CN" w:bidi="ar-SA"/>
        </w:rPr>
        <w:t>机构改革后，本单位较上年减少2人，导致人员类经费收入减少。</w:t>
      </w:r>
      <w:r>
        <w:rPr>
          <w:rFonts w:hint="default" w:ascii="Times New Roman" w:hAnsi="Times New Roman" w:eastAsia="方正仿宋_GBK" w:cs="Times New Roman"/>
          <w:snapToGrid w:val="0"/>
          <w:kern w:val="21"/>
          <w:sz w:val="32"/>
          <w:szCs w:val="24"/>
          <w:lang w:val="en-US" w:eastAsia="zh-CN" w:bidi="ar-SA"/>
        </w:rPr>
        <w:t>其中：财政拨款收入99.29万元，占100.0%；事业收入0.00万元，占0.0%；经营收入0.00万元，占0.0%；其他收入0.00万元，占0.0%。此外，</w:t>
      </w:r>
      <w:r>
        <w:rPr>
          <w:rFonts w:hint="eastAsia" w:ascii="Times New Roman" w:hAnsi="Times New Roman" w:eastAsia="方正仿宋_GBK" w:cs="Times New Roman"/>
          <w:snapToGrid w:val="0"/>
          <w:kern w:val="21"/>
          <w:sz w:val="32"/>
          <w:szCs w:val="24"/>
          <w:lang w:val="en-US" w:eastAsia="zh-CN" w:bidi="ar-SA"/>
        </w:rPr>
        <w:t>使用非财政拨款结余（含专用结余）</w:t>
      </w:r>
      <w:r>
        <w:rPr>
          <w:rFonts w:hint="default" w:ascii="Times New Roman" w:hAnsi="Times New Roman" w:eastAsia="方正仿宋_GBK" w:cs="Times New Roman"/>
          <w:snapToGrid w:val="0"/>
          <w:kern w:val="21"/>
          <w:sz w:val="32"/>
          <w:szCs w:val="24"/>
          <w:lang w:val="en-US" w:eastAsia="zh-CN" w:bidi="ar-SA"/>
        </w:rPr>
        <w:t>0.00万元，年初结转和结余0.00万元。</w:t>
      </w:r>
    </w:p>
    <w:p>
      <w:pPr>
        <w:pStyle w:val="8"/>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2、</w:t>
      </w:r>
      <w:r>
        <w:rPr>
          <w:rFonts w:hint="default" w:ascii="Times New Roman" w:hAnsi="Times New Roman" w:eastAsia="方正仿宋_GBK" w:cs="Times New Roman"/>
          <w:snapToGrid w:val="0"/>
          <w:kern w:val="21"/>
          <w:sz w:val="32"/>
          <w:szCs w:val="24"/>
          <w:lang w:val="en-US" w:eastAsia="zh-CN" w:bidi="ar-SA"/>
        </w:rPr>
        <w:t>支出情况。2024年度支出合计99.29万元，与2023年度相比，减少10.88万元，下降9.9%，主要原因是</w:t>
      </w:r>
      <w:r>
        <w:rPr>
          <w:rFonts w:hint="eastAsia" w:ascii="Times New Roman" w:hAnsi="Times New Roman" w:eastAsia="方正仿宋_GBK" w:cs="Times New Roman"/>
          <w:snapToGrid w:val="0"/>
          <w:kern w:val="21"/>
          <w:sz w:val="32"/>
          <w:szCs w:val="24"/>
          <w:lang w:val="en-US" w:eastAsia="zh-CN" w:bidi="ar-SA"/>
        </w:rPr>
        <w:t>机构改革后，本单位较上年减少2人，导致人员类经费支出减少。</w:t>
      </w:r>
      <w:r>
        <w:rPr>
          <w:rFonts w:hint="default" w:ascii="Times New Roman" w:hAnsi="Times New Roman" w:eastAsia="方正仿宋_GBK" w:cs="Times New Roman"/>
          <w:snapToGrid w:val="0"/>
          <w:kern w:val="21"/>
          <w:sz w:val="32"/>
          <w:szCs w:val="24"/>
          <w:lang w:val="en-US" w:eastAsia="zh-CN" w:bidi="ar-SA"/>
        </w:rPr>
        <w:t>其中：基本支出99.29万元，占100.0%；项目支出0.00万元，占0.0%；经营支出0.00万元，占0.0%。此外，结余分配0.00万元。</w:t>
      </w:r>
    </w:p>
    <w:p>
      <w:pPr>
        <w:pStyle w:val="8"/>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3、</w:t>
      </w:r>
      <w:r>
        <w:rPr>
          <w:rFonts w:hint="default" w:ascii="Times New Roman" w:hAnsi="Times New Roman" w:eastAsia="方正仿宋_GBK" w:cs="Times New Roman"/>
          <w:snapToGrid w:val="0"/>
          <w:kern w:val="21"/>
          <w:sz w:val="32"/>
          <w:szCs w:val="24"/>
          <w:lang w:val="en-US" w:eastAsia="zh-CN" w:bidi="ar-SA"/>
        </w:rPr>
        <w:t>结转结余情况。2024年度年末结转和结余0.00万元，与2023年度相比，无增减</w:t>
      </w:r>
      <w:r>
        <w:rPr>
          <w:rFonts w:hint="eastAsia" w:ascii="Times New Roman" w:hAnsi="Times New Roman" w:eastAsia="方正仿宋_GBK" w:cs="Times New Roman"/>
          <w:snapToGrid w:val="0"/>
          <w:kern w:val="21"/>
          <w:sz w:val="32"/>
          <w:szCs w:val="24"/>
          <w:lang w:val="en-US" w:eastAsia="zh-CN" w:bidi="ar-SA"/>
        </w:rPr>
        <w:t>。</w:t>
      </w:r>
    </w:p>
    <w:p>
      <w:pPr>
        <w:pStyle w:val="12"/>
        <w:keepNext w:val="0"/>
        <w:keepLines w:val="0"/>
        <w:pageBreakBefore w:val="0"/>
        <w:widowControl/>
        <w:kinsoku/>
        <w:wordWrap/>
        <w:overflowPunct/>
        <w:topLinePunct w:val="0"/>
        <w:autoSpaceDE w:val="0"/>
        <w:autoSpaceDN/>
        <w:bidi w:val="0"/>
        <w:adjustRightInd/>
        <w:snapToGrid/>
        <w:spacing w:line="596" w:lineRule="exact"/>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8"/>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w:t>
      </w:r>
      <w:r>
        <w:rPr>
          <w:rFonts w:hint="eastAsia" w:ascii="Times New Roman" w:hAnsi="Times New Roman" w:eastAsia="方正仿宋_GBK" w:cs="Times New Roman"/>
          <w:snapToGrid w:val="0"/>
          <w:kern w:val="21"/>
          <w:sz w:val="32"/>
          <w:szCs w:val="24"/>
          <w:lang w:val="en-US" w:eastAsia="zh-CN" w:bidi="ar-SA"/>
        </w:rPr>
        <w:t>年度财政拨款收、支总计均为</w:t>
      </w:r>
      <w:r>
        <w:rPr>
          <w:rFonts w:hint="default" w:ascii="Times New Roman" w:hAnsi="Times New Roman" w:eastAsia="方正仿宋_GBK" w:cs="Times New Roman"/>
          <w:snapToGrid w:val="0"/>
          <w:kern w:val="21"/>
          <w:sz w:val="32"/>
          <w:szCs w:val="24"/>
          <w:lang w:val="en-US" w:eastAsia="zh-CN" w:bidi="ar-SA"/>
        </w:rPr>
        <w:t>99.29</w:t>
      </w:r>
      <w:r>
        <w:rPr>
          <w:rFonts w:hint="eastAsia" w:ascii="Times New Roman" w:hAnsi="Times New Roman" w:eastAsia="方正仿宋_GBK" w:cs="Times New Roman"/>
          <w:snapToGrid w:val="0"/>
          <w:kern w:val="21"/>
          <w:sz w:val="32"/>
          <w:szCs w:val="24"/>
          <w:lang w:val="en-US" w:eastAsia="zh-CN" w:bidi="ar-SA"/>
        </w:rPr>
        <w:t>万元。与</w:t>
      </w:r>
      <w:r>
        <w:rPr>
          <w:rFonts w:hint="default" w:ascii="Times New Roman" w:hAnsi="Times New Roman" w:eastAsia="方正仿宋_GBK" w:cs="Times New Roman"/>
          <w:snapToGrid w:val="0"/>
          <w:kern w:val="21"/>
          <w:sz w:val="32"/>
          <w:szCs w:val="24"/>
          <w:lang w:val="en-US" w:eastAsia="zh-CN" w:bidi="ar-SA"/>
        </w:rPr>
        <w:t>2023</w:t>
      </w:r>
      <w:r>
        <w:rPr>
          <w:rFonts w:hint="eastAsia" w:ascii="Times New Roman" w:hAnsi="Times New Roman" w:eastAsia="方正仿宋_GBK" w:cs="Times New Roman"/>
          <w:snapToGrid w:val="0"/>
          <w:kern w:val="21"/>
          <w:sz w:val="32"/>
          <w:szCs w:val="24"/>
          <w:lang w:val="en-US" w:eastAsia="zh-CN" w:bidi="ar-SA"/>
        </w:rPr>
        <w:t>年度相比，</w:t>
      </w:r>
      <w:r>
        <w:rPr>
          <w:rFonts w:hint="default" w:ascii="Times New Roman" w:hAnsi="Times New Roman" w:eastAsia="方正仿宋_GBK" w:cs="Times New Roman"/>
          <w:snapToGrid w:val="0"/>
          <w:kern w:val="21"/>
          <w:sz w:val="32"/>
          <w:szCs w:val="24"/>
          <w:lang w:val="en-US" w:eastAsia="zh-CN" w:bidi="ar-SA"/>
        </w:rPr>
        <w:t>财政拨款收、支总计各减少10.88万元，下降9.9%</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主要原因是</w:t>
      </w:r>
      <w:r>
        <w:rPr>
          <w:rFonts w:hint="eastAsia" w:ascii="Times New Roman" w:hAnsi="Times New Roman" w:eastAsia="方正仿宋_GBK" w:cs="Times New Roman"/>
          <w:snapToGrid w:val="0"/>
          <w:kern w:val="21"/>
          <w:sz w:val="32"/>
          <w:szCs w:val="24"/>
          <w:lang w:val="en-US" w:eastAsia="zh-CN" w:bidi="ar-SA"/>
        </w:rPr>
        <w:t>机构改革后，本单位较上年减少2人，导致人员类经费减少。</w:t>
      </w:r>
    </w:p>
    <w:p>
      <w:pPr>
        <w:pStyle w:val="12"/>
        <w:keepNext w:val="0"/>
        <w:keepLines w:val="0"/>
        <w:pageBreakBefore w:val="0"/>
        <w:widowControl/>
        <w:kinsoku/>
        <w:wordWrap/>
        <w:overflowPunct/>
        <w:topLinePunct w:val="0"/>
        <w:autoSpaceDE w:val="0"/>
        <w:autoSpaceDN/>
        <w:bidi w:val="0"/>
        <w:adjustRightInd/>
        <w:snapToGrid/>
        <w:spacing w:line="596" w:lineRule="exact"/>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8"/>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1、收入情况。</w:t>
      </w:r>
      <w:r>
        <w:rPr>
          <w:rFonts w:hint="default" w:ascii="Times New Roman" w:hAnsi="Times New Roman" w:eastAsia="方正仿宋_GBK" w:cs="Times New Roman"/>
          <w:snapToGrid w:val="0"/>
          <w:kern w:val="21"/>
          <w:sz w:val="32"/>
          <w:szCs w:val="24"/>
          <w:lang w:val="en-US" w:eastAsia="zh-CN" w:bidi="ar-SA"/>
        </w:rPr>
        <w:t>2024</w:t>
      </w:r>
      <w:r>
        <w:rPr>
          <w:rFonts w:hint="eastAsia" w:ascii="Times New Roman" w:hAnsi="Times New Roman" w:eastAsia="方正仿宋_GBK" w:cs="Times New Roman"/>
          <w:snapToGrid w:val="0"/>
          <w:kern w:val="21"/>
          <w:sz w:val="32"/>
          <w:szCs w:val="24"/>
          <w:lang w:val="en-US" w:eastAsia="zh-CN" w:bidi="ar-SA"/>
        </w:rPr>
        <w:t>年度一般公共预算财政拨款收入</w:t>
      </w:r>
      <w:r>
        <w:rPr>
          <w:rFonts w:hint="default" w:ascii="Times New Roman" w:hAnsi="Times New Roman" w:eastAsia="方正仿宋_GBK" w:cs="Times New Roman"/>
          <w:snapToGrid w:val="0"/>
          <w:kern w:val="21"/>
          <w:sz w:val="32"/>
          <w:szCs w:val="24"/>
          <w:lang w:val="en-US" w:eastAsia="zh-CN" w:bidi="ar-SA"/>
        </w:rPr>
        <w:t>99.29</w:t>
      </w:r>
      <w:r>
        <w:rPr>
          <w:rFonts w:hint="eastAsia" w:ascii="Times New Roman" w:hAnsi="Times New Roman" w:eastAsia="方正仿宋_GBK" w:cs="Times New Roman"/>
          <w:snapToGrid w:val="0"/>
          <w:kern w:val="21"/>
          <w:sz w:val="32"/>
          <w:szCs w:val="24"/>
          <w:lang w:val="en-US" w:eastAsia="zh-CN" w:bidi="ar-SA"/>
        </w:rPr>
        <w:t>万元，</w:t>
      </w:r>
      <w:r>
        <w:rPr>
          <w:rFonts w:hint="default" w:ascii="Times New Roman" w:hAnsi="Times New Roman" w:eastAsia="方正仿宋_GBK" w:cs="Times New Roman"/>
          <w:snapToGrid w:val="0"/>
          <w:kern w:val="21"/>
          <w:sz w:val="32"/>
          <w:szCs w:val="24"/>
          <w:lang w:val="en-US" w:eastAsia="zh-CN" w:bidi="ar-SA"/>
        </w:rPr>
        <w:t>与2023年度相比，减少10.88万元，下降9.9%</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主要原因是</w:t>
      </w:r>
      <w:r>
        <w:rPr>
          <w:rFonts w:hint="eastAsia" w:ascii="Times New Roman" w:hAnsi="Times New Roman" w:eastAsia="方正仿宋_GBK" w:cs="Times New Roman"/>
          <w:snapToGrid w:val="0"/>
          <w:kern w:val="21"/>
          <w:sz w:val="32"/>
          <w:szCs w:val="24"/>
          <w:lang w:val="en-US" w:eastAsia="zh-CN" w:bidi="ar-SA"/>
        </w:rPr>
        <w:t>机构改革后，本单位较上年减少2人，导致人员类经费收入减少。</w:t>
      </w:r>
      <w:r>
        <w:rPr>
          <w:rFonts w:hint="default" w:ascii="Times New Roman" w:hAnsi="Times New Roman" w:eastAsia="方正仿宋_GBK" w:cs="Times New Roman"/>
          <w:snapToGrid w:val="0"/>
          <w:kern w:val="21"/>
          <w:sz w:val="32"/>
          <w:szCs w:val="24"/>
          <w:lang w:val="en-US" w:eastAsia="zh-CN" w:bidi="ar-SA"/>
        </w:rPr>
        <w:t>较年初预算数减少0.76万元，下降0.8%</w:t>
      </w:r>
      <w:r>
        <w:rPr>
          <w:rFonts w:hint="eastAsia" w:ascii="Times New Roman" w:hAnsi="Times New Roman" w:eastAsia="方正仿宋_GBK" w:cs="Times New Roman"/>
          <w:snapToGrid w:val="0"/>
          <w:kern w:val="21"/>
          <w:sz w:val="32"/>
          <w:szCs w:val="24"/>
          <w:lang w:val="en-US" w:eastAsia="zh-CN" w:bidi="ar-SA"/>
        </w:rPr>
        <w:t>。主要原</w:t>
      </w:r>
      <w:r>
        <w:rPr>
          <w:rFonts w:hint="default" w:ascii="Times New Roman" w:hAnsi="Times New Roman" w:eastAsia="方正仿宋_GBK" w:cs="Times New Roman"/>
          <w:snapToGrid w:val="0"/>
          <w:kern w:val="21"/>
          <w:sz w:val="32"/>
          <w:szCs w:val="24"/>
          <w:lang w:val="en-US" w:eastAsia="zh-CN" w:bidi="ar-SA"/>
        </w:rPr>
        <w:t>因是</w:t>
      </w:r>
      <w:r>
        <w:rPr>
          <w:rFonts w:hint="eastAsia" w:ascii="Times New Roman" w:hAnsi="Times New Roman" w:eastAsia="方正仿宋_GBK" w:cs="Times New Roman"/>
          <w:snapToGrid w:val="0"/>
          <w:kern w:val="21"/>
          <w:sz w:val="32"/>
          <w:szCs w:val="24"/>
          <w:lang w:val="en-US" w:eastAsia="zh-CN" w:bidi="ar-SA"/>
        </w:rPr>
        <w:t>人员变动，相应人员经费类减少。此外，年初财政拨款结转和结余</w:t>
      </w:r>
      <w:r>
        <w:rPr>
          <w:rFonts w:hint="default" w:ascii="Times New Roman" w:hAnsi="Times New Roman" w:eastAsia="方正仿宋_GBK" w:cs="Times New Roman"/>
          <w:snapToGrid w:val="0"/>
          <w:kern w:val="21"/>
          <w:sz w:val="32"/>
          <w:szCs w:val="24"/>
          <w:lang w:val="en-US" w:eastAsia="zh-CN" w:bidi="ar-SA"/>
        </w:rPr>
        <w:t>0.00</w:t>
      </w:r>
      <w:r>
        <w:rPr>
          <w:rFonts w:hint="eastAsia" w:ascii="Times New Roman" w:hAnsi="Times New Roman" w:eastAsia="方正仿宋_GBK" w:cs="Times New Roman"/>
          <w:snapToGrid w:val="0"/>
          <w:kern w:val="21"/>
          <w:sz w:val="32"/>
          <w:szCs w:val="24"/>
          <w:lang w:val="en-US" w:eastAsia="zh-CN" w:bidi="ar-SA"/>
        </w:rPr>
        <w:t>万元。</w:t>
      </w:r>
    </w:p>
    <w:p>
      <w:pPr>
        <w:pStyle w:val="8"/>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2、支出情况。</w:t>
      </w:r>
      <w:r>
        <w:rPr>
          <w:rFonts w:hint="default" w:ascii="Times New Roman" w:hAnsi="Times New Roman" w:eastAsia="方正仿宋_GBK" w:cs="Times New Roman"/>
          <w:snapToGrid w:val="0"/>
          <w:kern w:val="21"/>
          <w:sz w:val="32"/>
          <w:szCs w:val="24"/>
          <w:lang w:val="en-US" w:eastAsia="zh-CN" w:bidi="ar-SA"/>
        </w:rPr>
        <w:t>2024</w:t>
      </w:r>
      <w:r>
        <w:rPr>
          <w:rFonts w:hint="eastAsia" w:ascii="Times New Roman" w:hAnsi="Times New Roman" w:eastAsia="方正仿宋_GBK" w:cs="Times New Roman"/>
          <w:snapToGrid w:val="0"/>
          <w:kern w:val="21"/>
          <w:sz w:val="32"/>
          <w:szCs w:val="24"/>
          <w:lang w:val="en-US" w:eastAsia="zh-CN" w:bidi="ar-SA"/>
        </w:rPr>
        <w:t>年度一般公共预算财政拨款支出</w:t>
      </w:r>
      <w:r>
        <w:rPr>
          <w:rFonts w:hint="default" w:ascii="Times New Roman" w:hAnsi="Times New Roman" w:eastAsia="方正仿宋_GBK" w:cs="Times New Roman"/>
          <w:snapToGrid w:val="0"/>
          <w:kern w:val="21"/>
          <w:sz w:val="32"/>
          <w:szCs w:val="24"/>
          <w:lang w:val="en-US" w:eastAsia="zh-CN" w:bidi="ar-SA"/>
        </w:rPr>
        <w:t>99.29</w:t>
      </w:r>
      <w:r>
        <w:rPr>
          <w:rFonts w:hint="eastAsia" w:ascii="Times New Roman" w:hAnsi="Times New Roman" w:eastAsia="方正仿宋_GBK" w:cs="Times New Roman"/>
          <w:snapToGrid w:val="0"/>
          <w:kern w:val="21"/>
          <w:sz w:val="32"/>
          <w:szCs w:val="24"/>
          <w:lang w:val="en-US" w:eastAsia="zh-CN" w:bidi="ar-SA"/>
        </w:rPr>
        <w:t>万元，</w:t>
      </w:r>
      <w:r>
        <w:rPr>
          <w:rFonts w:hint="default" w:ascii="Times New Roman" w:hAnsi="Times New Roman" w:eastAsia="方正仿宋_GBK" w:cs="Times New Roman"/>
          <w:snapToGrid w:val="0"/>
          <w:kern w:val="21"/>
          <w:sz w:val="32"/>
          <w:szCs w:val="24"/>
          <w:lang w:val="en-US" w:eastAsia="zh-CN" w:bidi="ar-SA"/>
        </w:rPr>
        <w:t>与2023年度相比，减少10.88万元，下降9.9%</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主要原因是</w:t>
      </w:r>
      <w:r>
        <w:rPr>
          <w:rFonts w:hint="eastAsia" w:ascii="Times New Roman" w:hAnsi="Times New Roman" w:eastAsia="方正仿宋_GBK" w:cs="Times New Roman"/>
          <w:snapToGrid w:val="0"/>
          <w:kern w:val="21"/>
          <w:sz w:val="32"/>
          <w:szCs w:val="24"/>
          <w:lang w:val="en-US" w:eastAsia="zh-CN" w:bidi="ar-SA"/>
        </w:rPr>
        <w:t>机构改革后，本单位较上年减少2人，导致人员类经费支出减少。</w:t>
      </w:r>
      <w:r>
        <w:rPr>
          <w:rFonts w:hint="default" w:ascii="Times New Roman" w:hAnsi="Times New Roman" w:eastAsia="方正仿宋_GBK" w:cs="Times New Roman"/>
          <w:snapToGrid w:val="0"/>
          <w:kern w:val="21"/>
          <w:sz w:val="32"/>
          <w:szCs w:val="24"/>
          <w:lang w:val="en-US" w:eastAsia="zh-CN" w:bidi="ar-SA"/>
        </w:rPr>
        <w:t>较年初预算数减少0.76万元，下降0.8%</w:t>
      </w:r>
      <w:r>
        <w:rPr>
          <w:rFonts w:hint="eastAsia" w:ascii="Times New Roman" w:hAnsi="Times New Roman" w:eastAsia="方正仿宋_GBK" w:cs="Times New Roman"/>
          <w:snapToGrid w:val="0"/>
          <w:kern w:val="21"/>
          <w:sz w:val="32"/>
          <w:szCs w:val="24"/>
          <w:lang w:val="en-US" w:eastAsia="zh-CN" w:bidi="ar-SA"/>
        </w:rPr>
        <w:t>。主要原</w:t>
      </w:r>
      <w:r>
        <w:rPr>
          <w:rFonts w:hint="default" w:ascii="Times New Roman" w:hAnsi="Times New Roman" w:eastAsia="方正仿宋_GBK" w:cs="Times New Roman"/>
          <w:snapToGrid w:val="0"/>
          <w:kern w:val="21"/>
          <w:sz w:val="32"/>
          <w:szCs w:val="24"/>
          <w:lang w:val="en-US" w:eastAsia="zh-CN" w:bidi="ar-SA"/>
        </w:rPr>
        <w:t>因是</w:t>
      </w:r>
      <w:r>
        <w:rPr>
          <w:rFonts w:hint="eastAsia" w:ascii="Times New Roman" w:hAnsi="Times New Roman" w:eastAsia="方正仿宋_GBK" w:cs="Times New Roman"/>
          <w:snapToGrid w:val="0"/>
          <w:kern w:val="21"/>
          <w:sz w:val="32"/>
          <w:szCs w:val="24"/>
          <w:lang w:val="en-US" w:eastAsia="zh-CN" w:bidi="ar-SA"/>
        </w:rPr>
        <w:t>人员变动，相应人员经费类减少。</w:t>
      </w:r>
    </w:p>
    <w:p>
      <w:pPr>
        <w:pStyle w:val="8"/>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一般公共预算财政拨款支出主要用途如下：</w:t>
      </w:r>
    </w:p>
    <w:p>
      <w:pPr>
        <w:pStyle w:val="8"/>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一般公共服务支出</w:t>
      </w:r>
      <w:r>
        <w:rPr>
          <w:rFonts w:hint="default" w:ascii="Times New Roman" w:hAnsi="Times New Roman" w:eastAsia="方正仿宋_GBK" w:cs="Times New Roman"/>
          <w:snapToGrid w:val="0"/>
          <w:kern w:val="21"/>
          <w:sz w:val="32"/>
          <w:szCs w:val="24"/>
          <w:lang w:val="en-US" w:eastAsia="zh-CN" w:bidi="ar-SA"/>
        </w:rPr>
        <w:t>73.50</w:t>
      </w:r>
      <w:r>
        <w:rPr>
          <w:rFonts w:hint="eastAsia" w:ascii="Times New Roman" w:hAnsi="Times New Roman" w:eastAsia="方正仿宋_GBK" w:cs="Times New Roman"/>
          <w:snapToGrid w:val="0"/>
          <w:kern w:val="21"/>
          <w:sz w:val="32"/>
          <w:szCs w:val="24"/>
          <w:lang w:val="en-US" w:eastAsia="zh-CN" w:bidi="ar-SA"/>
        </w:rPr>
        <w:t>万元，占</w:t>
      </w:r>
      <w:r>
        <w:rPr>
          <w:rFonts w:hint="default" w:ascii="Times New Roman" w:hAnsi="Times New Roman" w:eastAsia="方正仿宋_GBK" w:cs="Times New Roman"/>
          <w:snapToGrid w:val="0"/>
          <w:kern w:val="21"/>
          <w:sz w:val="32"/>
          <w:szCs w:val="24"/>
          <w:lang w:val="en-US" w:eastAsia="zh-CN" w:bidi="ar-SA"/>
        </w:rPr>
        <w:t>74.0%</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较年初预算数减少4.35万元，下降5.6%</w:t>
      </w:r>
      <w:r>
        <w:rPr>
          <w:rFonts w:hint="eastAsia" w:ascii="Times New Roman" w:hAnsi="Times New Roman" w:eastAsia="方正仿宋_GBK" w:cs="Times New Roman"/>
          <w:snapToGrid w:val="0"/>
          <w:kern w:val="21"/>
          <w:sz w:val="32"/>
          <w:szCs w:val="24"/>
          <w:lang w:val="en-US" w:eastAsia="zh-CN" w:bidi="ar-SA"/>
        </w:rPr>
        <w:t>，主要原</w:t>
      </w:r>
      <w:r>
        <w:rPr>
          <w:rFonts w:hint="default" w:ascii="Times New Roman" w:hAnsi="Times New Roman" w:eastAsia="方正仿宋_GBK" w:cs="Times New Roman"/>
          <w:snapToGrid w:val="0"/>
          <w:kern w:val="21"/>
          <w:sz w:val="32"/>
          <w:szCs w:val="24"/>
          <w:lang w:val="en-US" w:eastAsia="zh-CN" w:bidi="ar-SA"/>
        </w:rPr>
        <w:t>因是</w:t>
      </w:r>
      <w:r>
        <w:rPr>
          <w:rFonts w:hint="eastAsia" w:ascii="Times New Roman" w:hAnsi="Times New Roman" w:eastAsia="方正仿宋_GBK" w:cs="Times New Roman"/>
          <w:snapToGrid w:val="0"/>
          <w:kern w:val="21"/>
          <w:sz w:val="32"/>
          <w:szCs w:val="24"/>
          <w:lang w:val="en-US" w:eastAsia="zh-CN" w:bidi="ar-SA"/>
        </w:rPr>
        <w:t>年初预算6人，机构调整后，减少2人，导致工资、津补贴的人员类经费支出减少。</w:t>
      </w:r>
    </w:p>
    <w:p>
      <w:pPr>
        <w:pStyle w:val="8"/>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（2）</w:t>
      </w:r>
      <w:r>
        <w:rPr>
          <w:rFonts w:hint="default" w:ascii="Times New Roman" w:hAnsi="Times New Roman" w:eastAsia="方正仿宋_GBK" w:cs="Times New Roman"/>
          <w:snapToGrid w:val="0"/>
          <w:kern w:val="21"/>
          <w:sz w:val="32"/>
          <w:szCs w:val="24"/>
          <w:lang w:val="en-US" w:eastAsia="zh-CN" w:bidi="ar-SA"/>
        </w:rPr>
        <w:t>社会保障</w:t>
      </w:r>
      <w:r>
        <w:rPr>
          <w:rFonts w:hint="eastAsia" w:ascii="Times New Roman" w:hAnsi="Times New Roman" w:eastAsia="方正仿宋_GBK" w:cs="Times New Roman"/>
          <w:snapToGrid w:val="0"/>
          <w:kern w:val="21"/>
          <w:sz w:val="32"/>
          <w:szCs w:val="24"/>
          <w:lang w:val="en-US" w:eastAsia="zh-CN" w:bidi="ar-SA"/>
        </w:rPr>
        <w:t>和</w:t>
      </w:r>
      <w:r>
        <w:rPr>
          <w:rFonts w:hint="default" w:ascii="Times New Roman" w:hAnsi="Times New Roman" w:eastAsia="方正仿宋_GBK" w:cs="Times New Roman"/>
          <w:snapToGrid w:val="0"/>
          <w:kern w:val="21"/>
          <w:sz w:val="32"/>
          <w:szCs w:val="24"/>
          <w:lang w:val="en-US" w:eastAsia="zh-CN" w:bidi="ar-SA"/>
        </w:rPr>
        <w:t>就业支出15.73万元，占15.8%，较年初预算数增加3.84万元，增长32.3%，主要原因是</w:t>
      </w:r>
      <w:r>
        <w:rPr>
          <w:rFonts w:hint="eastAsia" w:ascii="Times New Roman" w:hAnsi="Times New Roman" w:eastAsia="方正仿宋_GBK" w:cs="Times New Roman"/>
          <w:snapToGrid w:val="0"/>
          <w:kern w:val="21"/>
          <w:sz w:val="32"/>
          <w:szCs w:val="24"/>
          <w:lang w:val="en-US" w:eastAsia="zh-CN" w:bidi="ar-SA"/>
        </w:rPr>
        <w:t>超额绩效纳入养老保险及职业年金基数后补缴养老保险及职业年金，导致养老保险、职业年金支出增加。</w:t>
      </w:r>
    </w:p>
    <w:p>
      <w:pPr>
        <w:pStyle w:val="8"/>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（3）卫生健康支出</w:t>
      </w:r>
      <w:r>
        <w:rPr>
          <w:rFonts w:hint="default" w:ascii="Times New Roman" w:hAnsi="Times New Roman" w:eastAsia="方正仿宋_GBK" w:cs="Times New Roman"/>
          <w:snapToGrid w:val="0"/>
          <w:kern w:val="21"/>
          <w:sz w:val="32"/>
          <w:szCs w:val="24"/>
          <w:lang w:val="en-US" w:eastAsia="zh-CN" w:bidi="ar-SA"/>
        </w:rPr>
        <w:t>5.15</w:t>
      </w:r>
      <w:r>
        <w:rPr>
          <w:rFonts w:hint="eastAsia" w:ascii="Times New Roman" w:hAnsi="Times New Roman" w:eastAsia="方正仿宋_GBK" w:cs="Times New Roman"/>
          <w:snapToGrid w:val="0"/>
          <w:kern w:val="21"/>
          <w:sz w:val="32"/>
          <w:szCs w:val="24"/>
          <w:lang w:val="en-US" w:eastAsia="zh-CN" w:bidi="ar-SA"/>
        </w:rPr>
        <w:t>万元，占</w:t>
      </w:r>
      <w:r>
        <w:rPr>
          <w:rFonts w:hint="default" w:ascii="Times New Roman" w:hAnsi="Times New Roman" w:eastAsia="方正仿宋_GBK" w:cs="Times New Roman"/>
          <w:snapToGrid w:val="0"/>
          <w:kern w:val="21"/>
          <w:sz w:val="32"/>
          <w:szCs w:val="24"/>
          <w:lang w:val="en-US" w:eastAsia="zh-CN" w:bidi="ar-SA"/>
        </w:rPr>
        <w:t>5.2%</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较年初预算数减少0.25万元，下降4.6%</w:t>
      </w:r>
      <w:r>
        <w:rPr>
          <w:rFonts w:hint="eastAsia" w:ascii="Times New Roman" w:hAnsi="Times New Roman" w:eastAsia="方正仿宋_GBK" w:cs="Times New Roman"/>
          <w:snapToGrid w:val="0"/>
          <w:kern w:val="21"/>
          <w:sz w:val="32"/>
          <w:szCs w:val="24"/>
          <w:lang w:val="en-US" w:eastAsia="zh-CN" w:bidi="ar-SA"/>
        </w:rPr>
        <w:t>，主要原因是医疗保险等支出减少。</w:t>
      </w:r>
    </w:p>
    <w:p>
      <w:pPr>
        <w:pStyle w:val="8"/>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（4）住房保障支出</w:t>
      </w:r>
      <w:r>
        <w:rPr>
          <w:rFonts w:hint="default" w:ascii="Times New Roman" w:hAnsi="Times New Roman" w:eastAsia="方正仿宋_GBK" w:cs="Times New Roman"/>
          <w:snapToGrid w:val="0"/>
          <w:kern w:val="21"/>
          <w:sz w:val="32"/>
          <w:szCs w:val="24"/>
          <w:lang w:val="en-US" w:eastAsia="zh-CN" w:bidi="ar-SA"/>
        </w:rPr>
        <w:t>4.91</w:t>
      </w:r>
      <w:r>
        <w:rPr>
          <w:rFonts w:hint="eastAsia" w:ascii="Times New Roman" w:hAnsi="Times New Roman" w:eastAsia="方正仿宋_GBK" w:cs="Times New Roman"/>
          <w:snapToGrid w:val="0"/>
          <w:kern w:val="21"/>
          <w:sz w:val="32"/>
          <w:szCs w:val="24"/>
          <w:lang w:val="en-US" w:eastAsia="zh-CN" w:bidi="ar-SA"/>
        </w:rPr>
        <w:t>万元，占</w:t>
      </w:r>
      <w:r>
        <w:rPr>
          <w:rFonts w:hint="default" w:ascii="Times New Roman" w:hAnsi="Times New Roman" w:eastAsia="方正仿宋_GBK" w:cs="Times New Roman"/>
          <w:snapToGrid w:val="0"/>
          <w:kern w:val="21"/>
          <w:sz w:val="32"/>
          <w:szCs w:val="24"/>
          <w:lang w:val="en-US" w:eastAsia="zh-CN" w:bidi="ar-SA"/>
        </w:rPr>
        <w:t>5.0%</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较年初预算数无增减</w:t>
      </w:r>
      <w:r>
        <w:rPr>
          <w:rFonts w:hint="eastAsia" w:ascii="Times New Roman" w:hAnsi="Times New Roman" w:eastAsia="方正仿宋_GBK" w:cs="Times New Roman"/>
          <w:snapToGrid w:val="0"/>
          <w:kern w:val="21"/>
          <w:sz w:val="32"/>
          <w:szCs w:val="24"/>
          <w:lang w:val="en-US" w:eastAsia="zh-CN" w:bidi="ar-SA"/>
        </w:rPr>
        <w:t>。</w:t>
      </w:r>
    </w:p>
    <w:p>
      <w:pPr>
        <w:pStyle w:val="8"/>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3、</w:t>
      </w:r>
      <w:r>
        <w:rPr>
          <w:rFonts w:hint="default" w:ascii="Times New Roman" w:hAnsi="Times New Roman" w:eastAsia="方正仿宋_GBK" w:cs="Times New Roman"/>
          <w:snapToGrid w:val="0"/>
          <w:kern w:val="21"/>
          <w:sz w:val="32"/>
          <w:szCs w:val="24"/>
          <w:lang w:val="en-US" w:eastAsia="zh-CN" w:bidi="ar-SA"/>
        </w:rPr>
        <w:t>结转结余情况。2024年度年末一般公共预算财政拨款结转和结余0.00万元，与2023年度相比，无增减</w:t>
      </w:r>
      <w:r>
        <w:rPr>
          <w:rFonts w:hint="eastAsia" w:ascii="Times New Roman" w:hAnsi="Times New Roman" w:eastAsia="方正仿宋_GBK" w:cs="Times New Roman"/>
          <w:snapToGrid w:val="0"/>
          <w:kern w:val="21"/>
          <w:sz w:val="32"/>
          <w:szCs w:val="24"/>
          <w:lang w:val="en-US" w:eastAsia="zh-CN" w:bidi="ar-SA"/>
        </w:rPr>
        <w:t>。</w:t>
      </w:r>
    </w:p>
    <w:p>
      <w:pPr>
        <w:pStyle w:val="12"/>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8"/>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2024年度一般公共财政拨款基本支出99.29万元。</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Times New Roman" w:hAnsi="Times New Roman" w:eastAsia="方正仿宋_GBK" w:cs="Times New Roman"/>
          <w:snapToGrid w:val="0"/>
          <w:kern w:val="21"/>
          <w:sz w:val="32"/>
          <w:szCs w:val="24"/>
          <w:lang w:val="en-US" w:eastAsia="zh-CN" w:bidi="ar-SA"/>
        </w:rPr>
      </w:pPr>
      <w:r>
        <w:rPr>
          <w:rFonts w:ascii="方正仿宋_GBK" w:hAnsi="方正仿宋_GBK" w:eastAsia="方正仿宋_GBK" w:cs="方正仿宋_GBK"/>
          <w:sz w:val="32"/>
          <w:szCs w:val="32"/>
          <w:shd w:val="clear" w:color="auto" w:fill="FFFFFF"/>
        </w:rPr>
        <w:t>其中：</w:t>
      </w:r>
      <w:r>
        <w:rPr>
          <w:rFonts w:hint="default" w:ascii="Times New Roman" w:hAnsi="Times New Roman" w:eastAsia="方正仿宋_GBK" w:cs="Times New Roman"/>
          <w:snapToGrid w:val="0"/>
          <w:kern w:val="21"/>
          <w:sz w:val="32"/>
          <w:szCs w:val="24"/>
          <w:lang w:val="en-US" w:eastAsia="zh-CN" w:bidi="ar-SA"/>
        </w:rPr>
        <w:t>人员经费86.47万元，与2023年度相比，减少10.90万元，下降11.2%，主要原因是</w:t>
      </w:r>
      <w:r>
        <w:rPr>
          <w:rFonts w:hint="eastAsia" w:ascii="Times New Roman" w:hAnsi="Times New Roman" w:eastAsia="方正仿宋_GBK" w:cs="Times New Roman"/>
          <w:snapToGrid w:val="0"/>
          <w:kern w:val="21"/>
          <w:sz w:val="32"/>
          <w:szCs w:val="24"/>
          <w:lang w:val="en-US" w:eastAsia="zh-CN" w:bidi="ar-SA"/>
        </w:rPr>
        <w:t>机构改革后，本单位较上年减少2人，导致人员类经费支出减少。</w:t>
      </w:r>
      <w:r>
        <w:rPr>
          <w:rFonts w:hint="default" w:ascii="Times New Roman" w:hAnsi="Times New Roman" w:eastAsia="方正仿宋_GBK" w:cs="Times New Roman"/>
          <w:snapToGrid w:val="0"/>
          <w:kern w:val="21"/>
          <w:sz w:val="32"/>
          <w:szCs w:val="24"/>
          <w:lang w:val="en-US" w:eastAsia="zh-CN" w:bidi="ar-SA"/>
        </w:rPr>
        <w:t>人员经费用途主要包括</w:t>
      </w:r>
      <w:r>
        <w:rPr>
          <w:rFonts w:hint="eastAsia" w:ascii="Times New Roman" w:hAnsi="Times New Roman" w:eastAsia="方正仿宋_GBK" w:cs="Times New Roman"/>
          <w:snapToGrid w:val="0"/>
          <w:kern w:val="21"/>
          <w:sz w:val="32"/>
          <w:szCs w:val="24"/>
          <w:lang w:val="en-US" w:eastAsia="zh-CN" w:bidi="ar-SA"/>
        </w:rPr>
        <w:t>基本工资、津贴补贴、社会保障缴费、住房公积金等。</w:t>
      </w:r>
    </w:p>
    <w:p>
      <w:pPr>
        <w:pStyle w:val="8"/>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公用经费12.82万元，与2023年度相比，增加0.02万元，增长0.2%，主要原因是</w:t>
      </w:r>
      <w:r>
        <w:rPr>
          <w:rFonts w:hint="eastAsia" w:ascii="Times New Roman" w:hAnsi="Times New Roman" w:eastAsia="方正仿宋_GBK" w:cs="Times New Roman"/>
          <w:snapToGrid w:val="0"/>
          <w:kern w:val="21"/>
          <w:sz w:val="32"/>
          <w:szCs w:val="24"/>
          <w:lang w:val="en-US" w:eastAsia="zh-CN" w:bidi="ar-SA"/>
        </w:rPr>
        <w:t>人员变动，工会经费等相应增加，</w:t>
      </w:r>
      <w:r>
        <w:rPr>
          <w:rFonts w:hint="default" w:ascii="Times New Roman" w:hAnsi="Times New Roman" w:eastAsia="方正仿宋_GBK" w:cs="Times New Roman"/>
          <w:snapToGrid w:val="0"/>
          <w:kern w:val="21"/>
          <w:sz w:val="32"/>
          <w:szCs w:val="24"/>
          <w:lang w:val="en-US" w:eastAsia="zh-CN" w:bidi="ar-SA"/>
        </w:rPr>
        <w:t>公用经费用途主要包括</w:t>
      </w:r>
      <w:r>
        <w:rPr>
          <w:rFonts w:hint="eastAsia" w:ascii="Times New Roman" w:hAnsi="Times New Roman" w:eastAsia="方正仿宋_GBK" w:cs="Times New Roman"/>
          <w:snapToGrid w:val="0"/>
          <w:kern w:val="21"/>
          <w:sz w:val="32"/>
          <w:szCs w:val="24"/>
          <w:lang w:val="en-US" w:eastAsia="zh-CN" w:bidi="ar-SA"/>
        </w:rPr>
        <w:t>办公费、水电费、培训费、差旅费、工会经费等。</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（五）政府性基金预算收支决算情况说明</w:t>
      </w:r>
    </w:p>
    <w:p>
      <w:pPr>
        <w:pStyle w:val="8"/>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本</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2024年度无政府性基金预算财政拨款收支。</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8"/>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本</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2024年度无国有资本经营预算财政拨款支出。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三、</w:t>
      </w:r>
      <w:r>
        <w:rPr>
          <w:rStyle w:val="11"/>
          <w:rFonts w:hint="eastAsia" w:ascii="方正黑体_GBK" w:hAnsi="方正黑体_GBK" w:eastAsia="方正黑体_GBK" w:cs="方正黑体_GBK"/>
          <w:b w:val="0"/>
          <w:bCs/>
          <w:sz w:val="32"/>
          <w:szCs w:val="32"/>
          <w:shd w:val="clear" w:color="auto" w:fill="FFFFFF"/>
          <w:lang w:eastAsia="zh-CN"/>
        </w:rPr>
        <w:t>财政拨款</w:t>
      </w:r>
      <w:r>
        <w:rPr>
          <w:rStyle w:val="11"/>
          <w:rFonts w:hint="eastAsia" w:ascii="方正黑体_GBK" w:hAnsi="方正黑体_GBK" w:eastAsia="方正黑体_GBK" w:cs="方正黑体_GBK"/>
          <w:b w:val="0"/>
          <w:bCs/>
          <w:sz w:val="32"/>
          <w:szCs w:val="32"/>
          <w:shd w:val="clear" w:color="auto" w:fill="FFFFFF"/>
        </w:rPr>
        <w:t>“三公”经费情况说明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（一）“三公”经费支出总体情况说明</w:t>
      </w:r>
    </w:p>
    <w:p>
      <w:pPr>
        <w:pStyle w:val="8"/>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2024年度“三公”经费支出共计0.00万元，较年初预算数无增减</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较上年支出数无增减</w:t>
      </w:r>
      <w:r>
        <w:rPr>
          <w:rFonts w:hint="eastAsia" w:ascii="Times New Roman" w:hAnsi="Times New Roman" w:eastAsia="方正仿宋_GBK" w:cs="Times New Roman"/>
          <w:snapToGrid w:val="0"/>
          <w:kern w:val="21"/>
          <w:sz w:val="32"/>
          <w:szCs w:val="24"/>
          <w:lang w:val="en-US" w:eastAsia="zh-CN" w:bidi="ar-SA"/>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（二）“三公”经费分项支出情况</w:t>
      </w:r>
    </w:p>
    <w:p>
      <w:pPr>
        <w:pStyle w:val="8"/>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2024年度本</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因公出国（境）费用0.00万元</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费用支出较年初预算数无增减</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较上年支出数无增减</w:t>
      </w:r>
      <w:r>
        <w:rPr>
          <w:rFonts w:hint="eastAsia" w:ascii="Times New Roman" w:hAnsi="Times New Roman" w:eastAsia="方正仿宋_GBK" w:cs="Times New Roman"/>
          <w:snapToGrid w:val="0"/>
          <w:kern w:val="21"/>
          <w:sz w:val="32"/>
          <w:szCs w:val="24"/>
          <w:lang w:val="en-US" w:eastAsia="zh-CN" w:bidi="ar-SA"/>
        </w:rPr>
        <w:t>。</w:t>
      </w:r>
    </w:p>
    <w:p>
      <w:pPr>
        <w:pStyle w:val="8"/>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公务</w:t>
      </w:r>
      <w:r>
        <w:rPr>
          <w:rFonts w:hint="eastAsia" w:ascii="Times New Roman" w:hAnsi="Times New Roman" w:eastAsia="方正仿宋_GBK" w:cs="Times New Roman"/>
          <w:snapToGrid w:val="0"/>
          <w:kern w:val="21"/>
          <w:sz w:val="32"/>
          <w:szCs w:val="24"/>
          <w:lang w:val="en-US" w:eastAsia="zh-CN" w:bidi="ar-SA"/>
        </w:rPr>
        <w:t>用</w:t>
      </w:r>
      <w:r>
        <w:rPr>
          <w:rFonts w:hint="default" w:ascii="Times New Roman" w:hAnsi="Times New Roman" w:eastAsia="方正仿宋_GBK" w:cs="Times New Roman"/>
          <w:snapToGrid w:val="0"/>
          <w:kern w:val="21"/>
          <w:sz w:val="32"/>
          <w:szCs w:val="24"/>
          <w:lang w:val="en-US" w:eastAsia="zh-CN" w:bidi="ar-SA"/>
        </w:rPr>
        <w:t>车购置费0.00万元</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费用支出较年初预算数无增减</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较上年支出数无增减</w:t>
      </w:r>
      <w:r>
        <w:rPr>
          <w:rFonts w:hint="eastAsia" w:ascii="Times New Roman" w:hAnsi="Times New Roman" w:eastAsia="方正仿宋_GBK" w:cs="Times New Roman"/>
          <w:snapToGrid w:val="0"/>
          <w:kern w:val="21"/>
          <w:sz w:val="32"/>
          <w:szCs w:val="24"/>
          <w:lang w:val="en-US" w:eastAsia="zh-CN" w:bidi="ar-SA"/>
        </w:rPr>
        <w:t>。</w:t>
      </w:r>
    </w:p>
    <w:p>
      <w:pPr>
        <w:pStyle w:val="8"/>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公务</w:t>
      </w:r>
      <w:r>
        <w:rPr>
          <w:rFonts w:hint="eastAsia" w:ascii="Times New Roman" w:hAnsi="Times New Roman" w:eastAsia="方正仿宋_GBK" w:cs="Times New Roman"/>
          <w:snapToGrid w:val="0"/>
          <w:kern w:val="21"/>
          <w:sz w:val="32"/>
          <w:szCs w:val="24"/>
          <w:lang w:val="en-US" w:eastAsia="zh-CN" w:bidi="ar-SA"/>
        </w:rPr>
        <w:t>用</w:t>
      </w:r>
      <w:r>
        <w:rPr>
          <w:rFonts w:hint="default" w:ascii="Times New Roman" w:hAnsi="Times New Roman" w:eastAsia="方正仿宋_GBK" w:cs="Times New Roman"/>
          <w:snapToGrid w:val="0"/>
          <w:kern w:val="21"/>
          <w:sz w:val="32"/>
          <w:szCs w:val="24"/>
          <w:lang w:val="en-US" w:eastAsia="zh-CN" w:bidi="ar-SA"/>
        </w:rPr>
        <w:t>车运行维护费0.00万元</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费用支出较年初预算数无增减，较上年支出数无增减</w:t>
      </w:r>
      <w:r>
        <w:rPr>
          <w:rFonts w:hint="eastAsia" w:ascii="Times New Roman" w:hAnsi="Times New Roman" w:eastAsia="方正仿宋_GBK" w:cs="Times New Roman"/>
          <w:snapToGrid w:val="0"/>
          <w:kern w:val="21"/>
          <w:sz w:val="32"/>
          <w:szCs w:val="24"/>
          <w:lang w:val="en-US" w:eastAsia="zh-CN" w:bidi="ar-SA"/>
        </w:rPr>
        <w:t>。</w:t>
      </w:r>
    </w:p>
    <w:p>
      <w:pPr>
        <w:pStyle w:val="8"/>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公务接待费0.00万元，费用支出较年初预算数无增减，较上年支出数无增减</w:t>
      </w:r>
      <w:r>
        <w:rPr>
          <w:rFonts w:hint="eastAsia" w:ascii="Times New Roman" w:hAnsi="Times New Roman" w:eastAsia="方正仿宋_GBK" w:cs="Times New Roman"/>
          <w:snapToGrid w:val="0"/>
          <w:kern w:val="21"/>
          <w:sz w:val="32"/>
          <w:szCs w:val="24"/>
          <w:lang w:val="en-US" w:eastAsia="zh-CN" w:bidi="ar-SA"/>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（三）“三公”经费实物量情况</w:t>
      </w:r>
    </w:p>
    <w:p>
      <w:pPr>
        <w:pStyle w:val="8"/>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2024年度本</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因公出国（境）共计0个团组，0人；公务用车购置0辆，公务车保有量为0辆；国内公务接待0批次0人，其中：国内外事接待0批次，0人；国（境）外公务接待0批次，0人。2024年本</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人均接待费0元，车均购置费0万元，车均维护费0万元。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四、其他需要说明的事项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1"/>
          <w:rFonts w:hint="default"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（一）财政拨款会议费、培训费和差旅费情况说明</w:t>
      </w:r>
    </w:p>
    <w:p>
      <w:pPr>
        <w:pStyle w:val="8"/>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0.30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与2023年度相比，增加0.30万元，增长100.0%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napToGrid w:val="0"/>
          <w:kern w:val="21"/>
          <w:sz w:val="32"/>
          <w:szCs w:val="24"/>
          <w:lang w:val="en-US" w:eastAsia="zh-CN" w:bidi="ar-SA"/>
        </w:rPr>
        <w:t>主要原因是</w:t>
      </w:r>
      <w:r>
        <w:rPr>
          <w:rFonts w:hint="eastAsia" w:ascii="Times New Roman" w:hAnsi="Times New Roman" w:eastAsia="方正仿宋_GBK" w:cs="Times New Roman"/>
          <w:snapToGrid w:val="0"/>
          <w:kern w:val="21"/>
          <w:sz w:val="32"/>
          <w:szCs w:val="24"/>
          <w:lang w:val="en-US" w:eastAsia="zh-CN" w:bidi="ar-SA"/>
        </w:rPr>
        <w:t>职工出差费用增加。</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（二）机关运行经费情况说明</w:t>
      </w:r>
    </w:p>
    <w:p>
      <w:pPr>
        <w:pStyle w:val="8"/>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按照部门决算列报口径，我</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不在机关运行经费统计范围</w:t>
      </w:r>
      <w:r>
        <w:rPr>
          <w:rFonts w:hint="eastAsia" w:ascii="Times New Roman" w:hAnsi="Times New Roman" w:eastAsia="方正仿宋_GBK" w:cs="Times New Roman"/>
          <w:snapToGrid w:val="0"/>
          <w:kern w:val="21"/>
          <w:sz w:val="32"/>
          <w:szCs w:val="24"/>
          <w:lang w:val="en-US" w:eastAsia="zh-CN" w:bidi="ar-SA"/>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（三）国有资产占用情况说明</w:t>
      </w:r>
    </w:p>
    <w:p>
      <w:pPr>
        <w:pStyle w:val="8"/>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截至2024年12月31日，本</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（四）政府采购支出情况说明</w:t>
      </w:r>
    </w:p>
    <w:p>
      <w:pPr>
        <w:pStyle w:val="8"/>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2024年度我</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未发生政府采购事项，无相关经费支出。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default" w:ascii="Times New Roman" w:hAnsi="Times New Roman" w:eastAsia="方正黑体_GBK"/>
          <w:snapToGrid w:val="0"/>
          <w:kern w:val="21"/>
          <w:sz w:val="32"/>
        </w:rPr>
      </w:pPr>
      <w:r>
        <w:rPr>
          <w:rFonts w:hint="eastAsia" w:ascii="Times New Roman" w:hAnsi="Times New Roman" w:eastAsia="方正黑体_GBK"/>
          <w:snapToGrid w:val="0"/>
          <w:kern w:val="21"/>
          <w:sz w:val="32"/>
          <w:lang w:eastAsia="zh-CN"/>
        </w:rPr>
        <w:t>五、</w:t>
      </w:r>
      <w:r>
        <w:rPr>
          <w:rFonts w:hint="eastAsia" w:ascii="Times New Roman" w:hAnsi="Times New Roman" w:eastAsia="方正黑体_GBK"/>
          <w:snapToGrid w:val="0"/>
          <w:kern w:val="21"/>
          <w:sz w:val="32"/>
        </w:rPr>
        <w:t>预算绩效管理情况说明</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楷体_GBK"/>
          <w:snapToGrid w:val="0"/>
          <w:kern w:val="21"/>
          <w:sz w:val="32"/>
        </w:rPr>
      </w:pPr>
      <w:r>
        <w:rPr>
          <w:rFonts w:hint="eastAsia" w:ascii="Times New Roman" w:hAnsi="Times New Roman" w:eastAsia="方正楷体_GBK"/>
          <w:snapToGrid w:val="0"/>
          <w:kern w:val="21"/>
          <w:sz w:val="32"/>
          <w:lang w:eastAsia="zh-CN"/>
        </w:rPr>
        <w:t>（一）</w:t>
      </w:r>
      <w:r>
        <w:rPr>
          <w:rFonts w:hint="eastAsia" w:ascii="Times New Roman" w:hAnsi="Times New Roman" w:eastAsia="方正楷体_GBK"/>
          <w:snapToGrid w:val="0"/>
          <w:kern w:val="21"/>
          <w:sz w:val="32"/>
        </w:rPr>
        <w:t>单位自评情况</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仿宋_GBK"/>
          <w:snapToGrid w:val="0"/>
          <w:kern w:val="21"/>
          <w:sz w:val="32"/>
          <w:lang w:val="en-US" w:eastAsia="zh-CN"/>
        </w:rPr>
        <w:t>本单位不涉及。</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default" w:ascii="Times New Roman" w:hAnsi="Times New Roman" w:eastAsia="方正楷体_GBK"/>
          <w:snapToGrid w:val="0"/>
          <w:kern w:val="21"/>
          <w:sz w:val="32"/>
        </w:rPr>
      </w:pPr>
      <w:r>
        <w:rPr>
          <w:rFonts w:hint="eastAsia" w:ascii="Times New Roman" w:hAnsi="Times New Roman" w:eastAsia="方正楷体_GBK"/>
          <w:snapToGrid w:val="0"/>
          <w:kern w:val="21"/>
          <w:sz w:val="32"/>
        </w:rPr>
        <w:t>（二）单位绩效评价情况</w:t>
      </w:r>
    </w:p>
    <w:p>
      <w:pPr>
        <w:pStyle w:val="8"/>
        <w:keepNext w:val="0"/>
        <w:keepLines w:val="0"/>
        <w:pageBreakBefore w:val="0"/>
        <w:kinsoku/>
        <w:wordWrap/>
        <w:overflowPunct/>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我单位未组织开展绩效评价。</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default" w:ascii="Times New Roman" w:hAnsi="Times New Roman" w:eastAsia="方正楷体_GBK"/>
          <w:snapToGrid w:val="0"/>
          <w:kern w:val="21"/>
          <w:sz w:val="32"/>
        </w:rPr>
      </w:pPr>
      <w:r>
        <w:rPr>
          <w:rFonts w:hint="eastAsia" w:ascii="Times New Roman" w:hAnsi="Times New Roman" w:eastAsia="方正楷体_GBK"/>
          <w:snapToGrid w:val="0"/>
          <w:kern w:val="21"/>
          <w:sz w:val="32"/>
        </w:rPr>
        <w:t>（三）财政绩效评价情况</w:t>
      </w:r>
    </w:p>
    <w:p>
      <w:pPr>
        <w:pStyle w:val="12"/>
        <w:keepNext w:val="0"/>
        <w:keepLines w:val="0"/>
        <w:pageBreakBefore w:val="0"/>
        <w:kinsoku/>
        <w:wordWrap/>
        <w:overflowPunct/>
        <w:autoSpaceDE w:val="0"/>
        <w:autoSpaceDN/>
        <w:bidi w:val="0"/>
        <w:adjustRightInd/>
        <w:spacing w:beforeAutospacing="0" w:afterAutospacing="0" w:line="594" w:lineRule="exact"/>
        <w:ind w:left="0" w:leftChars="0" w:firstLine="640" w:firstLineChars="200"/>
        <w:jc w:val="both"/>
        <w:textAlignment w:val="auto"/>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市财政局未委托第三方对我单位开展绩效评价。</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黑体_GBK"/>
          <w:snapToGrid w:val="0"/>
          <w:kern w:val="21"/>
          <w:sz w:val="32"/>
          <w:lang w:val="en-US" w:eastAsia="zh-CN"/>
        </w:rPr>
      </w:pPr>
      <w:r>
        <w:rPr>
          <w:rFonts w:hint="eastAsia" w:ascii="Times New Roman" w:hAnsi="Times New Roman" w:eastAsia="方正黑体_GBK"/>
          <w:snapToGrid w:val="0"/>
          <w:kern w:val="21"/>
          <w:sz w:val="32"/>
          <w:lang w:val="en-US" w:eastAsia="zh-CN"/>
        </w:rPr>
        <w:t>六、专业名词解释</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（一）财政拨款收入：</w:t>
      </w:r>
      <w:r>
        <w:rPr>
          <w:rFonts w:hint="eastAsia" w:ascii="Times New Roman" w:hAnsi="Times New Roman" w:eastAsia="方正仿宋_GBK"/>
          <w:snapToGrid w:val="0"/>
          <w:kern w:val="21"/>
          <w:sz w:val="32"/>
          <w:lang w:val="en-US" w:eastAsia="zh-CN"/>
        </w:rPr>
        <w:t>指本年度从本级财政部门取得的财政拨款，包括一般公共预算财政拨款和政府性基金预算财政拨款。</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（二）事业收入：</w:t>
      </w:r>
      <w:r>
        <w:rPr>
          <w:rFonts w:hint="eastAsia" w:ascii="Times New Roman" w:hAnsi="Times New Roman" w:eastAsia="方正仿宋_GBK"/>
          <w:snapToGrid w:val="0"/>
          <w:kern w:val="21"/>
          <w:sz w:val="32"/>
          <w:lang w:val="en-US" w:eastAsia="zh-CN"/>
        </w:rPr>
        <w:t>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方正仿宋_GBK" w:hAnsi="方正仿宋_GBK" w:eastAsia="方正仿宋_GBK" w:cs="方正仿宋_GBK"/>
          <w:snapToGrid w:val="0"/>
          <w:kern w:val="21"/>
          <w:sz w:val="32"/>
          <w:szCs w:val="32"/>
        </w:rPr>
      </w:pPr>
      <w:r>
        <w:rPr>
          <w:rFonts w:hint="eastAsia" w:ascii="Times New Roman" w:hAnsi="Times New Roman" w:eastAsia="方正楷体_GBK"/>
          <w:snapToGrid w:val="0"/>
          <w:kern w:val="21"/>
          <w:sz w:val="32"/>
          <w:szCs w:val="32"/>
          <w:lang w:val="en-US" w:eastAsia="zh-CN"/>
        </w:rPr>
        <w:t>（三）经营收入：</w:t>
      </w:r>
      <w:r>
        <w:rPr>
          <w:rFonts w:hint="eastAsia" w:ascii="Times New Roman" w:hAnsi="Times New Roman" w:eastAsia="方正仿宋_GBK"/>
          <w:snapToGrid w:val="0"/>
          <w:kern w:val="21"/>
          <w:sz w:val="32"/>
          <w:lang w:val="en-US" w:eastAsia="zh-CN"/>
        </w:rPr>
        <w:t>指事业单位在专业业务活动及其辅助活动之外开展非独立核算经营活动取得的现金流入。</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（四）其他收入：</w:t>
      </w:r>
      <w:r>
        <w:rPr>
          <w:rFonts w:hint="eastAsia" w:ascii="Times New Roman" w:hAnsi="Times New Roman" w:eastAsia="方正仿宋_GBK"/>
          <w:snapToGrid w:val="0"/>
          <w:kern w:val="21"/>
          <w:sz w:val="32"/>
          <w:lang w:val="en-US" w:eastAsia="zh-CN"/>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（五）使用非财政拨款结余：</w:t>
      </w:r>
      <w:r>
        <w:rPr>
          <w:rFonts w:hint="eastAsia" w:ascii="Times New Roman" w:hAnsi="Times New Roman" w:eastAsia="方正仿宋_GBK"/>
          <w:snapToGrid w:val="0"/>
          <w:kern w:val="21"/>
          <w:sz w:val="32"/>
          <w:lang w:val="en-US" w:eastAsia="zh-CN"/>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（六）年初结转和结余：</w:t>
      </w:r>
      <w:r>
        <w:rPr>
          <w:rFonts w:hint="eastAsia" w:ascii="Times New Roman" w:hAnsi="Times New Roman" w:eastAsia="方正仿宋_GBK"/>
          <w:snapToGrid w:val="0"/>
          <w:kern w:val="21"/>
          <w:sz w:val="32"/>
          <w:lang w:val="en-US" w:eastAsia="zh-CN"/>
        </w:rPr>
        <w:t>指单位上年结转本年使用的基本支出结转、项目支出结转和结余、经营结余。</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方正仿宋_GBK" w:hAnsi="方正仿宋_GBK" w:eastAsia="方正仿宋_GBK" w:cs="方正仿宋_GBK"/>
          <w:snapToGrid w:val="0"/>
          <w:kern w:val="21"/>
          <w:sz w:val="32"/>
          <w:szCs w:val="32"/>
        </w:rPr>
      </w:pPr>
      <w:r>
        <w:rPr>
          <w:rFonts w:hint="eastAsia" w:ascii="Times New Roman" w:hAnsi="Times New Roman" w:eastAsia="方正楷体_GBK"/>
          <w:snapToGrid w:val="0"/>
          <w:kern w:val="21"/>
          <w:sz w:val="32"/>
          <w:szCs w:val="32"/>
          <w:lang w:val="en-US" w:eastAsia="zh-CN"/>
        </w:rPr>
        <w:t>（七）结余分配：</w:t>
      </w:r>
      <w:r>
        <w:rPr>
          <w:rFonts w:hint="eastAsia" w:ascii="Times New Roman" w:hAnsi="Times New Roman" w:eastAsia="方正仿宋_GBK"/>
          <w:snapToGrid w:val="0"/>
          <w:kern w:val="21"/>
          <w:sz w:val="32"/>
          <w:lang w:val="en-US" w:eastAsia="zh-CN"/>
        </w:rPr>
        <w:t>指单位按照国家有关规定，缴纳所得税、提取专用基金、转入非财政拨款结余等当年结余的分配情况。</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（八）年末结转和结余：</w:t>
      </w:r>
      <w:r>
        <w:rPr>
          <w:rFonts w:hint="eastAsia" w:ascii="Times New Roman" w:hAnsi="Times New Roman" w:eastAsia="方正仿宋_GBK"/>
          <w:snapToGrid w:val="0"/>
          <w:kern w:val="21"/>
          <w:sz w:val="32"/>
          <w:lang w:val="en-US" w:eastAsia="zh-CN"/>
        </w:rPr>
        <w:t>指单位结转下年的基本支出结转、项目支出结转和结余、经营结余。</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（九）基本支出：</w:t>
      </w:r>
      <w:r>
        <w:rPr>
          <w:rFonts w:hint="eastAsia" w:ascii="Times New Roman" w:hAnsi="Times New Roman" w:eastAsia="方正仿宋_GBK"/>
          <w:snapToGrid w:val="0"/>
          <w:kern w:val="21"/>
          <w:sz w:val="32"/>
          <w:lang w:val="en-US" w:eastAsia="zh-CN"/>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（十）项目支出：</w:t>
      </w:r>
      <w:r>
        <w:rPr>
          <w:rFonts w:hint="eastAsia" w:ascii="Times New Roman" w:hAnsi="Times New Roman" w:eastAsia="方正仿宋_GBK"/>
          <w:snapToGrid w:val="0"/>
          <w:kern w:val="21"/>
          <w:sz w:val="32"/>
          <w:lang w:val="en-US" w:eastAsia="zh-CN"/>
        </w:rPr>
        <w:t>指在基本支出之外为完成特定行政任务和事业发展目标所发生的支出。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（十一）经营支出：</w:t>
      </w:r>
      <w:r>
        <w:rPr>
          <w:rFonts w:hint="eastAsia" w:ascii="Times New Roman" w:hAnsi="Times New Roman" w:eastAsia="方正仿宋_GBK"/>
          <w:snapToGrid w:val="0"/>
          <w:kern w:val="21"/>
          <w:sz w:val="32"/>
          <w:lang w:val="en-US" w:eastAsia="zh-CN"/>
        </w:rPr>
        <w:t>指事业单位在专业业务活动及其辅助活动之外开展非独立核算经营活动发生的支出。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（十二）“三公”经费：</w:t>
      </w:r>
      <w:r>
        <w:rPr>
          <w:rFonts w:hint="eastAsia" w:ascii="Times New Roman" w:hAnsi="Times New Roman" w:eastAsia="方正仿宋_GBK"/>
          <w:snapToGrid w:val="0"/>
          <w:kern w:val="21"/>
          <w:sz w:val="32"/>
          <w:lang w:val="en-US" w:eastAsia="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楷体_GBK"/>
          <w:snapToGrid w:val="0"/>
          <w:kern w:val="21"/>
          <w:sz w:val="32"/>
          <w:szCs w:val="32"/>
          <w:lang w:val="en-US" w:eastAsia="zh-CN"/>
        </w:rPr>
        <w:t>（十三）机关运行经费：</w:t>
      </w:r>
      <w:r>
        <w:rPr>
          <w:rFonts w:hint="eastAsia" w:ascii="Times New Roman" w:hAnsi="Times New Roman" w:eastAsia="方正仿宋_GBK"/>
          <w:snapToGrid w:val="0"/>
          <w:kern w:val="21"/>
          <w:sz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楷体_GBK"/>
          <w:snapToGrid w:val="0"/>
          <w:kern w:val="21"/>
          <w:sz w:val="32"/>
          <w:szCs w:val="32"/>
          <w:lang w:val="en-US" w:eastAsia="zh-CN"/>
        </w:rPr>
        <w:t>（十四）工资福利支出（支出经济分类科目类级）：</w:t>
      </w:r>
      <w:r>
        <w:rPr>
          <w:rFonts w:hint="eastAsia" w:ascii="Times New Roman" w:hAnsi="Times New Roman" w:eastAsia="方正仿宋_GBK"/>
          <w:snapToGrid w:val="0"/>
          <w:kern w:val="21"/>
          <w:sz w:val="32"/>
        </w:rPr>
        <w:t>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楷体_GBK"/>
          <w:snapToGrid w:val="0"/>
          <w:kern w:val="21"/>
          <w:sz w:val="32"/>
          <w:szCs w:val="32"/>
          <w:lang w:val="en-US" w:eastAsia="zh-CN"/>
        </w:rPr>
        <w:t>（十五）商品和服务支出（支出经济分类科目类级）：</w:t>
      </w:r>
      <w:r>
        <w:rPr>
          <w:rFonts w:hint="eastAsia" w:ascii="Times New Roman" w:hAnsi="Times New Roman" w:eastAsia="方正仿宋_GBK"/>
          <w:snapToGrid w:val="0"/>
          <w:kern w:val="21"/>
          <w:sz w:val="32"/>
        </w:rPr>
        <w:t>反映单位购买商品和服务的支出（不包括用于购置固定资产的支出、战略性和应急储备支出）。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方正仿宋_GBK" w:hAnsi="方正仿宋_GBK" w:eastAsia="方正仿宋_GBK" w:cs="方正仿宋_GBK"/>
          <w:snapToGrid w:val="0"/>
          <w:kern w:val="21"/>
          <w:sz w:val="32"/>
          <w:szCs w:val="32"/>
        </w:rPr>
      </w:pPr>
      <w:r>
        <w:rPr>
          <w:rFonts w:hint="eastAsia" w:ascii="Times New Roman" w:hAnsi="Times New Roman" w:eastAsia="方正楷体_GBK"/>
          <w:snapToGrid w:val="0"/>
          <w:kern w:val="21"/>
          <w:sz w:val="32"/>
          <w:szCs w:val="32"/>
          <w:lang w:val="en-US" w:eastAsia="zh-CN"/>
        </w:rPr>
        <w:t>（十六）对个人和家庭的补助（支出经济分类科目类级）：</w:t>
      </w:r>
      <w:r>
        <w:rPr>
          <w:rFonts w:hint="eastAsia" w:ascii="方正仿宋_GBK" w:hAnsi="方正仿宋_GBK" w:eastAsia="方正仿宋_GBK" w:cs="方正仿宋_GBK"/>
          <w:snapToGrid w:val="0"/>
          <w:kern w:val="21"/>
          <w:sz w:val="32"/>
          <w:szCs w:val="32"/>
        </w:rPr>
        <w:t>反映用于对个人和家庭的补助支出。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方正仿宋_GBK" w:hAnsi="方正仿宋_GBK" w:eastAsia="方正仿宋_GBK" w:cs="方正仿宋_GBK"/>
          <w:snapToGrid w:val="0"/>
          <w:kern w:val="21"/>
          <w:sz w:val="32"/>
          <w:szCs w:val="32"/>
        </w:rPr>
      </w:pPr>
      <w:r>
        <w:rPr>
          <w:rFonts w:hint="eastAsia" w:ascii="Times New Roman" w:hAnsi="Times New Roman" w:eastAsia="方正楷体_GBK"/>
          <w:snapToGrid w:val="0"/>
          <w:kern w:val="21"/>
          <w:sz w:val="32"/>
          <w:szCs w:val="32"/>
          <w:lang w:val="en-US" w:eastAsia="zh-CN"/>
        </w:rPr>
        <w:t>（十七）其他资本性支出（支出经济分类科目类级）：</w:t>
      </w:r>
      <w:r>
        <w:rPr>
          <w:rFonts w:hint="eastAsia" w:ascii="方正仿宋_GBK" w:hAnsi="方正仿宋_GBK" w:eastAsia="方正仿宋_GBK" w:cs="方正仿宋_GBK"/>
          <w:snapToGrid w:val="0"/>
          <w:kern w:val="21"/>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黑体_GBK"/>
          <w:snapToGrid w:val="0"/>
          <w:kern w:val="21"/>
          <w:sz w:val="32"/>
        </w:rPr>
      </w:pPr>
      <w:r>
        <w:rPr>
          <w:rFonts w:hint="eastAsia" w:ascii="Times New Roman" w:hAnsi="Times New Roman" w:eastAsia="方正黑体_GBK"/>
          <w:snapToGrid w:val="0"/>
          <w:kern w:val="21"/>
          <w:sz w:val="32"/>
        </w:rPr>
        <w:t> 七、决算公开联系方式及信息反馈渠道</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仿宋_GBK"/>
          <w:snapToGrid w:val="0"/>
          <w:kern w:val="21"/>
          <w:sz w:val="32"/>
        </w:rPr>
        <w:t>本单位决算公开信息反馈和联系方式：</w:t>
      </w:r>
      <w:r>
        <w:rPr>
          <w:rFonts w:hint="eastAsia" w:ascii="Times New Roman" w:hAnsi="Times New Roman" w:eastAsia="方正仿宋_GBK"/>
          <w:snapToGrid w:val="0"/>
          <w:kern w:val="21"/>
          <w:sz w:val="32"/>
          <w:lang w:val="en-US" w:eastAsia="zh-CN"/>
        </w:rPr>
        <w:t>73397001。</w:t>
      </w:r>
    </w:p>
    <w:p>
      <w:pPr>
        <w:pStyle w:val="8"/>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石柱土家族自治县冷水镇综合行政执法大队</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992,857.37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734,971.79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157,299.84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51,477.42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49,108.32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992,857.37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992,857.37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992,857.37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992,857.37</w:t>
            </w:r>
          </w:p>
        </w:tc>
      </w:tr>
    </w:tbl>
    <w:p>
      <w:pPr>
        <w:pStyle w:val="12"/>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2"/>
        <w:numPr>
          <w:ilvl w:val="0"/>
          <w:numId w:val="0"/>
        </w:numPr>
        <w:autoSpaceDE w:val="0"/>
        <w:rPr>
          <w:rFonts w:hint="eastAsia" w:ascii="宋体" w:hAnsi="宋体" w:eastAsia="宋体" w:cs="宋体"/>
          <w:sz w:val="21"/>
          <w:szCs w:val="21"/>
          <w:lang w:val="en-US" w:eastAsia="zh-CN"/>
        </w:rPr>
      </w:pPr>
    </w:p>
    <w:tbl>
      <w:tblPr>
        <w:tblStyle w:val="9"/>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石柱土家族自治县冷水镇综合行政执法大队</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992,857.37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992,857.37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734,971.79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734,971.79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734,971.79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734,971.79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734,971.79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734,971.79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157,299.84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157,299.84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157,299.84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157,299.84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91,066.56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91,066.56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45,533.28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45,533.28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51,477.42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51,477.42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51,477.42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51,477.42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38,877.42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38,877.42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49,108.32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49,108.32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49,108.32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49,108.32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49,108.32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49,108.32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石柱土家族自治县冷水镇综合行政执法大队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992,857.37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992,857.37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734,971.79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734,971.79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734,971.79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734,971.79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734,971.79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734,971.79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157,299.84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157,299.84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157,299.84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157,299.84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91,066.56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91,066.56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45,533.28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45,533.28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51,477.42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51,477.42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51,477.42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51,477.42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38,877.42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38,877.42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49,108.32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49,108.32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49,108.32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49,108.32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49,108.32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49,108.32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石柱土家族自治县冷水镇综合行政执法大队</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992,857.37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734,971.79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734,971.79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157,299.84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157,299.84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51,477.42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51,477.42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49,108.32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49,108.32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992,857.37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992,857.37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992,857.37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992,857.37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992,857.37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992,857.37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石柱土家族自治县冷水镇综合行政执法大队</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992,857.37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992,857.37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992,857.37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992,857.37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734,971.79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734,971.79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734,971.79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734,971.79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734,971.79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734,971.79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734,971.79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734,971.79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734,971.79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734,971.79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734,971.79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734,971.79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157,299.84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157,299.84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157,299.84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157,299.84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157,299.84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157,299.84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157,299.84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157,299.84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91,066.56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91,066.56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91,066.56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91,066.56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45,533.28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45,533.28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45,533.28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45,533.28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51,477.42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51,477.42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51,477.42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51,477.42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51,477.42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51,477.42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51,477.42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51,477.42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38,877.42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38,877.42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38,877.42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38,877.42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49,108.32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49,108.32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49,108.32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49,108.32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49,108.32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49,108.32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49,108.32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49,108.32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49,108.32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49,108.32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49,108.32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49,108.32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石柱土家族自治县冷水镇综合行政执法大队</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841,972.65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128,184.72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172,411.00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49,616.00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379,440.00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91,066.56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45,533.28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40,923.60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3,273.89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49,108.32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22,700.00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20,700.00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8,184.72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864,672.65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128,184.72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石柱土家族自治县冷水镇综合行政执法大队</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石柱土家族自治县冷水镇综合行政执法大队</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石柱土家族自治县冷水镇综合行政执法大队</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2"/>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57940B5"/>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5C32C3"/>
    <w:rsid w:val="0F836721"/>
    <w:rsid w:val="103645A3"/>
    <w:rsid w:val="107B59E5"/>
    <w:rsid w:val="11003CB0"/>
    <w:rsid w:val="111445C7"/>
    <w:rsid w:val="1158083A"/>
    <w:rsid w:val="11F03528"/>
    <w:rsid w:val="127D6363"/>
    <w:rsid w:val="12C921C4"/>
    <w:rsid w:val="12EC7C9C"/>
    <w:rsid w:val="131A3C63"/>
    <w:rsid w:val="13850DCB"/>
    <w:rsid w:val="13871C70"/>
    <w:rsid w:val="13A71CB4"/>
    <w:rsid w:val="13AF1D43"/>
    <w:rsid w:val="13CE1647"/>
    <w:rsid w:val="141A11EA"/>
    <w:rsid w:val="141C18C8"/>
    <w:rsid w:val="14200702"/>
    <w:rsid w:val="148E377E"/>
    <w:rsid w:val="1580711B"/>
    <w:rsid w:val="189B0D0B"/>
    <w:rsid w:val="190873AA"/>
    <w:rsid w:val="194A1770"/>
    <w:rsid w:val="19917D9C"/>
    <w:rsid w:val="19B906A4"/>
    <w:rsid w:val="1A1F744B"/>
    <w:rsid w:val="1A4854EC"/>
    <w:rsid w:val="1A872F16"/>
    <w:rsid w:val="1B6F15B6"/>
    <w:rsid w:val="1BAA2EDC"/>
    <w:rsid w:val="1CE157EE"/>
    <w:rsid w:val="1D014A01"/>
    <w:rsid w:val="1D022362"/>
    <w:rsid w:val="1DD26311"/>
    <w:rsid w:val="1EF67CA4"/>
    <w:rsid w:val="1FCD26AF"/>
    <w:rsid w:val="20642787"/>
    <w:rsid w:val="20E8770D"/>
    <w:rsid w:val="21556F04"/>
    <w:rsid w:val="22403BD3"/>
    <w:rsid w:val="24B92327"/>
    <w:rsid w:val="2533755C"/>
    <w:rsid w:val="26396DF4"/>
    <w:rsid w:val="27167136"/>
    <w:rsid w:val="27B04BAD"/>
    <w:rsid w:val="27B23302"/>
    <w:rsid w:val="29310A5F"/>
    <w:rsid w:val="29311AAE"/>
    <w:rsid w:val="29C37A35"/>
    <w:rsid w:val="29C95E09"/>
    <w:rsid w:val="2A076083"/>
    <w:rsid w:val="2A73162E"/>
    <w:rsid w:val="2B167953"/>
    <w:rsid w:val="2B200583"/>
    <w:rsid w:val="2B8209DE"/>
    <w:rsid w:val="2C161D32"/>
    <w:rsid w:val="2C2D3EC7"/>
    <w:rsid w:val="2C6762A3"/>
    <w:rsid w:val="2D8D2A49"/>
    <w:rsid w:val="2FE029D7"/>
    <w:rsid w:val="2FF06E00"/>
    <w:rsid w:val="30C41C11"/>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500C79"/>
    <w:rsid w:val="4AD70EE7"/>
    <w:rsid w:val="4B7951CB"/>
    <w:rsid w:val="4B7C315C"/>
    <w:rsid w:val="4BAB7F90"/>
    <w:rsid w:val="4DAC4ACA"/>
    <w:rsid w:val="4DD94F26"/>
    <w:rsid w:val="4EB46CAF"/>
    <w:rsid w:val="4F186D58"/>
    <w:rsid w:val="50EC262C"/>
    <w:rsid w:val="522F6E0C"/>
    <w:rsid w:val="52463BA1"/>
    <w:rsid w:val="52EC1518"/>
    <w:rsid w:val="53C0244D"/>
    <w:rsid w:val="53DD4D4E"/>
    <w:rsid w:val="53E578CE"/>
    <w:rsid w:val="543B029D"/>
    <w:rsid w:val="545D0246"/>
    <w:rsid w:val="5505540A"/>
    <w:rsid w:val="554E5773"/>
    <w:rsid w:val="555A3CBC"/>
    <w:rsid w:val="55B442A9"/>
    <w:rsid w:val="56530F5D"/>
    <w:rsid w:val="5842572D"/>
    <w:rsid w:val="5AE75037"/>
    <w:rsid w:val="5B1C32AC"/>
    <w:rsid w:val="5B58571C"/>
    <w:rsid w:val="5B8376C2"/>
    <w:rsid w:val="5B96133A"/>
    <w:rsid w:val="5C1336B7"/>
    <w:rsid w:val="5C263CE4"/>
    <w:rsid w:val="5C5D2777"/>
    <w:rsid w:val="5D290C69"/>
    <w:rsid w:val="5D537F41"/>
    <w:rsid w:val="5ECD3218"/>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91E86"/>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2C5FF8"/>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D925D0F"/>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3">
    <w:name w:val="Body Text"/>
    <w:basedOn w:val="1"/>
    <w:next w:val="4"/>
    <w:qFormat/>
    <w:uiPriority w:val="0"/>
    <w:pPr>
      <w:widowControl/>
      <w:spacing w:before="100" w:beforeAutospacing="1" w:after="100" w:afterAutospacing="1"/>
      <w:jc w:val="left"/>
    </w:pPr>
    <w:rPr>
      <w:rFonts w:ascii="宋体" w:hAnsi="宋体" w:cs="宋体"/>
      <w:kern w:val="0"/>
      <w:sz w:val="24"/>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正文-公1"/>
    <w:basedOn w:val="14"/>
    <w:next w:val="1"/>
    <w:qFormat/>
    <w:uiPriority w:val="0"/>
    <w:pPr>
      <w:ind w:firstLine="200" w:firstLineChars="200"/>
    </w:p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3"/>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3</TotalTime>
  <ScaleCrop>false</ScaleCrop>
  <LinksUpToDate>false</LinksUpToDate>
  <CharactersWithSpaces>21460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Dana1O_1O</cp:lastModifiedBy>
  <dcterms:modified xsi:type="dcterms:W3CDTF">2025-10-10T03:10:32Z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BB46EABDBB2749749395447164B066B3_12</vt:lpwstr>
  </property>
</Properties>
</file>