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石柱土家族自治县冷水镇景区服务中心</w:t>
      </w: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default"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一、</w:t>
      </w:r>
      <w:r>
        <w:rPr>
          <w:rStyle w:val="12"/>
          <w:rFonts w:hint="eastAsia" w:ascii="方正黑体_GBK" w:hAnsi="方正黑体_GBK" w:eastAsia="方正黑体_GBK" w:cs="方正黑体_GBK"/>
          <w:b w:val="0"/>
          <w:bCs/>
          <w:sz w:val="32"/>
          <w:szCs w:val="32"/>
          <w:shd w:val="clear" w:color="auto" w:fill="FFFFFF"/>
          <w:lang w:eastAsia="zh-CN"/>
        </w:rPr>
        <w:t>单位</w:t>
      </w:r>
      <w:r>
        <w:rPr>
          <w:rStyle w:val="12"/>
          <w:rFonts w:hint="eastAsia" w:ascii="方正黑体_GBK" w:hAnsi="方正黑体_GBK" w:eastAsia="方正黑体_GBK" w:cs="方正黑体_GBK"/>
          <w:b w:val="0"/>
          <w:bCs/>
          <w:sz w:val="32"/>
          <w:szCs w:val="32"/>
          <w:shd w:val="clear" w:color="auto" w:fill="FFFFFF"/>
        </w:rPr>
        <w:t>基本情况</w:t>
      </w:r>
    </w:p>
    <w:p>
      <w:pPr>
        <w:pStyle w:val="13"/>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宗旨：为辖区内的景区建设与管理提供服务。</w:t>
      </w:r>
    </w:p>
    <w:p>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主要职责：贯彻落实景区发展的方针政策。负责辖区内旅游信息采集、整理和分析，旅游资源</w:t>
      </w:r>
      <w:bookmarkStart w:id="0" w:name="_GoBack"/>
      <w:bookmarkEnd w:id="0"/>
      <w:r>
        <w:rPr>
          <w:rFonts w:hint="eastAsia" w:ascii="Times New Roman" w:hAnsi="Times New Roman" w:eastAsia="方正仿宋_GBK" w:cs="Times New Roman"/>
          <w:snapToGrid w:val="0"/>
          <w:kern w:val="21"/>
          <w:sz w:val="32"/>
          <w:szCs w:val="24"/>
          <w:lang w:val="en-US" w:eastAsia="zh-CN" w:bidi="ar-SA"/>
        </w:rPr>
        <w:t>的普查、规划等事务性工作。负责辖区内旅游宣传、旅游咨询、游客服务等服务性工作。负责辖区内的旅游设施建设、管理与维护，旅游营销及乡村旅游服务等工作。负责维护辖区内旅游市场秩序，营造诚信经营、文明有序的旅游市场环境。负责指导旅游项目、旅游产品开发等工作。负责镇党委、人民政府交办的其他工作任务。</w:t>
      </w:r>
    </w:p>
    <w:p>
      <w:pPr>
        <w:pStyle w:val="13"/>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根据上述职责，</w:t>
      </w:r>
      <w:r>
        <w:rPr>
          <w:rFonts w:hint="default" w:ascii="Times New Roman" w:hAnsi="Times New Roman" w:eastAsia="方正仿宋_GBK" w:cs="Times New Roman"/>
          <w:snapToGrid w:val="0"/>
          <w:kern w:val="21"/>
          <w:sz w:val="32"/>
          <w:szCs w:val="24"/>
          <w:lang w:val="en-US" w:eastAsia="zh-CN" w:bidi="ar-SA"/>
        </w:rPr>
        <w:t>设置</w:t>
      </w:r>
      <w:r>
        <w:rPr>
          <w:rFonts w:hint="eastAsia" w:ascii="Times New Roman" w:hAnsi="Times New Roman" w:eastAsia="方正仿宋_GBK" w:cs="Times New Roman"/>
          <w:snapToGrid w:val="0"/>
          <w:kern w:val="21"/>
          <w:sz w:val="32"/>
          <w:szCs w:val="24"/>
          <w:lang w:val="en-US" w:eastAsia="zh-CN" w:bidi="ar-SA"/>
        </w:rPr>
        <w:t>景区</w:t>
      </w:r>
      <w:r>
        <w:rPr>
          <w:rFonts w:hint="default" w:ascii="Times New Roman" w:hAnsi="Times New Roman" w:eastAsia="方正仿宋_GBK" w:cs="Times New Roman"/>
          <w:snapToGrid w:val="0"/>
          <w:kern w:val="21"/>
          <w:sz w:val="32"/>
          <w:szCs w:val="24"/>
          <w:lang w:val="en-US" w:eastAsia="zh-CN" w:bidi="ar-SA"/>
        </w:rPr>
        <w:t>服务中心财政全额拨款公益一类副科级事业单位</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二、</w:t>
      </w:r>
      <w:r>
        <w:rPr>
          <w:rStyle w:val="12"/>
          <w:rFonts w:hint="eastAsia" w:ascii="方正黑体_GBK" w:hAnsi="方正黑体_GBK" w:eastAsia="方正黑体_GBK" w:cs="方正黑体_GBK"/>
          <w:b w:val="0"/>
          <w:bCs/>
          <w:sz w:val="32"/>
          <w:szCs w:val="32"/>
          <w:shd w:val="clear" w:color="auto" w:fill="FFFFFF"/>
          <w:lang w:eastAsia="zh-CN"/>
        </w:rPr>
        <w:t>单位</w:t>
      </w:r>
      <w:r>
        <w:rPr>
          <w:rStyle w:val="12"/>
          <w:rFonts w:hint="eastAsia" w:ascii="方正黑体_GBK" w:hAnsi="方正黑体_GBK" w:eastAsia="方正黑体_GBK" w:cs="方正黑体_GBK"/>
          <w:b w:val="0"/>
          <w:bCs/>
          <w:sz w:val="32"/>
          <w:szCs w:val="32"/>
          <w:shd w:val="clear" w:color="auto" w:fill="FFFFFF"/>
        </w:rPr>
        <w:t>决算</w:t>
      </w:r>
      <w:r>
        <w:rPr>
          <w:rStyle w:val="12"/>
          <w:rFonts w:hint="eastAsia" w:ascii="方正黑体_GBK" w:hAnsi="方正黑体_GBK" w:eastAsia="方正黑体_GBK" w:cs="方正黑体_GBK"/>
          <w:b w:val="0"/>
          <w:bCs/>
          <w:sz w:val="32"/>
          <w:szCs w:val="32"/>
          <w:shd w:val="clear" w:color="auto" w:fill="FFFFFF"/>
          <w:lang w:eastAsia="zh-CN"/>
        </w:rPr>
        <w:t>收支</w:t>
      </w:r>
      <w:r>
        <w:rPr>
          <w:rStyle w:val="12"/>
          <w:rFonts w:hint="eastAsia" w:ascii="方正黑体_GBK" w:hAnsi="方正黑体_GBK" w:eastAsia="方正黑体_GBK" w:cs="方正黑体_GBK"/>
          <w:b w:val="0"/>
          <w:bCs/>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2024年度收</w:t>
      </w:r>
      <w:r>
        <w:rPr>
          <w:rFonts w:hint="eastAsia" w:ascii="Times New Roman" w:hAnsi="Times New Roman" w:eastAsia="方正仿宋_GBK" w:cs="Times New Roman"/>
          <w:snapToGrid w:val="0"/>
          <w:kern w:val="21"/>
          <w:sz w:val="32"/>
          <w:szCs w:val="24"/>
          <w:lang w:val="en-US" w:eastAsia="zh-CN" w:bidi="ar-SA"/>
        </w:rPr>
        <w:t>、支</w:t>
      </w:r>
      <w:r>
        <w:rPr>
          <w:rFonts w:hint="default" w:ascii="Times New Roman" w:hAnsi="Times New Roman" w:eastAsia="方正仿宋_GBK" w:cs="Times New Roman"/>
          <w:snapToGrid w:val="0"/>
          <w:kern w:val="21"/>
          <w:sz w:val="32"/>
          <w:szCs w:val="24"/>
          <w:lang w:val="en-US" w:eastAsia="zh-CN" w:bidi="ar-SA"/>
        </w:rPr>
        <w:t>总计</w:t>
      </w:r>
      <w:r>
        <w:rPr>
          <w:rFonts w:hint="eastAsia" w:ascii="Times New Roman" w:hAnsi="Times New Roman" w:eastAsia="方正仿宋_GBK" w:cs="Times New Roman"/>
          <w:snapToGrid w:val="0"/>
          <w:kern w:val="21"/>
          <w:sz w:val="32"/>
          <w:szCs w:val="24"/>
          <w:lang w:val="en-US" w:eastAsia="zh-CN" w:bidi="ar-SA"/>
        </w:rPr>
        <w:t>均为</w:t>
      </w:r>
      <w:r>
        <w:rPr>
          <w:rFonts w:hint="default" w:ascii="Times New Roman" w:hAnsi="Times New Roman" w:eastAsia="方正仿宋_GBK" w:cs="Times New Roman"/>
          <w:snapToGrid w:val="0"/>
          <w:kern w:val="21"/>
          <w:sz w:val="32"/>
          <w:szCs w:val="24"/>
          <w:lang w:val="en-US" w:eastAsia="zh-CN" w:bidi="ar-SA"/>
        </w:rPr>
        <w:t>46.20万元。收、支与2023年度相比，增加46.20万元，增长100.0%，主要原因是</w:t>
      </w:r>
      <w:r>
        <w:rPr>
          <w:rFonts w:hint="eastAsia" w:ascii="Times New Roman" w:hAnsi="Times New Roman" w:eastAsia="方正仿宋_GBK" w:cs="Times New Roman"/>
          <w:snapToGrid w:val="0"/>
          <w:kern w:val="21"/>
          <w:sz w:val="32"/>
          <w:szCs w:val="24"/>
          <w:lang w:val="en-US" w:eastAsia="zh-CN" w:bidi="ar-SA"/>
        </w:rPr>
        <w:t>本单位为2024年机构改革后新增单位，2023年无收入支出。</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w:t>
      </w:r>
      <w:r>
        <w:rPr>
          <w:rFonts w:hint="default" w:ascii="Times New Roman" w:hAnsi="Times New Roman" w:eastAsia="方正仿宋_GBK" w:cs="Times New Roman"/>
          <w:snapToGrid w:val="0"/>
          <w:kern w:val="21"/>
          <w:sz w:val="32"/>
          <w:szCs w:val="24"/>
          <w:lang w:val="en-US" w:eastAsia="zh-CN" w:bidi="ar-SA"/>
        </w:rPr>
        <w:t>收入情况。2024年度收入合计46.20万元，与2023年度相比，增加46.20万元，增长100.0%，主要原因是</w:t>
      </w:r>
      <w:r>
        <w:rPr>
          <w:rFonts w:hint="eastAsia" w:ascii="Times New Roman" w:hAnsi="Times New Roman" w:eastAsia="方正仿宋_GBK" w:cs="Times New Roman"/>
          <w:snapToGrid w:val="0"/>
          <w:kern w:val="21"/>
          <w:sz w:val="32"/>
          <w:szCs w:val="24"/>
          <w:lang w:val="en-US" w:eastAsia="zh-CN" w:bidi="ar-SA"/>
        </w:rPr>
        <w:t>本单位为2024年机构改革后新增单位，2023年无收入。</w:t>
      </w:r>
      <w:r>
        <w:rPr>
          <w:rFonts w:hint="default" w:ascii="Times New Roman" w:hAnsi="Times New Roman" w:eastAsia="方正仿宋_GBK" w:cs="Times New Roman"/>
          <w:snapToGrid w:val="0"/>
          <w:kern w:val="21"/>
          <w:sz w:val="32"/>
          <w:szCs w:val="24"/>
          <w:lang w:val="en-US" w:eastAsia="zh-CN" w:bidi="ar-SA"/>
        </w:rPr>
        <w:t>其中：财政拨款收入46.20万元，占100.0%；事业收入0.00万元，占0.0%；经营收入0.00万元，占0.0%；其他收入0.00万元，占0.0%。此外，</w:t>
      </w:r>
      <w:r>
        <w:rPr>
          <w:rFonts w:hint="eastAsia" w:ascii="Times New Roman" w:hAnsi="Times New Roman" w:eastAsia="方正仿宋_GBK" w:cs="Times New Roman"/>
          <w:snapToGrid w:val="0"/>
          <w:kern w:val="21"/>
          <w:sz w:val="32"/>
          <w:szCs w:val="24"/>
          <w:lang w:val="en-US" w:eastAsia="zh-CN" w:bidi="ar-SA"/>
        </w:rPr>
        <w:t>使用非财政拨款结余（含专用结余）</w:t>
      </w:r>
      <w:r>
        <w:rPr>
          <w:rFonts w:hint="default" w:ascii="Times New Roman" w:hAnsi="Times New Roman" w:eastAsia="方正仿宋_GBK" w:cs="Times New Roman"/>
          <w:snapToGrid w:val="0"/>
          <w:kern w:val="21"/>
          <w:sz w:val="32"/>
          <w:szCs w:val="24"/>
          <w:lang w:val="en-US" w:eastAsia="zh-CN" w:bidi="ar-SA"/>
        </w:rPr>
        <w:t>0.00万元，年初结转和结余0.00万元。</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w:t>
      </w:r>
      <w:r>
        <w:rPr>
          <w:rFonts w:hint="default" w:ascii="Times New Roman" w:hAnsi="Times New Roman" w:eastAsia="方正仿宋_GBK" w:cs="Times New Roman"/>
          <w:snapToGrid w:val="0"/>
          <w:kern w:val="21"/>
          <w:sz w:val="32"/>
          <w:szCs w:val="24"/>
          <w:lang w:val="en-US" w:eastAsia="zh-CN" w:bidi="ar-SA"/>
        </w:rPr>
        <w:t>支出情况。2024年度支出合计46.20万元，与2023年度相比，增加46.20万元，增长100.0%，主要原因是</w:t>
      </w:r>
      <w:r>
        <w:rPr>
          <w:rFonts w:hint="eastAsia" w:ascii="Times New Roman" w:hAnsi="Times New Roman" w:eastAsia="方正仿宋_GBK" w:cs="Times New Roman"/>
          <w:snapToGrid w:val="0"/>
          <w:kern w:val="21"/>
          <w:sz w:val="32"/>
          <w:szCs w:val="24"/>
          <w:lang w:val="en-US" w:eastAsia="zh-CN" w:bidi="ar-SA"/>
        </w:rPr>
        <w:t>本单位为2024年机构改革后新增单位，2023年无支出。</w:t>
      </w:r>
      <w:r>
        <w:rPr>
          <w:rFonts w:hint="default" w:ascii="Times New Roman" w:hAnsi="Times New Roman" w:eastAsia="方正仿宋_GBK" w:cs="Times New Roman"/>
          <w:snapToGrid w:val="0"/>
          <w:kern w:val="21"/>
          <w:sz w:val="32"/>
          <w:szCs w:val="24"/>
          <w:lang w:val="en-US" w:eastAsia="zh-CN" w:bidi="ar-SA"/>
        </w:rPr>
        <w:t>其中：基本支出46.20万元，占100.0%；项目支出0.00万元，占0.0%；经营支出0.00万元，占0.0%。此外，结余分配0.00万元。</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3、</w:t>
      </w:r>
      <w:r>
        <w:rPr>
          <w:rFonts w:hint="default" w:ascii="Times New Roman" w:hAnsi="Times New Roman" w:eastAsia="方正仿宋_GBK" w:cs="Times New Roman"/>
          <w:snapToGrid w:val="0"/>
          <w:kern w:val="21"/>
          <w:sz w:val="32"/>
          <w:szCs w:val="24"/>
          <w:lang w:val="en-US" w:eastAsia="zh-CN" w:bidi="ar-SA"/>
        </w:rPr>
        <w:t>结转结余情况。2024年度年末结转和结余0.00万元，与2023年度相比，无增减</w:t>
      </w:r>
      <w:r>
        <w:rPr>
          <w:rFonts w:hint="eastAsia" w:ascii="Times New Roman" w:hAnsi="Times New Roman" w:eastAsia="方正仿宋_GBK" w:cs="Times New Roman"/>
          <w:snapToGrid w:val="0"/>
          <w:kern w:val="21"/>
          <w:sz w:val="32"/>
          <w:szCs w:val="24"/>
          <w:lang w:val="en-US" w:eastAsia="zh-CN" w:bidi="ar-SA"/>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2024年度财政拨款收、支总计均为46.20万元。与2023年</w:t>
      </w:r>
      <w:r>
        <w:rPr>
          <w:rFonts w:hint="eastAsia" w:ascii="Times New Roman" w:hAnsi="Times New Roman" w:eastAsia="方正仿宋_GBK" w:cs="Times New Roman"/>
          <w:snapToGrid w:val="0"/>
          <w:kern w:val="21"/>
          <w:sz w:val="32"/>
          <w:szCs w:val="24"/>
          <w:lang w:val="en-US" w:eastAsia="zh-CN" w:bidi="ar-SA"/>
        </w:rPr>
        <w:t>度</w:t>
      </w:r>
      <w:r>
        <w:rPr>
          <w:rFonts w:hint="default" w:ascii="Times New Roman" w:hAnsi="Times New Roman" w:eastAsia="方正仿宋_GBK" w:cs="Times New Roman"/>
          <w:snapToGrid w:val="0"/>
          <w:kern w:val="21"/>
          <w:sz w:val="32"/>
          <w:szCs w:val="24"/>
          <w:lang w:val="en-US" w:eastAsia="zh-CN" w:bidi="ar-SA"/>
        </w:rPr>
        <w:t>相比，财政拨款收、支总计各增加46.20万元，增长100.0%。主要原因是</w:t>
      </w:r>
      <w:r>
        <w:rPr>
          <w:rFonts w:hint="eastAsia" w:ascii="Times New Roman" w:hAnsi="Times New Roman" w:eastAsia="方正仿宋_GBK" w:cs="Times New Roman"/>
          <w:snapToGrid w:val="0"/>
          <w:kern w:val="21"/>
          <w:sz w:val="32"/>
          <w:szCs w:val="24"/>
          <w:lang w:val="en-US" w:eastAsia="zh-CN" w:bidi="ar-SA"/>
        </w:rPr>
        <w:t>本单位为2024年机构改革后新增单位，2023年无收入支出。</w:t>
      </w:r>
    </w:p>
    <w:p>
      <w:pPr>
        <w:pStyle w:val="13"/>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1、</w:t>
      </w:r>
      <w:r>
        <w:rPr>
          <w:rFonts w:hint="default" w:ascii="Times New Roman" w:hAnsi="Times New Roman" w:eastAsia="方正仿宋_GBK" w:cs="Times New Roman"/>
          <w:snapToGrid w:val="0"/>
          <w:kern w:val="21"/>
          <w:sz w:val="32"/>
          <w:szCs w:val="24"/>
          <w:lang w:val="en-US" w:eastAsia="zh-CN" w:bidi="ar-SA"/>
        </w:rPr>
        <w:t>收入情况。2024年度一般公共预算财政拨款收入46.20万元，与2023年度相比，增加46.20万元，增长100.0%。主要原因是</w:t>
      </w:r>
      <w:r>
        <w:rPr>
          <w:rFonts w:hint="eastAsia" w:ascii="Times New Roman" w:hAnsi="Times New Roman" w:eastAsia="方正仿宋_GBK" w:cs="Times New Roman"/>
          <w:snapToGrid w:val="0"/>
          <w:kern w:val="21"/>
          <w:sz w:val="32"/>
          <w:szCs w:val="24"/>
          <w:lang w:val="en-US" w:eastAsia="zh-CN" w:bidi="ar-SA"/>
        </w:rPr>
        <w:t>本单位为2024年机构改革后新增单位，2023年无收入。</w:t>
      </w:r>
      <w:r>
        <w:rPr>
          <w:rFonts w:hint="default" w:ascii="Times New Roman" w:hAnsi="Times New Roman" w:eastAsia="方正仿宋_GBK" w:cs="Times New Roman"/>
          <w:snapToGrid w:val="0"/>
          <w:kern w:val="21"/>
          <w:sz w:val="32"/>
          <w:szCs w:val="24"/>
          <w:lang w:val="en-US" w:eastAsia="zh-CN" w:bidi="ar-SA"/>
        </w:rPr>
        <w:t>较年初预算数增加46.20万元，增长100.0%。主要原因是</w:t>
      </w:r>
      <w:r>
        <w:rPr>
          <w:rFonts w:hint="eastAsia" w:ascii="Times New Roman" w:hAnsi="Times New Roman" w:eastAsia="方正仿宋_GBK" w:cs="Times New Roman"/>
          <w:snapToGrid w:val="0"/>
          <w:kern w:val="21"/>
          <w:sz w:val="32"/>
          <w:szCs w:val="24"/>
          <w:lang w:val="en-US" w:eastAsia="zh-CN" w:bidi="ar-SA"/>
        </w:rPr>
        <w:t>本单位为2024年机构改革后新增单位，年初无预算。</w:t>
      </w:r>
      <w:r>
        <w:rPr>
          <w:rFonts w:hint="default" w:ascii="Times New Roman" w:hAnsi="Times New Roman" w:eastAsia="方正仿宋_GBK" w:cs="Times New Roman"/>
          <w:snapToGrid w:val="0"/>
          <w:kern w:val="21"/>
          <w:sz w:val="32"/>
          <w:szCs w:val="24"/>
          <w:lang w:val="en-US" w:eastAsia="zh-CN" w:bidi="ar-SA"/>
        </w:rPr>
        <w:t>此外，年初财政拨款结转和结余0.00万元。</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2、</w:t>
      </w:r>
      <w:r>
        <w:rPr>
          <w:rFonts w:hint="default" w:ascii="Times New Roman" w:hAnsi="Times New Roman" w:eastAsia="方正仿宋_GBK" w:cs="Times New Roman"/>
          <w:snapToGrid w:val="0"/>
          <w:kern w:val="21"/>
          <w:sz w:val="32"/>
          <w:szCs w:val="24"/>
          <w:lang w:val="en-US" w:eastAsia="zh-CN" w:bidi="ar-SA"/>
        </w:rPr>
        <w:t>支出情况。2024年度一般公共预算财政拨款支出46.20万元，与2023年度相比，增加46.20万元，增长100.0%。主要原因是</w:t>
      </w:r>
      <w:r>
        <w:rPr>
          <w:rFonts w:hint="eastAsia" w:ascii="Times New Roman" w:hAnsi="Times New Roman" w:eastAsia="方正仿宋_GBK" w:cs="Times New Roman"/>
          <w:snapToGrid w:val="0"/>
          <w:kern w:val="21"/>
          <w:sz w:val="32"/>
          <w:szCs w:val="24"/>
          <w:lang w:val="en-US" w:eastAsia="zh-CN" w:bidi="ar-SA"/>
        </w:rPr>
        <w:t>本单位为2024年机构改革后新增单位，2023年无支出。</w:t>
      </w:r>
      <w:r>
        <w:rPr>
          <w:rFonts w:hint="default" w:ascii="Times New Roman" w:hAnsi="Times New Roman" w:eastAsia="方正仿宋_GBK" w:cs="Times New Roman"/>
          <w:snapToGrid w:val="0"/>
          <w:kern w:val="21"/>
          <w:sz w:val="32"/>
          <w:szCs w:val="24"/>
          <w:lang w:val="en-US" w:eastAsia="zh-CN" w:bidi="ar-SA"/>
        </w:rPr>
        <w:t>较年初预算数增加46.20万元，增长100.0%。主要原因是</w:t>
      </w:r>
      <w:r>
        <w:rPr>
          <w:rFonts w:hint="eastAsia" w:ascii="Times New Roman" w:hAnsi="Times New Roman" w:eastAsia="方正仿宋_GBK" w:cs="Times New Roman"/>
          <w:snapToGrid w:val="0"/>
          <w:kern w:val="21"/>
          <w:sz w:val="32"/>
          <w:szCs w:val="24"/>
          <w:lang w:val="en-US" w:eastAsia="zh-CN" w:bidi="ar-SA"/>
        </w:rPr>
        <w:t>本单位为2024年机构改革后新增单位，年初无预算。</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一般公共预算财政拨款支出主要</w:t>
      </w:r>
      <w:r>
        <w:rPr>
          <w:rFonts w:hint="eastAsia" w:ascii="Times New Roman" w:hAnsi="Times New Roman" w:eastAsia="方正仿宋_GBK" w:cs="Times New Roman"/>
          <w:snapToGrid w:val="0"/>
          <w:kern w:val="21"/>
          <w:sz w:val="32"/>
          <w:szCs w:val="24"/>
          <w:lang w:val="en-US" w:eastAsia="zh-CN" w:bidi="ar-SA"/>
        </w:rPr>
        <w:t>用途如下</w:t>
      </w:r>
      <w:r>
        <w:rPr>
          <w:rFonts w:hint="default"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w:t>
      </w:r>
      <w:r>
        <w:rPr>
          <w:rFonts w:hint="eastAsia" w:ascii="Times New Roman" w:hAnsi="Times New Roman" w:eastAsia="方正仿宋_GBK" w:cs="Times New Roman"/>
          <w:snapToGrid w:val="0"/>
          <w:kern w:val="21"/>
          <w:sz w:val="32"/>
          <w:szCs w:val="24"/>
          <w:lang w:val="en-US" w:eastAsia="zh-CN" w:bidi="ar-SA"/>
        </w:rPr>
        <w:t>1</w:t>
      </w:r>
      <w:r>
        <w:rPr>
          <w:rFonts w:hint="default" w:ascii="Times New Roman" w:hAnsi="Times New Roman" w:eastAsia="方正仿宋_GBK" w:cs="Times New Roman"/>
          <w:snapToGrid w:val="0"/>
          <w:kern w:val="21"/>
          <w:sz w:val="32"/>
          <w:szCs w:val="24"/>
          <w:lang w:val="en-US" w:eastAsia="zh-CN" w:bidi="ar-SA"/>
        </w:rPr>
        <w:t>）</w:t>
      </w:r>
      <w:r>
        <w:rPr>
          <w:rFonts w:hint="eastAsia" w:ascii="Times New Roman" w:hAnsi="Times New Roman" w:eastAsia="方正仿宋_GBK" w:cs="Times New Roman"/>
          <w:snapToGrid w:val="0"/>
          <w:kern w:val="21"/>
          <w:sz w:val="32"/>
          <w:szCs w:val="24"/>
          <w:lang w:val="en-US" w:eastAsia="zh-CN" w:bidi="ar-SA"/>
        </w:rPr>
        <w:t>一般公共服务支出</w:t>
      </w:r>
      <w:r>
        <w:rPr>
          <w:rFonts w:hint="default" w:ascii="Times New Roman" w:hAnsi="Times New Roman" w:eastAsia="方正仿宋_GBK" w:cs="Times New Roman"/>
          <w:snapToGrid w:val="0"/>
          <w:kern w:val="21"/>
          <w:sz w:val="32"/>
          <w:szCs w:val="24"/>
          <w:lang w:val="en-US" w:eastAsia="zh-CN" w:bidi="ar-SA"/>
        </w:rPr>
        <w:t>16.04</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34.7%</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较年初预算数增加16.04万元，增长100.0%</w:t>
      </w:r>
      <w:r>
        <w:rPr>
          <w:rFonts w:hint="eastAsia" w:ascii="Times New Roman" w:hAnsi="Times New Roman" w:eastAsia="方正仿宋_GBK" w:cs="Times New Roman"/>
          <w:snapToGrid w:val="0"/>
          <w:kern w:val="21"/>
          <w:sz w:val="32"/>
          <w:szCs w:val="24"/>
          <w:lang w:val="en-US" w:eastAsia="zh-CN" w:bidi="ar-SA"/>
        </w:rPr>
        <w:t>，主要原因是本单位为2024年机构改革后新增单位，年初无预算。</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w:t>
      </w:r>
      <w:r>
        <w:rPr>
          <w:rFonts w:hint="eastAsia" w:ascii="Times New Roman" w:hAnsi="Times New Roman" w:eastAsia="方正仿宋_GBK" w:cs="Times New Roman"/>
          <w:snapToGrid w:val="0"/>
          <w:kern w:val="21"/>
          <w:sz w:val="32"/>
          <w:szCs w:val="24"/>
          <w:lang w:val="en-US" w:eastAsia="zh-CN" w:bidi="ar-SA"/>
        </w:rPr>
        <w:t>2</w:t>
      </w:r>
      <w:r>
        <w:rPr>
          <w:rFonts w:hint="default" w:ascii="Times New Roman" w:hAnsi="Times New Roman" w:eastAsia="方正仿宋_GBK" w:cs="Times New Roman"/>
          <w:snapToGrid w:val="0"/>
          <w:kern w:val="21"/>
          <w:sz w:val="32"/>
          <w:szCs w:val="24"/>
          <w:lang w:val="en-US" w:eastAsia="zh-CN" w:bidi="ar-SA"/>
        </w:rPr>
        <w:t>）</w:t>
      </w:r>
      <w:r>
        <w:rPr>
          <w:rFonts w:hint="eastAsia" w:ascii="Times New Roman" w:hAnsi="Times New Roman" w:eastAsia="方正仿宋_GBK" w:cs="Times New Roman"/>
          <w:snapToGrid w:val="0"/>
          <w:kern w:val="21"/>
          <w:sz w:val="32"/>
          <w:szCs w:val="24"/>
          <w:lang w:val="en-US" w:eastAsia="zh-CN" w:bidi="ar-SA"/>
        </w:rPr>
        <w:t>社会保障和就业支出</w:t>
      </w:r>
      <w:r>
        <w:rPr>
          <w:rFonts w:hint="default" w:ascii="Times New Roman" w:hAnsi="Times New Roman" w:eastAsia="方正仿宋_GBK" w:cs="Times New Roman"/>
          <w:snapToGrid w:val="0"/>
          <w:kern w:val="21"/>
          <w:sz w:val="32"/>
          <w:szCs w:val="24"/>
          <w:lang w:val="en-US" w:eastAsia="zh-CN" w:bidi="ar-SA"/>
        </w:rPr>
        <w:t>26.73</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57.9%</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较年初预算数增加26.73万元，增长100.0%</w:t>
      </w:r>
      <w:r>
        <w:rPr>
          <w:rFonts w:hint="eastAsia" w:ascii="Times New Roman" w:hAnsi="Times New Roman" w:eastAsia="方正仿宋_GBK" w:cs="Times New Roman"/>
          <w:snapToGrid w:val="0"/>
          <w:kern w:val="21"/>
          <w:sz w:val="32"/>
          <w:szCs w:val="24"/>
          <w:lang w:val="en-US" w:eastAsia="zh-CN" w:bidi="ar-SA"/>
        </w:rPr>
        <w:t>，主要原因是本单位为2024年机构改革后新增单位，年初无预算。</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w:t>
      </w:r>
      <w:r>
        <w:rPr>
          <w:rFonts w:hint="eastAsia" w:ascii="Times New Roman" w:hAnsi="Times New Roman" w:eastAsia="方正仿宋_GBK" w:cs="Times New Roman"/>
          <w:snapToGrid w:val="0"/>
          <w:kern w:val="21"/>
          <w:sz w:val="32"/>
          <w:szCs w:val="24"/>
          <w:lang w:val="en-US" w:eastAsia="zh-CN" w:bidi="ar-SA"/>
        </w:rPr>
        <w:t>3</w:t>
      </w:r>
      <w:r>
        <w:rPr>
          <w:rFonts w:hint="default" w:ascii="Times New Roman" w:hAnsi="Times New Roman" w:eastAsia="方正仿宋_GBK" w:cs="Times New Roman"/>
          <w:snapToGrid w:val="0"/>
          <w:kern w:val="21"/>
          <w:sz w:val="32"/>
          <w:szCs w:val="24"/>
          <w:lang w:val="en-US" w:eastAsia="zh-CN" w:bidi="ar-SA"/>
        </w:rPr>
        <w:t>）</w:t>
      </w:r>
      <w:r>
        <w:rPr>
          <w:rFonts w:hint="eastAsia" w:ascii="Times New Roman" w:hAnsi="Times New Roman" w:eastAsia="方正仿宋_GBK" w:cs="Times New Roman"/>
          <w:snapToGrid w:val="0"/>
          <w:kern w:val="21"/>
          <w:sz w:val="32"/>
          <w:szCs w:val="24"/>
          <w:lang w:val="en-US" w:eastAsia="zh-CN" w:bidi="ar-SA"/>
        </w:rPr>
        <w:t>卫生健康支出</w:t>
      </w:r>
      <w:r>
        <w:rPr>
          <w:rFonts w:hint="default" w:ascii="Times New Roman" w:hAnsi="Times New Roman" w:eastAsia="方正仿宋_GBK" w:cs="Times New Roman"/>
          <w:snapToGrid w:val="0"/>
          <w:kern w:val="21"/>
          <w:sz w:val="32"/>
          <w:szCs w:val="24"/>
          <w:lang w:val="en-US" w:eastAsia="zh-CN" w:bidi="ar-SA"/>
        </w:rPr>
        <w:t>1.76</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3.8%</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较年初预算数增加1.76万元，增长100.0%</w:t>
      </w:r>
      <w:r>
        <w:rPr>
          <w:rFonts w:hint="eastAsia" w:ascii="Times New Roman" w:hAnsi="Times New Roman" w:eastAsia="方正仿宋_GBK" w:cs="Times New Roman"/>
          <w:snapToGrid w:val="0"/>
          <w:kern w:val="21"/>
          <w:sz w:val="32"/>
          <w:szCs w:val="24"/>
          <w:lang w:val="en-US" w:eastAsia="zh-CN" w:bidi="ar-SA"/>
        </w:rPr>
        <w:t>，主要原因是本单位为2024年机构改革后新增单位，年初无预算。</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w:t>
      </w:r>
      <w:r>
        <w:rPr>
          <w:rFonts w:hint="eastAsia" w:ascii="Times New Roman" w:hAnsi="Times New Roman" w:eastAsia="方正仿宋_GBK" w:cs="Times New Roman"/>
          <w:snapToGrid w:val="0"/>
          <w:kern w:val="21"/>
          <w:sz w:val="32"/>
          <w:szCs w:val="24"/>
          <w:lang w:val="en-US" w:eastAsia="zh-CN" w:bidi="ar-SA"/>
        </w:rPr>
        <w:t>4</w:t>
      </w:r>
      <w:r>
        <w:rPr>
          <w:rFonts w:hint="default" w:ascii="Times New Roman" w:hAnsi="Times New Roman" w:eastAsia="方正仿宋_GBK" w:cs="Times New Roman"/>
          <w:snapToGrid w:val="0"/>
          <w:kern w:val="21"/>
          <w:sz w:val="32"/>
          <w:szCs w:val="24"/>
          <w:lang w:val="en-US" w:eastAsia="zh-CN" w:bidi="ar-SA"/>
        </w:rPr>
        <w:t>）</w:t>
      </w:r>
      <w:r>
        <w:rPr>
          <w:rFonts w:hint="eastAsia" w:ascii="Times New Roman" w:hAnsi="Times New Roman" w:eastAsia="方正仿宋_GBK" w:cs="Times New Roman"/>
          <w:snapToGrid w:val="0"/>
          <w:kern w:val="21"/>
          <w:sz w:val="32"/>
          <w:szCs w:val="24"/>
          <w:lang w:val="en-US" w:eastAsia="zh-CN" w:bidi="ar-SA"/>
        </w:rPr>
        <w:t>住房保障支出</w:t>
      </w:r>
      <w:r>
        <w:rPr>
          <w:rFonts w:hint="default" w:ascii="Times New Roman" w:hAnsi="Times New Roman" w:eastAsia="方正仿宋_GBK" w:cs="Times New Roman"/>
          <w:snapToGrid w:val="0"/>
          <w:kern w:val="21"/>
          <w:sz w:val="32"/>
          <w:szCs w:val="24"/>
          <w:lang w:val="en-US" w:eastAsia="zh-CN" w:bidi="ar-SA"/>
        </w:rPr>
        <w:t>1.67</w:t>
      </w:r>
      <w:r>
        <w:rPr>
          <w:rFonts w:hint="eastAsia" w:ascii="Times New Roman" w:hAnsi="Times New Roman" w:eastAsia="方正仿宋_GBK" w:cs="Times New Roman"/>
          <w:snapToGrid w:val="0"/>
          <w:kern w:val="21"/>
          <w:sz w:val="32"/>
          <w:szCs w:val="24"/>
          <w:lang w:val="en-US" w:eastAsia="zh-CN" w:bidi="ar-SA"/>
        </w:rPr>
        <w:t>万元，占</w:t>
      </w:r>
      <w:r>
        <w:rPr>
          <w:rFonts w:hint="default" w:ascii="Times New Roman" w:hAnsi="Times New Roman" w:eastAsia="方正仿宋_GBK" w:cs="Times New Roman"/>
          <w:snapToGrid w:val="0"/>
          <w:kern w:val="21"/>
          <w:sz w:val="32"/>
          <w:szCs w:val="24"/>
          <w:lang w:val="en-US" w:eastAsia="zh-CN" w:bidi="ar-SA"/>
        </w:rPr>
        <w:t>3.6%</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较年初预算数增加1.67万元，增长100.0%</w:t>
      </w:r>
      <w:r>
        <w:rPr>
          <w:rFonts w:hint="eastAsia" w:ascii="Times New Roman" w:hAnsi="Times New Roman" w:eastAsia="方正仿宋_GBK" w:cs="Times New Roman"/>
          <w:snapToGrid w:val="0"/>
          <w:kern w:val="21"/>
          <w:sz w:val="32"/>
          <w:szCs w:val="24"/>
          <w:lang w:val="en-US" w:eastAsia="zh-CN" w:bidi="ar-SA"/>
        </w:rPr>
        <w:t>，主要原因是本单位为2024年机构改革后新增单位，年初无预算。</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3、</w:t>
      </w:r>
      <w:r>
        <w:rPr>
          <w:rFonts w:hint="default" w:ascii="Times New Roman" w:hAnsi="Times New Roman" w:eastAsia="方正仿宋_GBK" w:cs="Times New Roman"/>
          <w:snapToGrid w:val="0"/>
          <w:kern w:val="21"/>
          <w:sz w:val="32"/>
          <w:szCs w:val="24"/>
          <w:lang w:val="en-US" w:eastAsia="zh-CN" w:bidi="ar-SA"/>
        </w:rPr>
        <w:t>结转结余情况。2024年度年末一般公共预算财政拨款结转和结余0.00万元，与2023年度相比，无增减</w:t>
      </w:r>
      <w:r>
        <w:rPr>
          <w:rFonts w:hint="eastAsia" w:ascii="Times New Roman" w:hAnsi="Times New Roman" w:eastAsia="方正仿宋_GBK" w:cs="Times New Roman"/>
          <w:snapToGrid w:val="0"/>
          <w:kern w:val="21"/>
          <w:sz w:val="32"/>
          <w:szCs w:val="24"/>
          <w:lang w:val="en-US" w:eastAsia="zh-CN" w:bidi="ar-SA"/>
        </w:rPr>
        <w:t>。</w:t>
      </w:r>
    </w:p>
    <w:p>
      <w:pPr>
        <w:pStyle w:val="13"/>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2024年度一般公共财政拨款基本支出46.20万元。</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其中：人员经费41.93万元，与2023年度相比，增加41.93万元，增长100.0%，主要原因是</w:t>
      </w:r>
      <w:r>
        <w:rPr>
          <w:rFonts w:hint="eastAsia" w:ascii="Times New Roman" w:hAnsi="Times New Roman" w:eastAsia="方正仿宋_GBK" w:cs="Times New Roman"/>
          <w:snapToGrid w:val="0"/>
          <w:kern w:val="21"/>
          <w:sz w:val="32"/>
          <w:szCs w:val="24"/>
          <w:lang w:val="en-US" w:eastAsia="zh-CN" w:bidi="ar-SA"/>
        </w:rPr>
        <w:t>本单位为2024年机构改革后新增单位，2023年无支出。</w:t>
      </w:r>
      <w:r>
        <w:rPr>
          <w:rFonts w:hint="default" w:ascii="Times New Roman" w:hAnsi="Times New Roman" w:eastAsia="方正仿宋_GBK" w:cs="Times New Roman"/>
          <w:snapToGrid w:val="0"/>
          <w:kern w:val="21"/>
          <w:sz w:val="32"/>
          <w:szCs w:val="24"/>
          <w:lang w:val="en-US" w:eastAsia="zh-CN" w:bidi="ar-SA"/>
        </w:rPr>
        <w:t>人员经费用途主要包括</w:t>
      </w:r>
      <w:r>
        <w:rPr>
          <w:rFonts w:hint="eastAsia" w:ascii="Times New Roman" w:hAnsi="Times New Roman" w:eastAsia="方正仿宋_GBK" w:cs="Times New Roman"/>
          <w:snapToGrid w:val="0"/>
          <w:kern w:val="21"/>
          <w:sz w:val="32"/>
          <w:szCs w:val="24"/>
          <w:lang w:val="en-US" w:eastAsia="zh-CN" w:bidi="ar-SA"/>
        </w:rPr>
        <w:t>基本工资、津贴补贴、社会保障缴费、住房公积金等。</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公用经费4.28万元，与2023年度相比，增加4.28万元，增长100.0%，主要原因是</w:t>
      </w:r>
      <w:r>
        <w:rPr>
          <w:rFonts w:hint="eastAsia" w:ascii="Times New Roman" w:hAnsi="Times New Roman" w:eastAsia="方正仿宋_GBK" w:cs="Times New Roman"/>
          <w:snapToGrid w:val="0"/>
          <w:kern w:val="21"/>
          <w:sz w:val="32"/>
          <w:szCs w:val="24"/>
          <w:lang w:val="en-US" w:eastAsia="zh-CN" w:bidi="ar-SA"/>
        </w:rPr>
        <w:t>本单位为2024年机构改革后新增单位，2023年无支出。</w:t>
      </w:r>
      <w:r>
        <w:rPr>
          <w:rFonts w:hint="default" w:ascii="Times New Roman" w:hAnsi="Times New Roman" w:eastAsia="方正仿宋_GBK" w:cs="Times New Roman"/>
          <w:snapToGrid w:val="0"/>
          <w:kern w:val="21"/>
          <w:sz w:val="32"/>
          <w:szCs w:val="24"/>
          <w:lang w:val="en-US" w:eastAsia="zh-CN" w:bidi="ar-SA"/>
        </w:rPr>
        <w:t>公用经费用途主要包括</w:t>
      </w:r>
      <w:r>
        <w:rPr>
          <w:rFonts w:hint="eastAsia" w:ascii="Times New Roman" w:hAnsi="Times New Roman" w:eastAsia="方正仿宋_GBK" w:cs="Times New Roman"/>
          <w:snapToGrid w:val="0"/>
          <w:kern w:val="21"/>
          <w:sz w:val="32"/>
          <w:szCs w:val="24"/>
          <w:lang w:val="en-US" w:eastAsia="zh-CN" w:bidi="ar-SA"/>
        </w:rPr>
        <w:t>办公费、水电费、培训费、差旅费、工会经费等。</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（五）政府性基金预算收支决算情况说明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2024年度无政府性基金预算财政拨款收支。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三、</w:t>
      </w:r>
      <w:r>
        <w:rPr>
          <w:rStyle w:val="12"/>
          <w:rFonts w:hint="eastAsia" w:ascii="方正黑体_GBK" w:hAnsi="方正黑体_GBK" w:eastAsia="方正黑体_GBK" w:cs="方正黑体_GBK"/>
          <w:b w:val="0"/>
          <w:bCs/>
          <w:sz w:val="32"/>
          <w:szCs w:val="32"/>
          <w:shd w:val="clear" w:color="auto" w:fill="FFFFFF"/>
          <w:lang w:eastAsia="zh-CN"/>
        </w:rPr>
        <w:t>财政拨款</w:t>
      </w:r>
      <w:r>
        <w:rPr>
          <w:rStyle w:val="12"/>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（一）“三公”经费支出总体情况说明</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2024年度“三公”经费支出共计0.00万元，较年初预算数无增减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（二）“三公”经费分项支出情况</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因公出国（境）费用0.00万元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w:t>
      </w:r>
      <w:r>
        <w:rPr>
          <w:rFonts w:hint="eastAsia" w:ascii="Times New Roman" w:hAnsi="Times New Roman" w:eastAsia="方正仿宋_GBK" w:cs="Times New Roman"/>
          <w:snapToGrid w:val="0"/>
          <w:kern w:val="21"/>
          <w:sz w:val="32"/>
          <w:szCs w:val="24"/>
          <w:lang w:val="en-US" w:eastAsia="zh-CN" w:bidi="ar-SA"/>
        </w:rPr>
        <w:t>用</w:t>
      </w:r>
      <w:r>
        <w:rPr>
          <w:rFonts w:hint="default" w:ascii="Times New Roman" w:hAnsi="Times New Roman" w:eastAsia="方正仿宋_GBK" w:cs="Times New Roman"/>
          <w:snapToGrid w:val="0"/>
          <w:kern w:val="21"/>
          <w:sz w:val="32"/>
          <w:szCs w:val="24"/>
          <w:lang w:val="en-US" w:eastAsia="zh-CN" w:bidi="ar-SA"/>
        </w:rPr>
        <w:t>车购置费0.00万元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w:t>
      </w:r>
      <w:r>
        <w:rPr>
          <w:rFonts w:hint="eastAsia" w:ascii="Times New Roman" w:hAnsi="Times New Roman" w:eastAsia="方正仿宋_GBK" w:cs="Times New Roman"/>
          <w:snapToGrid w:val="0"/>
          <w:kern w:val="21"/>
          <w:sz w:val="32"/>
          <w:szCs w:val="24"/>
          <w:lang w:val="en-US" w:eastAsia="zh-CN" w:bidi="ar-SA"/>
        </w:rPr>
        <w:t>用</w:t>
      </w:r>
      <w:r>
        <w:rPr>
          <w:rFonts w:hint="default" w:ascii="Times New Roman" w:hAnsi="Times New Roman" w:eastAsia="方正仿宋_GBK" w:cs="Times New Roman"/>
          <w:snapToGrid w:val="0"/>
          <w:kern w:val="21"/>
          <w:sz w:val="32"/>
          <w:szCs w:val="24"/>
          <w:lang w:val="en-US" w:eastAsia="zh-CN" w:bidi="ar-SA"/>
        </w:rPr>
        <w:t>车运行维护费0.00万元</w:t>
      </w:r>
      <w:r>
        <w:rPr>
          <w:rFonts w:hint="eastAsia" w:ascii="Times New Roman" w:hAnsi="Times New Roman" w:eastAsia="方正仿宋_GBK" w:cs="Times New Roman"/>
          <w:snapToGrid w:val="0"/>
          <w:kern w:val="21"/>
          <w:sz w:val="32"/>
          <w:szCs w:val="24"/>
          <w:lang w:val="en-US" w:eastAsia="zh-CN" w:bidi="ar-SA"/>
        </w:rPr>
        <w:t>。</w:t>
      </w:r>
      <w:r>
        <w:rPr>
          <w:rFonts w:hint="default" w:ascii="Times New Roman" w:hAnsi="Times New Roman" w:eastAsia="方正仿宋_GBK" w:cs="Times New Roman"/>
          <w:snapToGrid w:val="0"/>
          <w:kern w:val="21"/>
          <w:sz w:val="32"/>
          <w:szCs w:val="24"/>
          <w:lang w:val="en-US" w:eastAsia="zh-CN" w:bidi="ar-SA"/>
        </w:rPr>
        <w:t>费用支出较年初预算数无增减，较上年支出数无增减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公务接待费0.00万元，费用支出较年初预算数无增减，较上年支出数无增减</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（三）“三公”经费实物量情况</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default"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与2023年度相比，增加0.20万元，增长100.0%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本单位为</w:t>
      </w:r>
      <w:r>
        <w:rPr>
          <w:rFonts w:hint="eastAsia" w:ascii="Times New Roman" w:hAnsi="Times New Roman" w:eastAsia="方正仿宋_GBK"/>
          <w:sz w:val="32"/>
          <w:szCs w:val="32"/>
          <w:shd w:val="clear" w:color="auto" w:fill="FFFFFF"/>
          <w:lang w:val="en-US" w:eastAsia="zh-CN"/>
        </w:rPr>
        <w:t>2024年机构改革后新增单位，2023年无差旅费支出。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（二）机关运行经费情况说明</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按照部门决算列报口径，我</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不在机关运行经费统计范围</w:t>
      </w:r>
      <w:r>
        <w:rPr>
          <w:rFonts w:hint="eastAsia" w:ascii="Times New Roman" w:hAnsi="Times New Roman" w:eastAsia="方正仿宋_GBK" w:cs="Times New Roman"/>
          <w:snapToGrid w:val="0"/>
          <w:kern w:val="21"/>
          <w:sz w:val="32"/>
          <w:szCs w:val="24"/>
          <w:lang w:val="en-US" w:eastAsia="zh-CN" w:bidi="ar-SA"/>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（三）国有资产占用情况说明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截至2024年12月31日，本</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2"/>
          <w:rFonts w:hint="eastAsia" w:ascii="方正楷体_GBK" w:hAnsi="方正楷体_GBK" w:eastAsia="方正楷体_GBK" w:cs="方正楷体_GBK"/>
          <w:b w:val="0"/>
          <w:bCs/>
          <w:sz w:val="32"/>
          <w:szCs w:val="32"/>
          <w:shd w:val="clear" w:color="auto" w:fill="FFFFFF"/>
        </w:rPr>
      </w:pPr>
      <w:r>
        <w:rPr>
          <w:rStyle w:val="12"/>
          <w:rFonts w:hint="eastAsia" w:ascii="方正楷体_GBK" w:hAnsi="方正楷体_GBK" w:eastAsia="方正楷体_GBK" w:cs="方正楷体_GBK"/>
          <w:b w:val="0"/>
          <w:bCs/>
          <w:sz w:val="32"/>
          <w:szCs w:val="32"/>
          <w:shd w:val="clear" w:color="auto" w:fill="FFFFFF"/>
        </w:rPr>
        <w:t>（四）政府采购支出情况说明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napToGrid w:val="0"/>
          <w:kern w:val="21"/>
          <w:sz w:val="32"/>
          <w:szCs w:val="24"/>
          <w:lang w:val="en-US" w:eastAsia="zh-CN" w:bidi="ar-SA"/>
        </w:rPr>
      </w:pPr>
      <w:r>
        <w:rPr>
          <w:rFonts w:hint="default" w:ascii="Times New Roman" w:hAnsi="Times New Roman" w:eastAsia="方正仿宋_GBK" w:cs="Times New Roman"/>
          <w:snapToGrid w:val="0"/>
          <w:kern w:val="21"/>
          <w:sz w:val="32"/>
          <w:szCs w:val="24"/>
          <w:lang w:val="en-US" w:eastAsia="zh-CN" w:bidi="ar-SA"/>
        </w:rPr>
        <w:t>2024年度我</w:t>
      </w:r>
      <w:r>
        <w:rPr>
          <w:rFonts w:hint="eastAsia" w:ascii="Times New Roman" w:hAnsi="Times New Roman" w:eastAsia="方正仿宋_GBK" w:cs="Times New Roman"/>
          <w:snapToGrid w:val="0"/>
          <w:kern w:val="21"/>
          <w:sz w:val="32"/>
          <w:szCs w:val="24"/>
          <w:lang w:val="en-US" w:eastAsia="zh-CN" w:bidi="ar-SA"/>
        </w:rPr>
        <w:t>单位</w:t>
      </w:r>
      <w:r>
        <w:rPr>
          <w:rFonts w:hint="default" w:ascii="Times New Roman" w:hAnsi="Times New Roman" w:eastAsia="方正仿宋_GBK" w:cs="Times New Roman"/>
          <w:snapToGrid w:val="0"/>
          <w:kern w:val="21"/>
          <w:sz w:val="32"/>
          <w:szCs w:val="24"/>
          <w:lang w:val="en-US" w:eastAsia="zh-CN" w:bidi="ar-SA"/>
        </w:rPr>
        <w:t>未发生政府采购事项，无相关经费支出。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黑体_GBK"/>
          <w:snapToGrid w:val="0"/>
          <w:kern w:val="21"/>
          <w:sz w:val="32"/>
        </w:rPr>
      </w:pPr>
      <w:r>
        <w:rPr>
          <w:rFonts w:hint="eastAsia" w:ascii="Times New Roman" w:hAnsi="Times New Roman" w:eastAsia="方正黑体_GBK"/>
          <w:snapToGrid w:val="0"/>
          <w:kern w:val="21"/>
          <w:sz w:val="32"/>
          <w:lang w:eastAsia="zh-CN"/>
        </w:rPr>
        <w:t>五、</w:t>
      </w:r>
      <w:r>
        <w:rPr>
          <w:rFonts w:hint="eastAsia" w:ascii="Times New Roman" w:hAnsi="Times New Roman" w:eastAsia="方正黑体_GBK"/>
          <w:snapToGrid w:val="0"/>
          <w:kern w:val="21"/>
          <w:sz w:val="32"/>
        </w:rPr>
        <w:t>预算绩效管理情况说明</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楷体_GBK"/>
          <w:snapToGrid w:val="0"/>
          <w:kern w:val="21"/>
          <w:sz w:val="32"/>
        </w:rPr>
      </w:pPr>
      <w:r>
        <w:rPr>
          <w:rFonts w:hint="eastAsia" w:ascii="Times New Roman" w:hAnsi="Times New Roman" w:eastAsia="方正楷体_GBK"/>
          <w:snapToGrid w:val="0"/>
          <w:kern w:val="21"/>
          <w:sz w:val="32"/>
          <w:lang w:eastAsia="zh-CN"/>
        </w:rPr>
        <w:t>（一）</w:t>
      </w:r>
      <w:r>
        <w:rPr>
          <w:rFonts w:hint="eastAsia" w:ascii="Times New Roman" w:hAnsi="Times New Roman" w:eastAsia="方正楷体_GBK"/>
          <w:snapToGrid w:val="0"/>
          <w:kern w:val="21"/>
          <w:sz w:val="32"/>
        </w:rPr>
        <w:t>单位自评情况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仿宋_GBK"/>
          <w:snapToGrid w:val="0"/>
          <w:kern w:val="21"/>
          <w:sz w:val="32"/>
          <w:lang w:val="en-US" w:eastAsia="zh-CN"/>
        </w:rPr>
        <w:t>本单位不涉及。</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楷体_GBK"/>
          <w:snapToGrid w:val="0"/>
          <w:kern w:val="21"/>
          <w:sz w:val="32"/>
        </w:rPr>
      </w:pPr>
      <w:r>
        <w:rPr>
          <w:rFonts w:hint="eastAsia" w:ascii="Times New Roman" w:hAnsi="Times New Roman" w:eastAsia="方正楷体_GBK"/>
          <w:snapToGrid w:val="0"/>
          <w:kern w:val="21"/>
          <w:sz w:val="32"/>
        </w:rPr>
        <w:t>（二）单位绩效评价情况</w:t>
      </w:r>
    </w:p>
    <w:p>
      <w:pPr>
        <w:pStyle w:val="9"/>
        <w:keepNext w:val="0"/>
        <w:keepLines w:val="0"/>
        <w:pageBreakBefore w:val="0"/>
        <w:kinsoku/>
        <w:wordWrap/>
        <w:overflowPunct/>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我单位未组织开展绩效评价。</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default" w:ascii="Times New Roman" w:hAnsi="Times New Roman" w:eastAsia="方正楷体_GBK"/>
          <w:snapToGrid w:val="0"/>
          <w:kern w:val="21"/>
          <w:sz w:val="32"/>
        </w:rPr>
      </w:pPr>
      <w:r>
        <w:rPr>
          <w:rFonts w:hint="eastAsia" w:ascii="Times New Roman" w:hAnsi="Times New Roman" w:eastAsia="方正楷体_GBK"/>
          <w:snapToGrid w:val="0"/>
          <w:kern w:val="21"/>
          <w:sz w:val="32"/>
        </w:rPr>
        <w:t>（三）财政绩效评价情况</w:t>
      </w:r>
    </w:p>
    <w:p>
      <w:pPr>
        <w:pStyle w:val="13"/>
        <w:keepNext w:val="0"/>
        <w:keepLines w:val="0"/>
        <w:pageBreakBefore w:val="0"/>
        <w:kinsoku/>
        <w:wordWrap/>
        <w:overflowPunct/>
        <w:autoSpaceDE w:val="0"/>
        <w:autoSpaceDN/>
        <w:bidi w:val="0"/>
        <w:adjustRightInd/>
        <w:spacing w:beforeAutospacing="0" w:afterAutospacing="0" w:line="594" w:lineRule="exact"/>
        <w:ind w:left="0" w:leftChars="0" w:firstLine="640" w:firstLineChars="200"/>
        <w:jc w:val="both"/>
        <w:textAlignment w:val="auto"/>
        <w:rPr>
          <w:rFonts w:hint="eastAsia" w:ascii="Times New Roman" w:hAnsi="Times New Roman" w:eastAsia="方正仿宋_GBK" w:cs="Times New Roman"/>
          <w:snapToGrid w:val="0"/>
          <w:kern w:val="21"/>
          <w:sz w:val="32"/>
          <w:szCs w:val="24"/>
          <w:lang w:val="en-US" w:eastAsia="zh-CN" w:bidi="ar-SA"/>
        </w:rPr>
      </w:pPr>
      <w:r>
        <w:rPr>
          <w:rFonts w:hint="eastAsia" w:ascii="Times New Roman" w:hAnsi="Times New Roman" w:eastAsia="方正仿宋_GBK" w:cs="Times New Roman"/>
          <w:snapToGrid w:val="0"/>
          <w:kern w:val="21"/>
          <w:sz w:val="32"/>
          <w:szCs w:val="24"/>
          <w:lang w:val="en-US" w:eastAsia="zh-CN" w:bidi="ar-SA"/>
        </w:rPr>
        <w:t>市财政局未委托第三方对我单位开展绩效评价。</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lang w:val="en-US" w:eastAsia="zh-CN"/>
        </w:rPr>
      </w:pPr>
      <w:r>
        <w:rPr>
          <w:rFonts w:hint="eastAsia" w:ascii="Times New Roman" w:hAnsi="Times New Roman" w:eastAsia="方正黑体_GBK"/>
          <w:snapToGrid w:val="0"/>
          <w:kern w:val="21"/>
          <w:sz w:val="32"/>
          <w:lang w:val="en-US" w:eastAsia="zh-CN"/>
        </w:rPr>
        <w:t>六、专业名词解释</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（一）财政拨款收入：</w:t>
      </w:r>
      <w:r>
        <w:rPr>
          <w:rFonts w:hint="eastAsia" w:ascii="Times New Roman" w:hAnsi="Times New Roman" w:eastAsia="方正仿宋_GBK"/>
          <w:snapToGrid w:val="0"/>
          <w:kern w:val="21"/>
          <w:sz w:val="32"/>
          <w:lang w:val="en-US" w:eastAsia="zh-CN"/>
        </w:rPr>
        <w:t>指本年度从本级财政部门取得的财政拨款，包括一般公共预算财政拨款和政府性基金预算财政拨款。</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（二）事业收入：</w:t>
      </w:r>
      <w:r>
        <w:rPr>
          <w:rFonts w:hint="eastAsia" w:ascii="Times New Roman" w:hAnsi="Times New Roman" w:eastAsia="方正仿宋_GBK"/>
          <w:snapToGrid w:val="0"/>
          <w:kern w:val="21"/>
          <w:sz w:val="32"/>
          <w:lang w:val="en-US" w:eastAsia="zh-CN"/>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（三）经营收入：</w:t>
      </w:r>
      <w:r>
        <w:rPr>
          <w:rFonts w:hint="eastAsia" w:ascii="Times New Roman" w:hAnsi="Times New Roman" w:eastAsia="方正仿宋_GBK"/>
          <w:snapToGrid w:val="0"/>
          <w:kern w:val="21"/>
          <w:sz w:val="32"/>
          <w:lang w:val="en-US" w:eastAsia="zh-CN"/>
        </w:rPr>
        <w:t>指事业单位在专业业务活动及其辅助活动之外开展非独立核算经营活动取得的现金流入。</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（四）其他收入：</w:t>
      </w:r>
      <w:r>
        <w:rPr>
          <w:rFonts w:hint="eastAsia" w:ascii="Times New Roman" w:hAnsi="Times New Roman" w:eastAsia="方正仿宋_GBK"/>
          <w:snapToGrid w:val="0"/>
          <w:kern w:val="21"/>
          <w:sz w:val="32"/>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（五）使用非财政拨款结余：</w:t>
      </w:r>
      <w:r>
        <w:rPr>
          <w:rFonts w:hint="eastAsia" w:ascii="Times New Roman" w:hAnsi="Times New Roman" w:eastAsia="方正仿宋_GBK"/>
          <w:snapToGrid w:val="0"/>
          <w:kern w:val="21"/>
          <w:sz w:val="32"/>
          <w:lang w:val="en-US" w:eastAsia="zh-CN"/>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（六）年初结转和结余：</w:t>
      </w:r>
      <w:r>
        <w:rPr>
          <w:rFonts w:hint="eastAsia" w:ascii="Times New Roman" w:hAnsi="Times New Roman" w:eastAsia="方正仿宋_GBK"/>
          <w:snapToGrid w:val="0"/>
          <w:kern w:val="21"/>
          <w:sz w:val="32"/>
          <w:lang w:val="en-US" w:eastAsia="zh-CN"/>
        </w:rPr>
        <w:t>指单位上年结转本年使用的基本支出结转、项目支出结转和结余、经营结余。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（七）结余分配：</w:t>
      </w:r>
      <w:r>
        <w:rPr>
          <w:rFonts w:hint="eastAsia" w:ascii="Times New Roman" w:hAnsi="Times New Roman" w:eastAsia="方正仿宋_GBK"/>
          <w:snapToGrid w:val="0"/>
          <w:kern w:val="21"/>
          <w:sz w:val="32"/>
          <w:lang w:val="en-US" w:eastAsia="zh-CN"/>
        </w:rPr>
        <w:t>指单位按照国家有关规定，缴纳所得税、提取专用基金、转入非财政拨款结余等当年结余的分配情况。</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（八）年末结转和结余：</w:t>
      </w:r>
      <w:r>
        <w:rPr>
          <w:rFonts w:hint="eastAsia" w:ascii="Times New Roman" w:hAnsi="Times New Roman" w:eastAsia="方正仿宋_GBK"/>
          <w:snapToGrid w:val="0"/>
          <w:kern w:val="21"/>
          <w:sz w:val="32"/>
          <w:lang w:val="en-US" w:eastAsia="zh-CN"/>
        </w:rPr>
        <w:t>指单位结转下年的基本支出结转、项目支出结转和结余、经营结余。</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（九）基本支出：</w:t>
      </w:r>
      <w:r>
        <w:rPr>
          <w:rFonts w:hint="eastAsia" w:ascii="Times New Roman" w:hAnsi="Times New Roman" w:eastAsia="方正仿宋_GBK"/>
          <w:snapToGrid w:val="0"/>
          <w:kern w:val="21"/>
          <w:sz w:val="32"/>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（十）项目支出：</w:t>
      </w:r>
      <w:r>
        <w:rPr>
          <w:rFonts w:hint="eastAsia" w:ascii="Times New Roman" w:hAnsi="Times New Roman" w:eastAsia="方正仿宋_GBK"/>
          <w:snapToGrid w:val="0"/>
          <w:kern w:val="21"/>
          <w:sz w:val="32"/>
          <w:lang w:val="en-US" w:eastAsia="zh-CN"/>
        </w:rPr>
        <w:t>指在基本支出之外为完成特定行政任务和事业发展目标所发生的支出。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（十一）经营支出：</w:t>
      </w:r>
      <w:r>
        <w:rPr>
          <w:rFonts w:hint="eastAsia" w:ascii="Times New Roman" w:hAnsi="Times New Roman" w:eastAsia="方正仿宋_GBK"/>
          <w:snapToGrid w:val="0"/>
          <w:kern w:val="21"/>
          <w:sz w:val="32"/>
          <w:lang w:val="en-US" w:eastAsia="zh-CN"/>
        </w:rPr>
        <w:t>指事业单位在专业业务活动及其辅助活动之外开展非独立核算经营活动发生的支出。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lang w:val="en-US" w:eastAsia="zh-CN"/>
        </w:rPr>
      </w:pPr>
      <w:r>
        <w:rPr>
          <w:rFonts w:hint="eastAsia" w:ascii="Times New Roman" w:hAnsi="Times New Roman" w:eastAsia="方正楷体_GBK"/>
          <w:snapToGrid w:val="0"/>
          <w:kern w:val="21"/>
          <w:sz w:val="32"/>
          <w:szCs w:val="32"/>
          <w:lang w:val="en-US" w:eastAsia="zh-CN"/>
        </w:rPr>
        <w:t>（十二）“三公”经费：</w:t>
      </w:r>
      <w:r>
        <w:rPr>
          <w:rFonts w:hint="eastAsia" w:ascii="Times New Roman" w:hAnsi="Times New Roman" w:eastAsia="方正仿宋_GBK"/>
          <w:snapToGrid w:val="0"/>
          <w:kern w:val="21"/>
          <w:sz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（十三）机关运行经费：</w:t>
      </w:r>
      <w:r>
        <w:rPr>
          <w:rFonts w:hint="eastAsia" w:ascii="Times New Roman" w:hAnsi="Times New Roman" w:eastAsia="方正仿宋_GBK"/>
          <w:snapToGrid w:val="0"/>
          <w:kern w:val="21"/>
          <w:sz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（十四）工资福利支出（支出经济分类科目类级）：</w:t>
      </w:r>
      <w:r>
        <w:rPr>
          <w:rFonts w:hint="eastAsia" w:ascii="Times New Roman" w:hAnsi="Times New Roman" w:eastAsia="方正仿宋_GBK"/>
          <w:snapToGrid w:val="0"/>
          <w:kern w:val="21"/>
          <w:sz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楷体_GBK"/>
          <w:snapToGrid w:val="0"/>
          <w:kern w:val="21"/>
          <w:sz w:val="32"/>
          <w:szCs w:val="32"/>
          <w:lang w:val="en-US" w:eastAsia="zh-CN"/>
        </w:rPr>
        <w:t>（十五）商品和服务支出（支出经济分类科目类级）：</w:t>
      </w:r>
      <w:r>
        <w:rPr>
          <w:rFonts w:hint="eastAsia" w:ascii="Times New Roman" w:hAnsi="Times New Roman" w:eastAsia="方正仿宋_GBK"/>
          <w:snapToGrid w:val="0"/>
          <w:kern w:val="21"/>
          <w:sz w:val="32"/>
        </w:rPr>
        <w:t>反映单位购买商品和服务的支出（不包括用于购置固定资产的支出、战略性和应急储备支出）。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（十六）对个人和家庭的补助（支出经济分类科目类级）：</w:t>
      </w:r>
      <w:r>
        <w:rPr>
          <w:rFonts w:hint="eastAsia" w:ascii="方正仿宋_GBK" w:hAnsi="方正仿宋_GBK" w:eastAsia="方正仿宋_GBK" w:cs="方正仿宋_GBK"/>
          <w:snapToGrid w:val="0"/>
          <w:kern w:val="21"/>
          <w:sz w:val="32"/>
          <w:szCs w:val="32"/>
        </w:rPr>
        <w:t>反映用于对个人和家庭的补助支出。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方正仿宋_GBK" w:hAnsi="方正仿宋_GBK" w:eastAsia="方正仿宋_GBK" w:cs="方正仿宋_GBK"/>
          <w:snapToGrid w:val="0"/>
          <w:kern w:val="21"/>
          <w:sz w:val="32"/>
          <w:szCs w:val="32"/>
        </w:rPr>
      </w:pPr>
      <w:r>
        <w:rPr>
          <w:rFonts w:hint="eastAsia" w:ascii="Times New Roman" w:hAnsi="Times New Roman" w:eastAsia="方正楷体_GBK"/>
          <w:snapToGrid w:val="0"/>
          <w:kern w:val="21"/>
          <w:sz w:val="32"/>
          <w:szCs w:val="32"/>
          <w:lang w:val="en-US" w:eastAsia="zh-CN"/>
        </w:rPr>
        <w:t>（十七）其他资本性支出（支出经济分类科目类级）：</w:t>
      </w:r>
      <w:r>
        <w:rPr>
          <w:rFonts w:hint="eastAsia" w:ascii="方正仿宋_GBK" w:hAnsi="方正仿宋_GBK" w:eastAsia="方正仿宋_GBK" w:cs="方正仿宋_GBK"/>
          <w:snapToGrid w:val="0"/>
          <w:kern w:val="21"/>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黑体_GBK"/>
          <w:snapToGrid w:val="0"/>
          <w:kern w:val="21"/>
          <w:sz w:val="32"/>
        </w:rPr>
      </w:pPr>
      <w:r>
        <w:rPr>
          <w:rFonts w:hint="eastAsia" w:ascii="Times New Roman" w:hAnsi="Times New Roman" w:eastAsia="方正黑体_GBK"/>
          <w:snapToGrid w:val="0"/>
          <w:kern w:val="21"/>
          <w:sz w:val="32"/>
        </w:rPr>
        <w:t> 七、决算公开联系方式及信息反馈渠道</w:t>
      </w:r>
    </w:p>
    <w:p>
      <w:pPr>
        <w:keepNext w:val="0"/>
        <w:keepLines w:val="0"/>
        <w:pageBreakBefore w:val="0"/>
        <w:widowControl w:val="0"/>
        <w:kinsoku/>
        <w:wordWrap/>
        <w:overflowPunct/>
        <w:topLinePunct/>
        <w:autoSpaceDE w:val="0"/>
        <w:autoSpaceDN/>
        <w:bidi w:val="0"/>
        <w:adjustRightInd/>
        <w:snapToGrid w:val="0"/>
        <w:spacing w:line="594" w:lineRule="exact"/>
        <w:ind w:firstLine="640" w:firstLineChars="200"/>
        <w:jc w:val="both"/>
        <w:textAlignment w:val="auto"/>
        <w:rPr>
          <w:rFonts w:hint="eastAsia" w:ascii="Times New Roman" w:hAnsi="Times New Roman" w:eastAsia="方正仿宋_GBK"/>
          <w:snapToGrid w:val="0"/>
          <w:kern w:val="21"/>
          <w:sz w:val="32"/>
        </w:rPr>
      </w:pPr>
      <w:r>
        <w:rPr>
          <w:rFonts w:hint="eastAsia" w:ascii="Times New Roman" w:hAnsi="Times New Roman" w:eastAsia="方正仿宋_GBK"/>
          <w:snapToGrid w:val="0"/>
          <w:kern w:val="21"/>
          <w:sz w:val="32"/>
        </w:rPr>
        <w:t>本单位决算公开信息反馈和联系方式：</w:t>
      </w:r>
      <w:r>
        <w:rPr>
          <w:rFonts w:hint="eastAsia" w:ascii="Times New Roman" w:hAnsi="Times New Roman" w:eastAsia="方正仿宋_GBK"/>
          <w:snapToGrid w:val="0"/>
          <w:kern w:val="21"/>
          <w:sz w:val="32"/>
          <w:lang w:val="en-US" w:eastAsia="zh-CN"/>
        </w:rPr>
        <w:t>73397001。</w:t>
      </w:r>
    </w:p>
    <w:p>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Times New Roman"/>
          <w:snapToGrid w:val="0"/>
          <w:kern w:val="21"/>
          <w:sz w:val="32"/>
          <w:szCs w:val="24"/>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p>
    <w:tbl>
      <w:tblPr>
        <w:tblStyle w:val="10"/>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石柱土家族自治县冷水镇景区服务中心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462,045.11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160,441.62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267,314.30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17,603.91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16,685.28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462,045.11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462,045.11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462,045.11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462,045.11</w:t>
            </w:r>
          </w:p>
        </w:tc>
      </w:tr>
    </w:tbl>
    <w:p>
      <w:pPr>
        <w:pStyle w:val="13"/>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3"/>
        <w:numPr>
          <w:ilvl w:val="0"/>
          <w:numId w:val="0"/>
        </w:numPr>
        <w:autoSpaceDE w:val="0"/>
        <w:rPr>
          <w:rFonts w:hint="eastAsia" w:ascii="宋体" w:hAnsi="宋体" w:eastAsia="宋体" w:cs="宋体"/>
          <w:sz w:val="21"/>
          <w:szCs w:val="21"/>
          <w:lang w:val="en-US" w:eastAsia="zh-CN"/>
        </w:rPr>
      </w:pP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石柱土家族自治县冷水镇景区服务中心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462,045.11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462,045.11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160,441.62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160,441.62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160,441.62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160,441.62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160,441.62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160,441.62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267,314.30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267,314.30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51,373.20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51,373.20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34,248.80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34,248.80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17,124.40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17,124.40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215,941.10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215,941.10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215,941.10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215,941.10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17,603.91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17,603.91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17,603.91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17,603.91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13,403.91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13,403.91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16,685.28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16,685.28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石柱土家族自治县冷水镇景区服务中心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462,045.11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462,045.11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160,441.62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160,441.62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160,441.62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160,441.62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160,441.62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160,441.62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267,314.30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267,314.30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51,373.20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51,373.20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34,248.80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34,248.80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17,124.40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17,124.40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215,941.10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215,941.10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215,941.10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215,941.10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17,603.91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17,603.91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17,603.91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17,603.91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13,403.91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13,403.91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16,685.28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16,685.28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16,685.28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石柱土家族自治县冷水镇景区服务中心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462,045.11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160,441.62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160,441.62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267,314.30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267,314.30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17,603.91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17,603.91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16,685.28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16,685.28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462,045.11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462,045.11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462,045.11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462,045.11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462,045.11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462,045.11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石柱土家族自治县冷水镇景区服务中心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462,045.11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462,045.11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462,045.11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462,045.11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160,441.62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160,441.62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160,441.62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160,441.62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160,441.62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160,441.62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160,441.62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160,441.62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160,441.62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160,441.62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160,441.62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160,441.62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267,314.30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267,314.30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267,314.30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267,314.30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51,373.20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51,373.20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51,373.20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51,373.20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34,248.80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34,248.80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34,248.80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34,248.80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17,124.40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17,124.40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17,124.40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17,124.40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215,941.10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215,941.10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215,941.10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215,941.10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215,941.10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215,941.10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215,941.10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215,941.10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17,603.91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17,603.91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17,603.91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17,603.91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17,603.91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17,603.91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17,603.91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17,603.91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13,403.91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13,403.91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13,403.91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13,403.91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16,685.28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16,685.28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16,685.28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16,685.28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16,685.28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石柱土家族自治县冷水镇景区服务中心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419,264.23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42,780.88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91,563.00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28,980.00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211,446.00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34,248.80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17,124.40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13,904.40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1,112.35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16,685.28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12,780.88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419,264.23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42,780.88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石柱土家族自治县冷水镇景区服务中心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石柱土家族自治县冷水镇景区服务中心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石柱土家族自治县冷水镇景区服务中心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3"/>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2138C"/>
    <w:rsid w:val="04446191"/>
    <w:rsid w:val="044C50BA"/>
    <w:rsid w:val="05C80098"/>
    <w:rsid w:val="062E1E31"/>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10E42"/>
    <w:rsid w:val="1BAA2EDC"/>
    <w:rsid w:val="1CA80251"/>
    <w:rsid w:val="1CE157EE"/>
    <w:rsid w:val="1D014A01"/>
    <w:rsid w:val="1D022362"/>
    <w:rsid w:val="1DD26311"/>
    <w:rsid w:val="1EF67CA4"/>
    <w:rsid w:val="1FCD26AF"/>
    <w:rsid w:val="20642787"/>
    <w:rsid w:val="21556F04"/>
    <w:rsid w:val="22403BD3"/>
    <w:rsid w:val="23F11A95"/>
    <w:rsid w:val="240274C4"/>
    <w:rsid w:val="24215C55"/>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5B36E6"/>
    <w:rsid w:val="37841E99"/>
    <w:rsid w:val="37A302CD"/>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7F5187"/>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8133F4F"/>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53C5BE5"/>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ody Text"/>
    <w:basedOn w:val="1"/>
    <w:next w:val="5"/>
    <w:unhideWhenUsed/>
    <w:qFormat/>
    <w:uiPriority w:val="0"/>
    <w:pPr>
      <w:spacing w:beforeLines="0" w:after="120" w:afterLines="0"/>
      <w:jc w:val="left"/>
    </w:pPr>
    <w:rPr>
      <w:rFonts w:hint="eastAsia" w:ascii="宋体" w:hAnsi="宋体" w:cs="宋体"/>
      <w:kern w:val="0"/>
      <w:sz w:val="24"/>
      <w:szCs w:val="24"/>
      <w:lang w:val="en-US" w:eastAsia="zh-CN" w:bidi="ar"/>
    </w:rPr>
  </w:style>
  <w:style w:type="paragraph" w:customStyle="1" w:styleId="5">
    <w:name w:val="默认"/>
    <w:basedOn w:val="1"/>
    <w:unhideWhenUsed/>
    <w:qFormat/>
    <w:uiPriority w:val="0"/>
    <w:pPr>
      <w:spacing w:beforeLines="0" w:afterLines="0"/>
      <w:jc w:val="left"/>
    </w:pPr>
    <w:rPr>
      <w:rFonts w:hint="default" w:ascii="Helvetica" w:hAnsi="Helvetica" w:cs="Helvetica"/>
      <w:color w:val="000000"/>
      <w:kern w:val="0"/>
      <w:sz w:val="22"/>
      <w:szCs w:val="22"/>
      <w:lang w:val="en-US" w:eastAsia="zh-CN" w:bidi="ar"/>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TotalTime>
  <ScaleCrop>false</ScaleCrop>
  <LinksUpToDate>false</LinksUpToDate>
  <CharactersWithSpaces>21460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Dana1O_1O</cp:lastModifiedBy>
  <dcterms:modified xsi:type="dcterms:W3CDTF">2025-10-10T03:12:26Z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BB46EABDBB2749749395447164B066B3_12</vt:lpwstr>
  </property>
</Properties>
</file>