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重庆市石柱土家族自治县</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冷水镇文化服务中心</w:t>
      </w:r>
      <w:bookmarkStart w:id="0" w:name="_GoBack"/>
      <w:bookmarkEnd w:id="0"/>
      <w:r>
        <w:rPr>
          <w:rFonts w:hint="eastAsia" w:ascii="Times New Roman" w:hAnsi="Times New Roman" w:eastAsia="方正小标宋_GBK"/>
          <w:snapToGrid w:val="0"/>
          <w:spacing w:val="0"/>
          <w:kern w:val="21"/>
          <w:sz w:val="44"/>
          <w:szCs w:val="44"/>
        </w:rPr>
        <w:t>2023年度</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snapToGrid w:val="0"/>
          <w:spacing w:val="0"/>
          <w:kern w:val="21"/>
          <w:sz w:val="44"/>
          <w:szCs w:val="44"/>
        </w:rPr>
      </w:pPr>
      <w:r>
        <w:rPr>
          <w:rFonts w:hint="eastAsia" w:ascii="Times New Roman" w:hAnsi="Times New Roman" w:eastAsia="方正小标宋_GBK"/>
          <w:snapToGrid w:val="0"/>
          <w:spacing w:val="0"/>
          <w:kern w:val="21"/>
          <w:sz w:val="44"/>
          <w:szCs w:val="44"/>
        </w:rPr>
        <w:t>决算公开说明</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default" w:ascii="Times New Roman" w:hAnsi="Times New Roman" w:eastAsia="方正小标宋_GBK"/>
          <w:snapToGrid w:val="0"/>
          <w:spacing w:val="0"/>
          <w:kern w:val="21"/>
          <w:sz w:val="44"/>
          <w:szCs w:val="44"/>
        </w:rPr>
      </w:pP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rPr>
        <w:t>一、单位基本情况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default" w:ascii="Times New Roman" w:hAnsi="Times New Roman" w:eastAsia="方正楷体_GBK"/>
          <w:snapToGrid w:val="0"/>
          <w:kern w:val="21"/>
          <w:sz w:val="32"/>
        </w:rPr>
        <w:t>（一）职能职责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宗旨：为文化、宣传、体育等工作服务。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主要职责任务：主要承担文化、宣传、广播电视、体育、乡村旅游、科技培训等方面服务工作。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（1）承担开展文化娱乐和体育活动等方面工作，指导各村（居）开展文体活动。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（2）承担普及科学文化知识，传递经济、科技、文化信息，为当地经济建设服务。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3</w:t>
      </w:r>
      <w:r>
        <w:rPr>
          <w:rFonts w:hint="eastAsia" w:ascii="Times New Roman" w:hAnsi="Times New Roman" w:eastAsia="方正仿宋_GBK"/>
          <w:snapToGrid w:val="0"/>
          <w:kern w:val="21"/>
          <w:sz w:val="32"/>
        </w:rPr>
        <w:t>）承担广播、电视、电影方面的服务工作。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4</w:t>
      </w:r>
      <w:r>
        <w:rPr>
          <w:rFonts w:hint="eastAsia" w:ascii="Times New Roman" w:hAnsi="Times New Roman" w:eastAsia="方正仿宋_GBK"/>
          <w:snapToGrid w:val="0"/>
          <w:kern w:val="21"/>
          <w:sz w:val="32"/>
        </w:rPr>
        <w:t>）承担综合文化场地的开放和服务工作。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5</w:t>
      </w:r>
      <w:r>
        <w:rPr>
          <w:rFonts w:hint="eastAsia" w:ascii="Times New Roman" w:hAnsi="Times New Roman" w:eastAsia="方正仿宋_GBK"/>
          <w:snapToGrid w:val="0"/>
          <w:kern w:val="21"/>
          <w:sz w:val="32"/>
        </w:rPr>
        <w:t>）承担辖区内文物、非物质文化遗产的挖掘、保护等工作。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6</w:t>
      </w:r>
      <w:r>
        <w:rPr>
          <w:rFonts w:hint="eastAsia" w:ascii="Times New Roman" w:hAnsi="Times New Roman" w:eastAsia="方正仿宋_GBK"/>
          <w:snapToGrid w:val="0"/>
          <w:kern w:val="21"/>
          <w:sz w:val="32"/>
        </w:rPr>
        <w:t>）承担乡村旅游服务工作。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7</w:t>
      </w:r>
      <w:r>
        <w:rPr>
          <w:rFonts w:hint="eastAsia" w:ascii="Times New Roman" w:hAnsi="Times New Roman" w:eastAsia="方正仿宋_GBK"/>
          <w:snapToGrid w:val="0"/>
          <w:kern w:val="21"/>
          <w:sz w:val="32"/>
        </w:rPr>
        <w:t>）承办镇党委、镇政府交办的其他工作任务。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default" w:ascii="Times New Roman" w:hAnsi="Times New Roman" w:eastAsia="方正楷体_GBK"/>
          <w:snapToGrid w:val="0"/>
          <w:kern w:val="21"/>
          <w:sz w:val="32"/>
        </w:rPr>
        <w:t>（二）机构设置</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根据上述职责，设置文化服务中心财政全额拨款公益一类副科级事业单位。</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default" w:ascii="Times New Roman" w:hAnsi="Times New Roman" w:eastAsia="方正黑体_GBK"/>
          <w:snapToGrid w:val="0"/>
          <w:kern w:val="21"/>
          <w:sz w:val="32"/>
        </w:rPr>
        <w:t>二、单位决算情况说明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（一）收入支出决算总体情况说明。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1.总体情况。2023年度收入总计20.78万元，支出总计20.78万元。收支较上年决算数增加0.82万元，增长4.11%，主要原因是</w:t>
      </w:r>
      <w:r>
        <w:rPr>
          <w:rFonts w:hint="eastAsia" w:ascii="Times New Roman" w:hAnsi="Times New Roman" w:eastAsia="方正仿宋_GBK"/>
          <w:snapToGrid w:val="0"/>
          <w:kern w:val="21"/>
          <w:sz w:val="32"/>
          <w:lang w:eastAsia="zh-CN"/>
        </w:rPr>
        <w:t>工资调标，人员类经费增加，导致总体收支增长。</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2.收入情况。2023年度收入合计20.78万元，较上年决算数增加0.82万元，增长4.11%，主要原因是</w:t>
      </w:r>
      <w:r>
        <w:rPr>
          <w:rFonts w:hint="eastAsia" w:ascii="Times New Roman" w:hAnsi="Times New Roman" w:eastAsia="方正仿宋_GBK"/>
          <w:snapToGrid w:val="0"/>
          <w:kern w:val="21"/>
          <w:sz w:val="32"/>
          <w:lang w:eastAsia="zh-CN"/>
        </w:rPr>
        <w:t>工资调标，人员类经费增加，导致总体收入增长。</w:t>
      </w:r>
      <w:r>
        <w:rPr>
          <w:rFonts w:hint="default" w:ascii="Times New Roman" w:hAnsi="Times New Roman" w:eastAsia="方正仿宋_GBK"/>
          <w:snapToGrid w:val="0"/>
          <w:kern w:val="21"/>
          <w:sz w:val="32"/>
        </w:rPr>
        <w:t>其中：财政拨款收入20.78万元，占100.00%；事业收入0.00万元，占0.00%；经营收入0.00万元，占0.00%；其他收入0.00万元，占0.00%。此外，使用非财政拨款结余和专用结余0.00万元，年初结转和结余0.00万元。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3.支出情况。2023年度支出合计20.78万元，较上年决算数增加0.82万元，增长4.11%，主要原因是</w:t>
      </w:r>
      <w:r>
        <w:rPr>
          <w:rFonts w:hint="eastAsia" w:ascii="Times New Roman" w:hAnsi="Times New Roman" w:eastAsia="方正仿宋_GBK"/>
          <w:snapToGrid w:val="0"/>
          <w:kern w:val="21"/>
          <w:sz w:val="32"/>
          <w:lang w:eastAsia="zh-CN"/>
        </w:rPr>
        <w:t>工资调标，人员类经费增加，导致总体支出增长。</w:t>
      </w:r>
      <w:r>
        <w:rPr>
          <w:rFonts w:hint="default" w:ascii="Times New Roman" w:hAnsi="Times New Roman" w:eastAsia="方正仿宋_GBK"/>
          <w:snapToGrid w:val="0"/>
          <w:kern w:val="21"/>
          <w:sz w:val="32"/>
        </w:rPr>
        <w:t>其中：基本支出20.78万元，占100.00%；项目支出0.00万元，占0.00%；经营支出0.00万元，占0.00%。此外，结余分配0.00万元。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4.结转结余情况。2023年度年末结转和结余0.00万元，较上年决算数无增减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（二）财政拨款收入支出决算总体情况说明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2023年度财政拨款收、支总计20.78万元。与2022年相比，财政拨款收、支总计各增加0.82万元，增长4.11%。主要原因是</w:t>
      </w:r>
      <w:r>
        <w:rPr>
          <w:rFonts w:hint="eastAsia" w:ascii="Times New Roman" w:hAnsi="Times New Roman" w:eastAsia="方正仿宋_GBK"/>
          <w:snapToGrid w:val="0"/>
          <w:kern w:val="21"/>
          <w:sz w:val="32"/>
          <w:lang w:eastAsia="zh-CN"/>
        </w:rPr>
        <w:t>工资调标，人员类经费增加，导致总体收支增长。</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（三）一般公共预算财政拨款收入支出决算情况说明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1.收入情况。2023年度一般公共预算财政拨款收入20.78万元，较上年决算数增加0.82万元，增长4.11%。主要原因是</w:t>
      </w:r>
      <w:r>
        <w:rPr>
          <w:rFonts w:hint="eastAsia" w:ascii="Times New Roman" w:hAnsi="Times New Roman" w:eastAsia="方正仿宋_GBK"/>
          <w:snapToGrid w:val="0"/>
          <w:kern w:val="21"/>
          <w:sz w:val="32"/>
          <w:lang w:eastAsia="zh-CN"/>
        </w:rPr>
        <w:t>工资调标，人员类经费增加，导致总体收入增长。</w:t>
      </w:r>
      <w:r>
        <w:rPr>
          <w:rFonts w:hint="default" w:ascii="Times New Roman" w:hAnsi="Times New Roman" w:eastAsia="方正仿宋_GBK"/>
          <w:snapToGrid w:val="0"/>
          <w:kern w:val="21"/>
          <w:sz w:val="32"/>
        </w:rPr>
        <w:t>较年初预算数增加3.51万元，增长20.32%。</w:t>
      </w:r>
      <w:r>
        <w:rPr>
          <w:rFonts w:hint="default" w:ascii="Times New Roman" w:hAnsi="Times New Roman" w:eastAsia="方正仿宋_GBK"/>
          <w:snapToGrid w:val="0"/>
          <w:color w:val="auto"/>
          <w:kern w:val="21"/>
          <w:sz w:val="32"/>
        </w:rPr>
        <w:t>主要原因是</w:t>
      </w:r>
      <w:r>
        <w:rPr>
          <w:rFonts w:hint="eastAsia" w:ascii="Times New Roman" w:hAnsi="Times New Roman" w:eastAsia="方正仿宋_GBK"/>
          <w:snapToGrid w:val="0"/>
          <w:color w:val="auto"/>
          <w:kern w:val="21"/>
          <w:sz w:val="32"/>
          <w:lang w:eastAsia="zh-CN"/>
        </w:rPr>
        <w:t>工资调标，补发全额拨款机关事业单位准备期和征缴期职业年金欠费资金。</w:t>
      </w:r>
      <w:r>
        <w:rPr>
          <w:rFonts w:hint="default" w:ascii="Times New Roman" w:hAnsi="Times New Roman" w:eastAsia="方正仿宋_GBK"/>
          <w:snapToGrid w:val="0"/>
          <w:kern w:val="21"/>
          <w:sz w:val="32"/>
        </w:rPr>
        <w:t>此外，年初财政拨款结转和结余0.00万元。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2.支出情况。2023年度一般公共预算财政拨款支出20.78万元，较上年决算数增加0.82万元，增长4.11%。主要原因是</w:t>
      </w:r>
      <w:r>
        <w:rPr>
          <w:rFonts w:hint="eastAsia" w:ascii="Times New Roman" w:hAnsi="Times New Roman" w:eastAsia="方正仿宋_GBK"/>
          <w:snapToGrid w:val="0"/>
          <w:kern w:val="21"/>
          <w:sz w:val="32"/>
          <w:lang w:eastAsia="zh-CN"/>
        </w:rPr>
        <w:t>工资调标，人员类经费增加，导致总体支出增长。</w:t>
      </w:r>
      <w:r>
        <w:rPr>
          <w:rFonts w:hint="default" w:ascii="Times New Roman" w:hAnsi="Times New Roman" w:eastAsia="方正仿宋_GBK"/>
          <w:snapToGrid w:val="0"/>
          <w:kern w:val="21"/>
          <w:sz w:val="32"/>
        </w:rPr>
        <w:t>较年初预算数增加3.51万元，增长20.32%。</w:t>
      </w:r>
      <w:r>
        <w:rPr>
          <w:rFonts w:hint="default" w:ascii="Times New Roman" w:hAnsi="Times New Roman" w:eastAsia="方正仿宋_GBK"/>
          <w:snapToGrid w:val="0"/>
          <w:kern w:val="21"/>
          <w:sz w:val="32"/>
          <w:lang w:eastAsia="zh-CN"/>
        </w:rPr>
        <w:t>主要原因是</w:t>
      </w:r>
      <w:r>
        <w:rPr>
          <w:rFonts w:hint="eastAsia" w:ascii="Times New Roman" w:hAnsi="Times New Roman" w:eastAsia="方正仿宋_GBK"/>
          <w:snapToGrid w:val="0"/>
          <w:kern w:val="21"/>
          <w:sz w:val="32"/>
          <w:lang w:eastAsia="zh-CN"/>
        </w:rPr>
        <w:t>工资调标，补发全额拨款机关事业单位准备期和征缴期职业年金欠费资金。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3.结转结余情况。2023年度年末一般公共预算财政拨款结转和结余0.00万元，较上年决算数无增减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 xml:space="preserve"> 4.比较情况。本单位2023年度一般公共预算财政拨款支出主要用于以下几个方面：</w:t>
      </w:r>
    </w:p>
    <w:p>
      <w:pPr>
        <w:pStyle w:val="6"/>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）文化旅游体育与传媒支出15.75万元，占75.78%，较年初预算数增加2.03万元，增长14.80%，主要原因是</w:t>
      </w:r>
      <w:r>
        <w:rPr>
          <w:rFonts w:hint="eastAsia" w:ascii="Times New Roman" w:hAnsi="Times New Roman" w:eastAsia="方正仿宋_GBK" w:cs="Times New Roman"/>
          <w:snapToGrid w:val="0"/>
          <w:kern w:val="21"/>
          <w:sz w:val="32"/>
          <w:szCs w:val="24"/>
          <w:lang w:val="en-US" w:eastAsia="zh-CN" w:bidi="ar-SA"/>
        </w:rPr>
        <w:t>工资调标，工资、社保等人员类经费支出增加。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2</w:t>
      </w:r>
      <w:r>
        <w:rPr>
          <w:rFonts w:hint="default" w:ascii="Times New Roman" w:hAnsi="Times New Roman" w:eastAsia="方正仿宋_GBK"/>
          <w:snapToGrid w:val="0"/>
          <w:kern w:val="21"/>
          <w:sz w:val="32"/>
        </w:rPr>
        <w:t>）社会保障与就业支出3.17万元，占15.26%，较年初预算数增加1.40万元，增长79.10%，主要原因是</w:t>
      </w:r>
      <w:r>
        <w:rPr>
          <w:rFonts w:hint="eastAsia" w:ascii="Times New Roman" w:hAnsi="Times New Roman" w:eastAsia="方正仿宋_GBK"/>
          <w:snapToGrid w:val="0"/>
          <w:kern w:val="21"/>
          <w:sz w:val="32"/>
          <w:lang w:eastAsia="zh-CN"/>
        </w:rPr>
        <w:t>工资调标，补发全额拨款机关事业单位准备期和征缴期职业年金欠费资金。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3</w:t>
      </w:r>
      <w:r>
        <w:rPr>
          <w:rFonts w:hint="default" w:ascii="Times New Roman" w:hAnsi="Times New Roman" w:eastAsia="方正仿宋_GBK"/>
          <w:snapToGrid w:val="0"/>
          <w:kern w:val="21"/>
          <w:sz w:val="32"/>
        </w:rPr>
        <w:t>）卫生健康支出0.94万元，占4.52%，较年初预算数增加0.03万元，增长3.30%，主要原因是</w:t>
      </w:r>
      <w:r>
        <w:rPr>
          <w:rFonts w:hint="eastAsia" w:ascii="Times New Roman" w:hAnsi="Times New Roman" w:eastAsia="方正仿宋_GBK"/>
          <w:snapToGrid w:val="0"/>
          <w:kern w:val="21"/>
          <w:sz w:val="32"/>
          <w:lang w:eastAsia="zh-CN"/>
        </w:rPr>
        <w:t>工资调标，医疗支出增加。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w:t>
      </w:r>
      <w:r>
        <w:rPr>
          <w:rFonts w:hint="eastAsia" w:ascii="Times New Roman" w:hAnsi="Times New Roman" w:eastAsia="方正仿宋_GBK"/>
          <w:snapToGrid w:val="0"/>
          <w:kern w:val="21"/>
          <w:sz w:val="32"/>
          <w:lang w:val="en-US" w:eastAsia="zh-CN"/>
        </w:rPr>
        <w:t>4</w:t>
      </w:r>
      <w:r>
        <w:rPr>
          <w:rFonts w:hint="default" w:ascii="Times New Roman" w:hAnsi="Times New Roman" w:eastAsia="方正仿宋_GBK"/>
          <w:snapToGrid w:val="0"/>
          <w:kern w:val="21"/>
          <w:sz w:val="32"/>
        </w:rPr>
        <w:t>）住房保障支出0.92万元，占4.44%，较年初预算数增加0.04万元，增长4.55%，主要原因是</w:t>
      </w:r>
      <w:r>
        <w:rPr>
          <w:rFonts w:hint="eastAsia" w:ascii="Times New Roman" w:hAnsi="Times New Roman" w:eastAsia="方正仿宋_GBK"/>
          <w:snapToGrid w:val="0"/>
          <w:kern w:val="21"/>
          <w:sz w:val="32"/>
          <w:lang w:eastAsia="zh-CN"/>
        </w:rPr>
        <w:t>工资调标，住房公积金支出增加。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（四）一般公共预算财政拨款基本支出决算情况说明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 2023年度一般公共财政拨款基本支出20.78万元。其中：人员经费18.63万元，较上年决算数增加0.84万元，增长4.72%，主要原因是</w:t>
      </w:r>
      <w:r>
        <w:rPr>
          <w:rFonts w:hint="eastAsia" w:ascii="Times New Roman" w:hAnsi="Times New Roman" w:eastAsia="方正仿宋_GBK"/>
          <w:snapToGrid w:val="0"/>
          <w:kern w:val="21"/>
          <w:sz w:val="32"/>
          <w:lang w:eastAsia="zh-CN"/>
        </w:rPr>
        <w:t>工资调标，人员类经费增加。</w:t>
      </w:r>
      <w:r>
        <w:rPr>
          <w:rFonts w:hint="default" w:ascii="Times New Roman" w:hAnsi="Times New Roman" w:eastAsia="方正仿宋_GBK"/>
          <w:snapToGrid w:val="0"/>
          <w:kern w:val="21"/>
          <w:sz w:val="32"/>
        </w:rPr>
        <w:t>人员经费用途主要包括</w:t>
      </w:r>
      <w:r>
        <w:rPr>
          <w:rFonts w:hint="eastAsia" w:ascii="Times New Roman" w:hAnsi="Times New Roman" w:eastAsia="方正仿宋_GBK"/>
          <w:snapToGrid w:val="0"/>
          <w:kern w:val="21"/>
          <w:sz w:val="32"/>
        </w:rPr>
        <w:t>基本工资、津贴补贴、社会保障缴费、住房公积金</w:t>
      </w:r>
      <w:r>
        <w:rPr>
          <w:rFonts w:hint="eastAsia" w:ascii="Times New Roman" w:hAnsi="Times New Roman" w:eastAsia="方正仿宋_GBK"/>
          <w:snapToGrid w:val="0"/>
          <w:kern w:val="21"/>
          <w:sz w:val="32"/>
          <w:lang w:eastAsia="zh-CN"/>
        </w:rPr>
        <w:t>等。</w:t>
      </w:r>
      <w:r>
        <w:rPr>
          <w:rFonts w:hint="default" w:ascii="Times New Roman" w:hAnsi="Times New Roman" w:eastAsia="方正仿宋_GBK"/>
          <w:snapToGrid w:val="0"/>
          <w:kern w:val="21"/>
          <w:sz w:val="32"/>
        </w:rPr>
        <w:t>公用经费2.15万元，较上年决算数减少0.02万元，下降0.92%，主要原因是</w:t>
      </w:r>
      <w:r>
        <w:rPr>
          <w:rFonts w:hint="eastAsia" w:ascii="Times New Roman" w:hAnsi="Times New Roman" w:eastAsia="方正仿宋_GBK"/>
          <w:snapToGrid w:val="0"/>
          <w:kern w:val="21"/>
          <w:sz w:val="32"/>
          <w:lang w:eastAsia="zh-CN"/>
        </w:rPr>
        <w:t>厉行节约，减少不必要开支。</w:t>
      </w:r>
      <w:r>
        <w:rPr>
          <w:rFonts w:hint="default" w:ascii="Times New Roman" w:hAnsi="Times New Roman" w:eastAsia="方正仿宋_GBK"/>
          <w:snapToGrid w:val="0"/>
          <w:kern w:val="21"/>
          <w:sz w:val="32"/>
        </w:rPr>
        <w:t>公用经费用途主要包括</w:t>
      </w:r>
      <w:r>
        <w:rPr>
          <w:rFonts w:hint="eastAsia" w:ascii="Times New Roman" w:hAnsi="Times New Roman" w:eastAsia="方正仿宋_GBK"/>
          <w:snapToGrid w:val="0"/>
          <w:kern w:val="21"/>
          <w:sz w:val="32"/>
        </w:rPr>
        <w:t>办公费、</w:t>
      </w:r>
      <w:r>
        <w:rPr>
          <w:rFonts w:hint="eastAsia" w:ascii="Times New Roman" w:hAnsi="Times New Roman" w:eastAsia="方正仿宋_GBK"/>
          <w:snapToGrid w:val="0"/>
          <w:kern w:val="21"/>
          <w:sz w:val="32"/>
          <w:lang w:eastAsia="zh-CN"/>
        </w:rPr>
        <w:t>水电费</w:t>
      </w:r>
      <w:r>
        <w:rPr>
          <w:rFonts w:hint="eastAsia" w:ascii="Times New Roman" w:hAnsi="Times New Roman" w:eastAsia="方正仿宋_GBK"/>
          <w:snapToGrid w:val="0"/>
          <w:kern w:val="21"/>
          <w:sz w:val="32"/>
        </w:rPr>
        <w:t>、</w:t>
      </w:r>
      <w:r>
        <w:rPr>
          <w:rFonts w:hint="eastAsia" w:ascii="Times New Roman" w:hAnsi="Times New Roman" w:eastAsia="方正仿宋_GBK"/>
          <w:snapToGrid w:val="0"/>
          <w:kern w:val="21"/>
          <w:sz w:val="32"/>
          <w:lang w:eastAsia="zh-CN"/>
        </w:rPr>
        <w:t>培训费、差旅费</w:t>
      </w:r>
      <w:r>
        <w:rPr>
          <w:rFonts w:hint="eastAsia" w:ascii="Times New Roman" w:hAnsi="Times New Roman" w:eastAsia="方正仿宋_GBK"/>
          <w:snapToGrid w:val="0"/>
          <w:kern w:val="21"/>
          <w:sz w:val="32"/>
        </w:rPr>
        <w:t>、工会经费等。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（五）政府性基金预算收支决算情况说明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lang w:val="en-US" w:eastAsia="zh-CN"/>
        </w:rPr>
      </w:pPr>
      <w:r>
        <w:rPr>
          <w:rFonts w:hint="eastAsia" w:ascii="Times New Roman" w:hAnsi="Times New Roman" w:eastAsia="方正仿宋_GBK"/>
          <w:snapToGrid w:val="0"/>
          <w:kern w:val="21"/>
          <w:sz w:val="32"/>
          <w:lang w:val="en-US" w:eastAsia="zh-CN"/>
        </w:rPr>
        <w:t>本单位2023年度无政府性基金预算财政拨款收支。</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（六）国有资本经营预算财政拨款支出决算情况说明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lang w:val="en-US" w:eastAsia="zh-CN"/>
        </w:rPr>
      </w:pPr>
      <w:r>
        <w:rPr>
          <w:rFonts w:hint="eastAsia" w:ascii="Times New Roman" w:hAnsi="Times New Roman" w:eastAsia="方正仿宋_GBK"/>
          <w:snapToGrid w:val="0"/>
          <w:kern w:val="21"/>
          <w:sz w:val="32"/>
          <w:lang w:val="en-US" w:eastAsia="zh-CN"/>
        </w:rPr>
        <w:t>本单位2023年度无国有资本经营预算财政拨款支出。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rPr>
        <w:t>三、“三公”经费情况说明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（一）“三公”经费支出总体情况说明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2023年度“三公”经费支出共计0.00万元，较年初预算数无增减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（二）</w:t>
      </w:r>
      <w:r>
        <w:rPr>
          <w:rFonts w:hint="eastAsia" w:ascii="Times New Roman" w:hAnsi="Times New Roman" w:eastAsia="方正楷体_GBK"/>
          <w:snapToGrid w:val="0"/>
          <w:kern w:val="21"/>
          <w:sz w:val="32"/>
        </w:rPr>
        <w:t>“三公”经费分项支出情况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2023年度本单位因公出国（境）费用0.00万元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公务车购置费0.00万元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费用支出较年初预算数无增减。较上年支出数无增减。</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公务车运行维护费0.00万元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公务接待费0.00万元</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费用支出较年初预算数无增减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较上年支出数无增减</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（三）“三公”经费实物量情况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rPr>
        <w:t>四、其他需要说明的事项</w:t>
      </w:r>
    </w:p>
    <w:p>
      <w:pPr>
        <w:pStyle w:val="11"/>
        <w:keepNext w:val="0"/>
        <w:keepLines w:val="0"/>
        <w:pageBreakBefore w:val="0"/>
        <w:widowControl/>
        <w:kinsoku/>
        <w:wordWrap/>
        <w:overflowPunct/>
        <w:topLinePunct w:val="0"/>
        <w:autoSpaceDE w:val="0"/>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napToGrid w:val="0"/>
          <w:kern w:val="21"/>
          <w:sz w:val="32"/>
          <w:szCs w:val="32"/>
          <w:lang w:val="en-US" w:eastAsia="zh-CN" w:bidi="ar-SA"/>
        </w:rPr>
      </w:pPr>
      <w:r>
        <w:rPr>
          <w:rFonts w:hint="eastAsia" w:ascii="Times New Roman" w:hAnsi="Times New Roman" w:eastAsia="方正楷体_GBK" w:cs="Times New Roman"/>
          <w:snapToGrid w:val="0"/>
          <w:kern w:val="21"/>
          <w:sz w:val="32"/>
          <w:szCs w:val="32"/>
          <w:lang w:val="en-US" w:eastAsia="zh-CN" w:bidi="ar-SA"/>
        </w:rPr>
        <w:t>（一）财政拨款会议费和培训费情况说明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eastAsia="zh-CN"/>
        </w:rPr>
      </w:pPr>
      <w:r>
        <w:rPr>
          <w:rFonts w:hint="default" w:ascii="Times New Roman" w:hAnsi="Times New Roman" w:eastAsia="方正仿宋_GBK"/>
          <w:snapToGrid w:val="0"/>
          <w:kern w:val="21"/>
          <w:sz w:val="32"/>
        </w:rPr>
        <w:t>  本年度会议费支出0.00万元，较上年决算数无增减</w:t>
      </w:r>
      <w:r>
        <w:rPr>
          <w:rFonts w:hint="eastAsia" w:ascii="Times New Roman" w:hAnsi="Times New Roman" w:eastAsia="方正仿宋_GBK"/>
          <w:snapToGrid w:val="0"/>
          <w:kern w:val="21"/>
          <w:sz w:val="32"/>
          <w:lang w:eastAsia="zh-CN"/>
        </w:rPr>
        <w:t>。</w:t>
      </w:r>
      <w:r>
        <w:rPr>
          <w:rFonts w:hint="default" w:ascii="Times New Roman" w:hAnsi="Times New Roman" w:eastAsia="方正仿宋_GBK"/>
          <w:snapToGrid w:val="0"/>
          <w:kern w:val="21"/>
          <w:sz w:val="32"/>
        </w:rPr>
        <w:t>本年度培训费支出0.00万元，较上年决算数无变化</w:t>
      </w:r>
      <w:r>
        <w:rPr>
          <w:rFonts w:hint="eastAsia" w:ascii="Times New Roman" w:hAnsi="Times New Roman" w:eastAsia="方正仿宋_GBK"/>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（二）机关运行经费情况说明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按照部门决算列报口径，我单位不在机关运行经费统计范围之内。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（三）国有资产占用情况说明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（四）政府采购支出情况说明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snapToGrid w:val="0"/>
          <w:kern w:val="21"/>
          <w:sz w:val="32"/>
        </w:rPr>
      </w:pPr>
      <w:r>
        <w:rPr>
          <w:rFonts w:hint="default" w:ascii="Times New Roman" w:hAnsi="Times New Roman" w:eastAsia="方正仿宋_GBK"/>
          <w:snapToGrid w:val="0"/>
          <w:kern w:val="21"/>
          <w:sz w:val="32"/>
        </w:rPr>
        <w:t>2023年度我单位未发生政府采购事项，无相关经费支出。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五、</w:t>
      </w:r>
      <w:r>
        <w:rPr>
          <w:rFonts w:hint="eastAsia" w:ascii="Times New Roman" w:hAnsi="Times New Roman" w:eastAsia="方正黑体_GBK"/>
          <w:snapToGrid w:val="0"/>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（一）</w:t>
      </w:r>
      <w:r>
        <w:rPr>
          <w:rFonts w:hint="eastAsia" w:ascii="Times New Roman" w:hAnsi="Times New Roman" w:eastAsia="方正楷体_GBK"/>
          <w:snapToGrid w:val="0"/>
          <w:kern w:val="21"/>
          <w:sz w:val="32"/>
        </w:rPr>
        <w:t>单位自评情况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lang w:val="en-US" w:eastAsia="zh-CN"/>
        </w:rPr>
        <w:t>本单位不涉及。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（二）单位绩效评价情况</w:t>
      </w:r>
    </w:p>
    <w:p>
      <w:pPr>
        <w:pStyle w:val="6"/>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我单位未组织开展绩效评价。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（三）财政绩效评价情况</w:t>
      </w:r>
    </w:p>
    <w:p>
      <w:pPr>
        <w:pStyle w:val="11"/>
        <w:keepNext w:val="0"/>
        <w:keepLines w:val="0"/>
        <w:pageBreakBefore w:val="0"/>
        <w:kinsoku/>
        <w:wordWrap/>
        <w:overflowPunct/>
        <w:autoSpaceDE w:val="0"/>
        <w:autoSpaceDN/>
        <w:bidi w:val="0"/>
        <w:adjustRightInd/>
        <w:spacing w:beforeAutospacing="0" w:afterAutospacing="0" w:line="594" w:lineRule="exact"/>
        <w:ind w:left="0" w:leftChars="0" w:firstLine="640" w:firstLineChars="200"/>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3" w:firstLineChars="200"/>
        <w:jc w:val="both"/>
        <w:textAlignment w:val="auto"/>
        <w:rPr>
          <w:rFonts w:hint="eastAsia" w:ascii="Times New Roman" w:hAnsi="Times New Roman" w:eastAsia="方正黑体_GBK"/>
          <w:snapToGrid w:val="0"/>
          <w:kern w:val="21"/>
          <w:sz w:val="32"/>
          <w:lang w:val="en-US" w:eastAsia="zh-CN"/>
        </w:rPr>
      </w:pPr>
      <w:r>
        <w:rPr>
          <w:rStyle w:val="10"/>
          <w:rFonts w:ascii="方正仿宋_GBK" w:hAnsi="方正仿宋_GBK" w:eastAsia="方正仿宋_GBK" w:cs="方正仿宋_GBK"/>
          <w:sz w:val="32"/>
          <w:szCs w:val="32"/>
          <w:shd w:val="clear" w:color="auto" w:fill="FFFFFF"/>
        </w:rPr>
        <w:t> </w:t>
      </w: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z w:val="32"/>
          <w:szCs w:val="32"/>
          <w:shd w:val="clear" w:color="auto" w:fill="FFFF00"/>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11"/>
        <w:keepNext w:val="0"/>
        <w:keepLines w:val="0"/>
        <w:pageBreakBefore w:val="0"/>
        <w:kinsoku/>
        <w:wordWrap/>
        <w:overflowPunct/>
        <w:autoSpaceDE w:val="0"/>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重庆市石柱土家族自治县冷水镇文化服务中心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重庆市石柱土家族自治县冷水镇文化服务中心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重庆市石柱土家族自治县冷水镇文化服务中心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18.63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重庆市石柱土家族自治县冷水镇文化服务中心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6548B4"/>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3FC0C17"/>
    <w:rsid w:val="044C50BA"/>
    <w:rsid w:val="050B2FD3"/>
    <w:rsid w:val="05BC6D49"/>
    <w:rsid w:val="06194FF1"/>
    <w:rsid w:val="06A2550B"/>
    <w:rsid w:val="06F80EE2"/>
    <w:rsid w:val="07001CCA"/>
    <w:rsid w:val="075678DB"/>
    <w:rsid w:val="079D7CC7"/>
    <w:rsid w:val="08051BCA"/>
    <w:rsid w:val="086C12F4"/>
    <w:rsid w:val="08705944"/>
    <w:rsid w:val="08BA052C"/>
    <w:rsid w:val="08DB07BA"/>
    <w:rsid w:val="0969353F"/>
    <w:rsid w:val="098305D0"/>
    <w:rsid w:val="098D603B"/>
    <w:rsid w:val="0A3317EA"/>
    <w:rsid w:val="0A5C4B69"/>
    <w:rsid w:val="0A86124A"/>
    <w:rsid w:val="0AB54CC0"/>
    <w:rsid w:val="0B9335CE"/>
    <w:rsid w:val="0BF2311A"/>
    <w:rsid w:val="0C7927C4"/>
    <w:rsid w:val="0C9B098C"/>
    <w:rsid w:val="0D673E11"/>
    <w:rsid w:val="0DDA54E4"/>
    <w:rsid w:val="0E3A5F83"/>
    <w:rsid w:val="0E991F00"/>
    <w:rsid w:val="0F836721"/>
    <w:rsid w:val="0FA25D96"/>
    <w:rsid w:val="107B59E5"/>
    <w:rsid w:val="10EC0126"/>
    <w:rsid w:val="10F70B9A"/>
    <w:rsid w:val="111445C7"/>
    <w:rsid w:val="114278C6"/>
    <w:rsid w:val="1158083A"/>
    <w:rsid w:val="11643A4B"/>
    <w:rsid w:val="118A0054"/>
    <w:rsid w:val="11ED0F98"/>
    <w:rsid w:val="11F03528"/>
    <w:rsid w:val="12C921C4"/>
    <w:rsid w:val="13871C70"/>
    <w:rsid w:val="13A71CB4"/>
    <w:rsid w:val="13AF1D43"/>
    <w:rsid w:val="13B65166"/>
    <w:rsid w:val="13CE1647"/>
    <w:rsid w:val="13FD55AB"/>
    <w:rsid w:val="14200702"/>
    <w:rsid w:val="14E36AD2"/>
    <w:rsid w:val="156B3533"/>
    <w:rsid w:val="16321C77"/>
    <w:rsid w:val="163A6CEE"/>
    <w:rsid w:val="16C54A69"/>
    <w:rsid w:val="173708E3"/>
    <w:rsid w:val="17C374FC"/>
    <w:rsid w:val="17EE79CE"/>
    <w:rsid w:val="182E4AB6"/>
    <w:rsid w:val="189079DC"/>
    <w:rsid w:val="189B0D0B"/>
    <w:rsid w:val="18B43F7C"/>
    <w:rsid w:val="194A1770"/>
    <w:rsid w:val="19B906A4"/>
    <w:rsid w:val="1A034EBB"/>
    <w:rsid w:val="1B6F15B6"/>
    <w:rsid w:val="1BAA2EDC"/>
    <w:rsid w:val="1C186B24"/>
    <w:rsid w:val="1C4850F5"/>
    <w:rsid w:val="1CA3450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4052E2"/>
    <w:rsid w:val="24B92327"/>
    <w:rsid w:val="24C14514"/>
    <w:rsid w:val="2533755C"/>
    <w:rsid w:val="25791755"/>
    <w:rsid w:val="26396DF4"/>
    <w:rsid w:val="27167136"/>
    <w:rsid w:val="271B442C"/>
    <w:rsid w:val="27B23302"/>
    <w:rsid w:val="28092CBD"/>
    <w:rsid w:val="29310A5F"/>
    <w:rsid w:val="29C37A35"/>
    <w:rsid w:val="2A076083"/>
    <w:rsid w:val="2A73162E"/>
    <w:rsid w:val="2B167953"/>
    <w:rsid w:val="2B200583"/>
    <w:rsid w:val="2B8209DE"/>
    <w:rsid w:val="2C636760"/>
    <w:rsid w:val="2C6762A3"/>
    <w:rsid w:val="2F7431E9"/>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A21BD"/>
    <w:rsid w:val="352930DB"/>
    <w:rsid w:val="35573069"/>
    <w:rsid w:val="355F6038"/>
    <w:rsid w:val="358C217E"/>
    <w:rsid w:val="35D65462"/>
    <w:rsid w:val="36397704"/>
    <w:rsid w:val="36C9128A"/>
    <w:rsid w:val="37841E99"/>
    <w:rsid w:val="378F2234"/>
    <w:rsid w:val="37BF1123"/>
    <w:rsid w:val="383C3F15"/>
    <w:rsid w:val="38BE4696"/>
    <w:rsid w:val="3939115E"/>
    <w:rsid w:val="39B82A39"/>
    <w:rsid w:val="39C42CA8"/>
    <w:rsid w:val="39DC4FD6"/>
    <w:rsid w:val="39F03D7A"/>
    <w:rsid w:val="39F33306"/>
    <w:rsid w:val="3A2C1C67"/>
    <w:rsid w:val="3AAF6123"/>
    <w:rsid w:val="3ADD7F09"/>
    <w:rsid w:val="3B1705E5"/>
    <w:rsid w:val="3B18334B"/>
    <w:rsid w:val="3B36794F"/>
    <w:rsid w:val="3B6F6EE0"/>
    <w:rsid w:val="3C566AD6"/>
    <w:rsid w:val="3C594871"/>
    <w:rsid w:val="3C6A5B02"/>
    <w:rsid w:val="3D2757A1"/>
    <w:rsid w:val="3D3D4FC4"/>
    <w:rsid w:val="3D5A2CB5"/>
    <w:rsid w:val="3DDF3AB1"/>
    <w:rsid w:val="3E1D0952"/>
    <w:rsid w:val="3E42660A"/>
    <w:rsid w:val="3E7555B1"/>
    <w:rsid w:val="3E787ED9"/>
    <w:rsid w:val="3F032E93"/>
    <w:rsid w:val="3F0527E5"/>
    <w:rsid w:val="3F694D83"/>
    <w:rsid w:val="3F885DCC"/>
    <w:rsid w:val="3FCD675E"/>
    <w:rsid w:val="4004000C"/>
    <w:rsid w:val="40107D2A"/>
    <w:rsid w:val="40BD5482"/>
    <w:rsid w:val="411B6CE5"/>
    <w:rsid w:val="412070D7"/>
    <w:rsid w:val="41314E40"/>
    <w:rsid w:val="41E0734B"/>
    <w:rsid w:val="426C1EA8"/>
    <w:rsid w:val="42736402"/>
    <w:rsid w:val="42E86A87"/>
    <w:rsid w:val="43307B09"/>
    <w:rsid w:val="439A3EB9"/>
    <w:rsid w:val="43BB152F"/>
    <w:rsid w:val="443E2003"/>
    <w:rsid w:val="44C37687"/>
    <w:rsid w:val="45C1217F"/>
    <w:rsid w:val="45CB699A"/>
    <w:rsid w:val="465B470D"/>
    <w:rsid w:val="469D6AD4"/>
    <w:rsid w:val="471E6C84"/>
    <w:rsid w:val="4748792B"/>
    <w:rsid w:val="475D719D"/>
    <w:rsid w:val="475F0927"/>
    <w:rsid w:val="47674801"/>
    <w:rsid w:val="48225EF7"/>
    <w:rsid w:val="488F422B"/>
    <w:rsid w:val="48E36915"/>
    <w:rsid w:val="48EB6572"/>
    <w:rsid w:val="495C4A24"/>
    <w:rsid w:val="497135DF"/>
    <w:rsid w:val="4A263DF2"/>
    <w:rsid w:val="4A6F6675"/>
    <w:rsid w:val="4B135857"/>
    <w:rsid w:val="4B7951CB"/>
    <w:rsid w:val="4B7C315C"/>
    <w:rsid w:val="4BC30C32"/>
    <w:rsid w:val="4DAC4ACA"/>
    <w:rsid w:val="4DBE01D2"/>
    <w:rsid w:val="4DD22597"/>
    <w:rsid w:val="4F0C6BA3"/>
    <w:rsid w:val="4F186D58"/>
    <w:rsid w:val="50A53BDC"/>
    <w:rsid w:val="50F06B6E"/>
    <w:rsid w:val="51555F7E"/>
    <w:rsid w:val="51D21804"/>
    <w:rsid w:val="52023B18"/>
    <w:rsid w:val="52234D33"/>
    <w:rsid w:val="522F6E0C"/>
    <w:rsid w:val="52463BA1"/>
    <w:rsid w:val="52F163D4"/>
    <w:rsid w:val="531A2DB4"/>
    <w:rsid w:val="53C0244D"/>
    <w:rsid w:val="53C23AF9"/>
    <w:rsid w:val="53DD4D4E"/>
    <w:rsid w:val="53E578CE"/>
    <w:rsid w:val="541330F0"/>
    <w:rsid w:val="54272666"/>
    <w:rsid w:val="543B029D"/>
    <w:rsid w:val="54861779"/>
    <w:rsid w:val="552256E1"/>
    <w:rsid w:val="554E5773"/>
    <w:rsid w:val="555829E0"/>
    <w:rsid w:val="555A3CBC"/>
    <w:rsid w:val="55633225"/>
    <w:rsid w:val="5582012B"/>
    <w:rsid w:val="558E4E05"/>
    <w:rsid w:val="559823FB"/>
    <w:rsid w:val="55BE2E85"/>
    <w:rsid w:val="55C51FC5"/>
    <w:rsid w:val="561D2654"/>
    <w:rsid w:val="56530F5D"/>
    <w:rsid w:val="567700D3"/>
    <w:rsid w:val="56FF7E9E"/>
    <w:rsid w:val="578867FC"/>
    <w:rsid w:val="5842572D"/>
    <w:rsid w:val="590B7824"/>
    <w:rsid w:val="5A3B59D6"/>
    <w:rsid w:val="5AD134D8"/>
    <w:rsid w:val="5C263CE4"/>
    <w:rsid w:val="5C5D2777"/>
    <w:rsid w:val="5CF66BF3"/>
    <w:rsid w:val="5D290C69"/>
    <w:rsid w:val="5D3F1487"/>
    <w:rsid w:val="5DFE0699"/>
    <w:rsid w:val="5EF665D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5A7287"/>
    <w:rsid w:val="6A6C7940"/>
    <w:rsid w:val="6AAD2300"/>
    <w:rsid w:val="6B474EF5"/>
    <w:rsid w:val="6B8C3281"/>
    <w:rsid w:val="6C0A5AC5"/>
    <w:rsid w:val="6C560CAE"/>
    <w:rsid w:val="6C576495"/>
    <w:rsid w:val="6D903FF5"/>
    <w:rsid w:val="6DA955B8"/>
    <w:rsid w:val="6DE346AB"/>
    <w:rsid w:val="6DE5391A"/>
    <w:rsid w:val="6EFD1324"/>
    <w:rsid w:val="6F5A53AC"/>
    <w:rsid w:val="6FAC003D"/>
    <w:rsid w:val="6FE55E12"/>
    <w:rsid w:val="6FFB2E76"/>
    <w:rsid w:val="70054354"/>
    <w:rsid w:val="708F6F7F"/>
    <w:rsid w:val="70D94BD3"/>
    <w:rsid w:val="719F7978"/>
    <w:rsid w:val="71C34D91"/>
    <w:rsid w:val="720C252B"/>
    <w:rsid w:val="72D231ED"/>
    <w:rsid w:val="72DB435C"/>
    <w:rsid w:val="72E2613A"/>
    <w:rsid w:val="72F771F4"/>
    <w:rsid w:val="73934AD2"/>
    <w:rsid w:val="742D382A"/>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E710F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2024-10-15T02:32:59Z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