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重庆市石柱土家族自治县</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冷水镇农业服务中心2023年度</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决算公开说明</w:t>
      </w:r>
    </w:p>
    <w:p>
      <w:pPr>
        <w:keepNext w:val="0"/>
        <w:keepLines w:val="0"/>
        <w:pageBreakBefore w:val="0"/>
        <w:widowControl w:val="0"/>
        <w:kinsoku/>
        <w:wordWrap/>
        <w:overflowPunct/>
        <w:topLinePunct/>
        <w:autoSpaceDE w:val="0"/>
        <w:autoSpaceDN/>
        <w:bidi w:val="0"/>
        <w:adjustRightInd/>
        <w:snapToGrid w:val="0"/>
        <w:spacing w:beforeAutospacing="0" w:afterAutospacing="0" w:line="594" w:lineRule="exact"/>
        <w:ind w:firstLine="880" w:firstLineChars="200"/>
        <w:jc w:val="center"/>
        <w:textAlignment w:val="auto"/>
        <w:rPr>
          <w:rFonts w:hint="default" w:ascii="Times New Roman" w:hAnsi="Times New Roman" w:eastAsia="方正小标宋_GBK"/>
          <w:snapToGrid w:val="0"/>
          <w:spacing w:val="0"/>
          <w:kern w:val="21"/>
          <w:sz w:val="44"/>
          <w:szCs w:val="44"/>
        </w:rPr>
      </w:pP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一、</w:t>
      </w:r>
      <w:r>
        <w:rPr>
          <w:rFonts w:hint="eastAsia" w:ascii="Times New Roman" w:hAnsi="Times New Roman" w:eastAsia="方正黑体_GBK"/>
          <w:snapToGrid w:val="0"/>
          <w:kern w:val="21"/>
          <w:sz w:val="32"/>
        </w:rPr>
        <w:t>单位基本情况</w:t>
      </w:r>
    </w:p>
    <w:p>
      <w:pPr>
        <w:pStyle w:val="6"/>
        <w:keepNext w:val="0"/>
        <w:keepLines w:val="0"/>
        <w:pageBreakBefore w:val="0"/>
        <w:numPr>
          <w:ilvl w:val="0"/>
          <w:numId w:val="0"/>
        </w:numPr>
        <w:shd w:val="clear" w:color="auto" w:fill="FFFFFF"/>
        <w:kinsoku/>
        <w:wordWrap/>
        <w:overflowPunct/>
        <w:autoSpaceDN/>
        <w:bidi w:val="0"/>
        <w:adjustRightInd/>
        <w:spacing w:before="0" w:beforeAutospacing="0" w:after="0" w:afterAutospacing="0" w:line="594" w:lineRule="exact"/>
        <w:ind w:firstLine="640" w:firstLineChars="200"/>
        <w:textAlignment w:val="auto"/>
        <w:rPr>
          <w:rFonts w:hint="default" w:ascii="Times New Roman" w:hAnsi="Times New Roman" w:eastAsia="方正楷体_GBK" w:cs="Times New Roman"/>
          <w:snapToGrid w:val="0"/>
          <w:kern w:val="21"/>
          <w:sz w:val="32"/>
          <w:szCs w:val="32"/>
          <w:lang w:val="en-US" w:eastAsia="zh-CN" w:bidi="ar-SA"/>
        </w:rPr>
      </w:pPr>
      <w:r>
        <w:rPr>
          <w:rFonts w:hint="default" w:ascii="Times New Roman" w:hAnsi="Times New Roman" w:eastAsia="方正楷体_GBK" w:cs="Times New Roman"/>
          <w:snapToGrid w:val="0"/>
          <w:kern w:val="21"/>
          <w:sz w:val="32"/>
          <w:szCs w:val="32"/>
          <w:lang w:val="en-US" w:eastAsia="zh-CN" w:bidi="ar-SA"/>
        </w:rPr>
        <w:t>（一）职能职责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宗旨：为农业农村工作提供服务。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主要职责任务：主要承担农技、农机、林业、水利水保、水产、畜牧兽医等方面的重大技术推广、信息服务等工作；承担灾害防治、水利工程管理等方面技术服务工作。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（1）承担农业技术、农业机械化推广服务，引导农业产业结构调整，指导推进农业产业化经营工作。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（2）承担林业技术推广、林业发展、护林防火和退耕还林及资源环境保护工作。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（3）承担水利水保、水利工程、防汛抗旱、供水、大中型水利水电工程移民后期扶持和农田水利基本建设等技术服务工作；承担水利科技推广工作。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（4）承担畜牧兽医技术推广和技术服务，引导畜牧产业发展等工作。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（5）承担动物疫病防疫、动物疫情调查、动物疫病监测、动物疫情报告、畜禽圈舍消毒、参与重大动物疫情控制及扑灭等工作。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（6）承担植物有害生物巡查、发现报告和协助除治等工作。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（7）承担水产和渔业服务工作。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（8）承担农业信息服务、农产品质量安全监测等工作。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（9）承担农村能源建设服务、农业面源污染监测防控服务工作。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（10）指导服务农村土地流转工作。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（11）承担扶贫开发技术服务工作。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（12）承办镇党委、镇政府交办的其他工作任务。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default" w:ascii="Times New Roman" w:hAnsi="Times New Roman" w:eastAsia="方正楷体_GBK"/>
          <w:snapToGrid w:val="0"/>
          <w:kern w:val="21"/>
          <w:sz w:val="32"/>
        </w:rPr>
        <w:t>（二）机构设置</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根据上述职责，设置农业服务中心财政全额拨款公益一类副科级事业单位。</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二、</w:t>
      </w:r>
      <w:r>
        <w:rPr>
          <w:rFonts w:hint="eastAsia" w:ascii="Times New Roman" w:hAnsi="Times New Roman" w:eastAsia="方正黑体_GBK"/>
          <w:snapToGrid w:val="0"/>
          <w:kern w:val="21"/>
          <w:sz w:val="32"/>
        </w:rPr>
        <w:t>单位决算情况说明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（一）收入支出决算总体情况说明。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1.总体情况。2023年度收入总计135.16万元，支出总计135.16万元。收支较上年决算数增加0.22万元，增长0.16%，主要原因是</w:t>
      </w:r>
      <w:r>
        <w:rPr>
          <w:rFonts w:hint="eastAsia" w:ascii="Times New Roman" w:hAnsi="Times New Roman" w:eastAsia="方正仿宋_GBK"/>
          <w:snapToGrid w:val="0"/>
          <w:kern w:val="21"/>
          <w:sz w:val="32"/>
          <w:lang w:eastAsia="zh-CN"/>
        </w:rPr>
        <w:t>人员变动，工资调标，导致总体收支增长。</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2.收入情况。2023年度收入合计135.16万元，较上年决算数增加0.22万元，增长0.16%，主要原因是</w:t>
      </w:r>
      <w:r>
        <w:rPr>
          <w:rFonts w:hint="eastAsia" w:ascii="Times New Roman" w:hAnsi="Times New Roman" w:eastAsia="方正仿宋_GBK"/>
          <w:snapToGrid w:val="0"/>
          <w:kern w:val="21"/>
          <w:sz w:val="32"/>
          <w:lang w:eastAsia="zh-CN"/>
        </w:rPr>
        <w:t>人员变动，工资调标，导致收入增长。</w:t>
      </w:r>
      <w:r>
        <w:rPr>
          <w:rFonts w:hint="default" w:ascii="Times New Roman" w:hAnsi="Times New Roman" w:eastAsia="方正仿宋_GBK"/>
          <w:snapToGrid w:val="0"/>
          <w:kern w:val="21"/>
          <w:sz w:val="32"/>
        </w:rPr>
        <w:t>其中：财政拨款收入135.16万元，占100.00%；事业收入0.00万元，占0.00%；经营收入0.00万元，占0.00%；其他收入0.00万元，占0.00%。此外，使用非财政拨款结余和专用结余0.00万元，年初结转和结余0.00万元。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3.支出情况。2023年度支出合计135.16万元，较上年决算数增加0.22万元，增长0.16%，主要原因是</w:t>
      </w:r>
      <w:r>
        <w:rPr>
          <w:rFonts w:hint="eastAsia" w:ascii="Times New Roman" w:hAnsi="Times New Roman" w:eastAsia="方正仿宋_GBK"/>
          <w:snapToGrid w:val="0"/>
          <w:kern w:val="21"/>
          <w:sz w:val="32"/>
          <w:lang w:eastAsia="zh-CN"/>
        </w:rPr>
        <w:t>人员变动，工资调标，导致总体支出增长。</w:t>
      </w:r>
      <w:r>
        <w:rPr>
          <w:rFonts w:hint="default" w:ascii="Times New Roman" w:hAnsi="Times New Roman" w:eastAsia="方正仿宋_GBK"/>
          <w:snapToGrid w:val="0"/>
          <w:kern w:val="21"/>
          <w:sz w:val="32"/>
        </w:rPr>
        <w:t>其中：基本支出135.16万元，占100.00%；项目支出0.00万元，占0.00%；经营支出0.00万元，占0.00%。此外，结余分配0.00万元。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4.结转结余情况。2023年度年末结转和结余0.00万元，较上年决算数无增减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（二）财政拨款收入支出决算总体情况说明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2023年度财政拨款收、支总计135.16万元。与2022年相比，财政拨款收、支总计各增加0.22万元，增长0.16%。主要原因是</w:t>
      </w:r>
      <w:r>
        <w:rPr>
          <w:rFonts w:hint="eastAsia" w:ascii="Times New Roman" w:hAnsi="Times New Roman" w:eastAsia="方正仿宋_GBK"/>
          <w:snapToGrid w:val="0"/>
          <w:kern w:val="21"/>
          <w:sz w:val="32"/>
          <w:lang w:eastAsia="zh-CN"/>
        </w:rPr>
        <w:t>人员变动，工资调标，导致总体收支增长。</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（三）一般公共预算财政拨款收入支出决算情况说明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1.收入情况。2023年度一般公共预算财政拨款收入135.16万元，较上年决算数增加0.22万元，增长0.16%。主要原因是</w:t>
      </w:r>
      <w:r>
        <w:rPr>
          <w:rFonts w:hint="eastAsia" w:ascii="Times New Roman" w:hAnsi="Times New Roman" w:eastAsia="方正仿宋_GBK"/>
          <w:snapToGrid w:val="0"/>
          <w:kern w:val="21"/>
          <w:sz w:val="32"/>
        </w:rPr>
        <w:t>人员变动，工资调标，导致收</w:t>
      </w:r>
      <w:r>
        <w:rPr>
          <w:rFonts w:hint="eastAsia" w:ascii="Times New Roman" w:hAnsi="Times New Roman" w:eastAsia="方正仿宋_GBK"/>
          <w:snapToGrid w:val="0"/>
          <w:kern w:val="21"/>
          <w:sz w:val="32"/>
          <w:lang w:eastAsia="zh-CN"/>
        </w:rPr>
        <w:t>入</w:t>
      </w:r>
      <w:r>
        <w:rPr>
          <w:rFonts w:hint="eastAsia" w:ascii="Times New Roman" w:hAnsi="Times New Roman" w:eastAsia="方正仿宋_GBK"/>
          <w:snapToGrid w:val="0"/>
          <w:kern w:val="21"/>
          <w:sz w:val="32"/>
        </w:rPr>
        <w:t>增长。</w:t>
      </w:r>
      <w:r>
        <w:rPr>
          <w:rFonts w:hint="default" w:ascii="Times New Roman" w:hAnsi="Times New Roman" w:eastAsia="方正仿宋_GBK"/>
          <w:snapToGrid w:val="0"/>
          <w:kern w:val="21"/>
          <w:sz w:val="32"/>
        </w:rPr>
        <w:t>较年初预算数增加47.19万元，增长53.64%。主要原因是</w:t>
      </w:r>
      <w:r>
        <w:rPr>
          <w:rFonts w:hint="eastAsia" w:ascii="Times New Roman" w:hAnsi="Times New Roman" w:eastAsia="方正仿宋_GBK"/>
          <w:snapToGrid w:val="0"/>
          <w:kern w:val="21"/>
          <w:sz w:val="32"/>
          <w:lang w:eastAsia="zh-CN"/>
        </w:rPr>
        <w:t>年初预算</w:t>
      </w:r>
      <w:r>
        <w:rPr>
          <w:rFonts w:hint="eastAsia" w:ascii="Times New Roman" w:hAnsi="Times New Roman" w:eastAsia="方正仿宋_GBK"/>
          <w:snapToGrid w:val="0"/>
          <w:kern w:val="21"/>
          <w:sz w:val="32"/>
          <w:lang w:val="en-US" w:eastAsia="zh-CN"/>
        </w:rPr>
        <w:t>4人人员类经费，年中增加2人</w:t>
      </w:r>
      <w:r>
        <w:rPr>
          <w:rFonts w:hint="eastAsia" w:ascii="Times New Roman" w:hAnsi="Times New Roman" w:eastAsia="方正仿宋_GBK"/>
          <w:snapToGrid w:val="0"/>
          <w:kern w:val="21"/>
          <w:sz w:val="32"/>
          <w:lang w:eastAsia="zh-CN"/>
        </w:rPr>
        <w:t>，人员类经费收入增加，全额拨款机关事业单位准备期和征缴期职业年金欠费资金补发、退休死亡一人，增加抚恤金及丧葬费收入。</w:t>
      </w:r>
      <w:r>
        <w:rPr>
          <w:rFonts w:hint="default" w:ascii="Times New Roman" w:hAnsi="Times New Roman" w:eastAsia="方正仿宋_GBK"/>
          <w:snapToGrid w:val="0"/>
          <w:kern w:val="21"/>
          <w:sz w:val="32"/>
        </w:rPr>
        <w:t>此外，年初财政拨款结转和结余0.00万元。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2.支出情况。2023年度一般公共预算财政拨款支出135.16万元，较上年决算数增加0.22万元，增长0.16%。主要原因是</w:t>
      </w:r>
      <w:r>
        <w:rPr>
          <w:rFonts w:hint="eastAsia" w:ascii="Times New Roman" w:hAnsi="Times New Roman" w:eastAsia="方正仿宋_GBK"/>
          <w:snapToGrid w:val="0"/>
          <w:kern w:val="21"/>
          <w:sz w:val="32"/>
        </w:rPr>
        <w:t>人员变动，工资调标，导致</w:t>
      </w:r>
      <w:r>
        <w:rPr>
          <w:rFonts w:hint="eastAsia" w:ascii="Times New Roman" w:hAnsi="Times New Roman" w:eastAsia="方正仿宋_GBK"/>
          <w:snapToGrid w:val="0"/>
          <w:kern w:val="21"/>
          <w:sz w:val="32"/>
          <w:lang w:eastAsia="zh-CN"/>
        </w:rPr>
        <w:t>支出</w:t>
      </w:r>
      <w:r>
        <w:rPr>
          <w:rFonts w:hint="eastAsia" w:ascii="Times New Roman" w:hAnsi="Times New Roman" w:eastAsia="方正仿宋_GBK"/>
          <w:snapToGrid w:val="0"/>
          <w:kern w:val="21"/>
          <w:sz w:val="32"/>
        </w:rPr>
        <w:t>增长。</w:t>
      </w:r>
      <w:r>
        <w:rPr>
          <w:rFonts w:hint="default" w:ascii="Times New Roman" w:hAnsi="Times New Roman" w:eastAsia="方正仿宋_GBK"/>
          <w:snapToGrid w:val="0"/>
          <w:kern w:val="21"/>
          <w:sz w:val="32"/>
        </w:rPr>
        <w:t>较年初预算数增加47.19万元，增长53.64%。主要原因是</w:t>
      </w:r>
      <w:r>
        <w:rPr>
          <w:rFonts w:hint="eastAsia" w:ascii="Times New Roman" w:hAnsi="Times New Roman" w:eastAsia="方正仿宋_GBK"/>
          <w:snapToGrid w:val="0"/>
          <w:kern w:val="21"/>
          <w:sz w:val="32"/>
          <w:lang w:eastAsia="zh-CN"/>
        </w:rPr>
        <w:t>年初预算</w:t>
      </w:r>
      <w:r>
        <w:rPr>
          <w:rFonts w:hint="eastAsia" w:ascii="Times New Roman" w:hAnsi="Times New Roman" w:eastAsia="方正仿宋_GBK"/>
          <w:snapToGrid w:val="0"/>
          <w:kern w:val="21"/>
          <w:sz w:val="32"/>
          <w:lang w:val="en-US" w:eastAsia="zh-CN"/>
        </w:rPr>
        <w:t>4人人员类经费，年中增加2人</w:t>
      </w:r>
      <w:r>
        <w:rPr>
          <w:rFonts w:hint="eastAsia" w:ascii="Times New Roman" w:hAnsi="Times New Roman" w:eastAsia="方正仿宋_GBK"/>
          <w:snapToGrid w:val="0"/>
          <w:kern w:val="21"/>
          <w:sz w:val="32"/>
          <w:lang w:eastAsia="zh-CN"/>
        </w:rPr>
        <w:t>，人员类经费支出增加，全额拨款机关事业单位准备期和征缴期职业年金欠费资金补发、退休死亡一人，增加抚恤金及丧葬费支出。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3.结转结余情况。2023年度年末一般公共预算财政拨款结转和结余0.00万元，较上年决算数无增减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4.比较情况。本单位2023年度一般公共预算财政拨款支出主要用于以下几个方面：</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1</w:t>
      </w:r>
      <w:r>
        <w:rPr>
          <w:rFonts w:hint="default" w:ascii="Times New Roman" w:hAnsi="Times New Roman" w:eastAsia="方正仿宋_GBK"/>
          <w:snapToGrid w:val="0"/>
          <w:kern w:val="21"/>
          <w:sz w:val="32"/>
        </w:rPr>
        <w:t>）社会保障与就业支出32.81万元，占24.27%，较年初预算数增加14.58万元，增长79.98%，主要原因是</w:t>
      </w:r>
      <w:r>
        <w:rPr>
          <w:rFonts w:hint="eastAsia" w:ascii="Times New Roman" w:hAnsi="Times New Roman" w:eastAsia="方正仿宋_GBK"/>
          <w:snapToGrid w:val="0"/>
          <w:kern w:val="21"/>
          <w:sz w:val="32"/>
          <w:lang w:eastAsia="zh-CN"/>
        </w:rPr>
        <w:t>年初预算</w:t>
      </w:r>
      <w:r>
        <w:rPr>
          <w:rFonts w:hint="eastAsia" w:ascii="Times New Roman" w:hAnsi="Times New Roman" w:eastAsia="方正仿宋_GBK"/>
          <w:snapToGrid w:val="0"/>
          <w:kern w:val="21"/>
          <w:sz w:val="32"/>
          <w:lang w:val="en-US" w:eastAsia="zh-CN"/>
        </w:rPr>
        <w:t>4人人员类经费，年中增加2人</w:t>
      </w:r>
      <w:r>
        <w:rPr>
          <w:rFonts w:hint="eastAsia" w:ascii="Times New Roman" w:hAnsi="Times New Roman" w:eastAsia="方正仿宋_GBK"/>
          <w:snapToGrid w:val="0"/>
          <w:kern w:val="21"/>
          <w:sz w:val="32"/>
          <w:lang w:eastAsia="zh-CN"/>
        </w:rPr>
        <w:t>，人员类经费支出增加，全额拨款机关事业单位准备期和征缴期职业年金欠费资金补发、退休死亡一人，增加抚恤金及丧葬费支出。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2</w:t>
      </w:r>
      <w:r>
        <w:rPr>
          <w:rFonts w:hint="default" w:ascii="Times New Roman" w:hAnsi="Times New Roman" w:eastAsia="方正仿宋_GBK"/>
          <w:snapToGrid w:val="0"/>
          <w:kern w:val="21"/>
          <w:sz w:val="32"/>
        </w:rPr>
        <w:t>）卫生健康支出6.13万元，占4.54%，较年初预算数增加1.38万元，增长29.05%，主要原因是</w:t>
      </w:r>
      <w:r>
        <w:rPr>
          <w:rFonts w:hint="eastAsia" w:ascii="Times New Roman" w:hAnsi="Times New Roman" w:eastAsia="方正仿宋_GBK"/>
          <w:snapToGrid w:val="0"/>
          <w:kern w:val="21"/>
          <w:sz w:val="32"/>
          <w:lang w:eastAsia="zh-CN"/>
        </w:rPr>
        <w:t>人员增加</w:t>
      </w:r>
      <w:r>
        <w:rPr>
          <w:rFonts w:hint="eastAsia" w:ascii="Times New Roman" w:hAnsi="Times New Roman" w:eastAsia="方正仿宋_GBK"/>
          <w:snapToGrid w:val="0"/>
          <w:kern w:val="21"/>
          <w:sz w:val="32"/>
          <w:lang w:val="en-US" w:eastAsia="zh-CN"/>
        </w:rPr>
        <w:t>2人</w:t>
      </w:r>
      <w:r>
        <w:rPr>
          <w:rFonts w:hint="eastAsia" w:ascii="Times New Roman" w:hAnsi="Times New Roman" w:eastAsia="方正仿宋_GBK"/>
          <w:snapToGrid w:val="0"/>
          <w:kern w:val="21"/>
          <w:sz w:val="32"/>
          <w:lang w:eastAsia="zh-CN"/>
        </w:rPr>
        <w:t>，导致医疗支出增加。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3</w:t>
      </w:r>
      <w:r>
        <w:rPr>
          <w:rFonts w:hint="default" w:ascii="Times New Roman" w:hAnsi="Times New Roman" w:eastAsia="方正仿宋_GBK"/>
          <w:snapToGrid w:val="0"/>
          <w:kern w:val="21"/>
          <w:sz w:val="32"/>
        </w:rPr>
        <w:t>）农林水支出91.12万元，占67.42%，较年初预算数增加29.51万元，增长47.90%，主要原因是</w:t>
      </w:r>
      <w:r>
        <w:rPr>
          <w:rFonts w:hint="eastAsia" w:ascii="Times New Roman" w:hAnsi="Times New Roman" w:eastAsia="方正仿宋_GBK"/>
          <w:snapToGrid w:val="0"/>
          <w:kern w:val="21"/>
          <w:sz w:val="32"/>
          <w:lang w:eastAsia="zh-CN"/>
        </w:rPr>
        <w:t>人员增加</w:t>
      </w:r>
      <w:r>
        <w:rPr>
          <w:rFonts w:hint="eastAsia" w:ascii="Times New Roman" w:hAnsi="Times New Roman" w:eastAsia="方正仿宋_GBK"/>
          <w:snapToGrid w:val="0"/>
          <w:kern w:val="21"/>
          <w:sz w:val="32"/>
          <w:lang w:val="en-US" w:eastAsia="zh-CN"/>
        </w:rPr>
        <w:t>2人</w:t>
      </w:r>
      <w:r>
        <w:rPr>
          <w:rFonts w:hint="eastAsia" w:ascii="Times New Roman" w:hAnsi="Times New Roman" w:eastAsia="方正仿宋_GBK"/>
          <w:snapToGrid w:val="0"/>
          <w:kern w:val="21"/>
          <w:sz w:val="32"/>
          <w:lang w:eastAsia="zh-CN"/>
        </w:rPr>
        <w:t>，导致人员工资、津贴补贴社保等支出增加。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4</w:t>
      </w:r>
      <w:r>
        <w:rPr>
          <w:rFonts w:hint="default" w:ascii="Times New Roman" w:hAnsi="Times New Roman" w:eastAsia="方正仿宋_GBK"/>
          <w:snapToGrid w:val="0"/>
          <w:kern w:val="21"/>
          <w:sz w:val="32"/>
        </w:rPr>
        <w:t>）住房保障支出5.10万元，占3.77%，较年初预算数增加1.73万元，增长51.34%，主要原因是</w:t>
      </w:r>
      <w:r>
        <w:rPr>
          <w:rFonts w:hint="eastAsia" w:ascii="Times New Roman" w:hAnsi="Times New Roman" w:eastAsia="方正仿宋_GBK"/>
          <w:snapToGrid w:val="0"/>
          <w:kern w:val="21"/>
          <w:sz w:val="32"/>
          <w:lang w:eastAsia="zh-CN"/>
        </w:rPr>
        <w:t>人员增加</w:t>
      </w:r>
      <w:r>
        <w:rPr>
          <w:rFonts w:hint="eastAsia" w:ascii="Times New Roman" w:hAnsi="Times New Roman" w:eastAsia="方正仿宋_GBK"/>
          <w:snapToGrid w:val="0"/>
          <w:kern w:val="21"/>
          <w:sz w:val="32"/>
          <w:lang w:val="en-US" w:eastAsia="zh-CN"/>
        </w:rPr>
        <w:t>2人</w:t>
      </w:r>
      <w:r>
        <w:rPr>
          <w:rFonts w:hint="eastAsia" w:ascii="Times New Roman" w:hAnsi="Times New Roman" w:eastAsia="方正仿宋_GBK"/>
          <w:snapToGrid w:val="0"/>
          <w:kern w:val="21"/>
          <w:sz w:val="32"/>
          <w:lang w:eastAsia="zh-CN"/>
        </w:rPr>
        <w:t>，导致住房公积金支出增加。</w:t>
      </w:r>
    </w:p>
    <w:p>
      <w:pPr>
        <w:keepNext w:val="0"/>
        <w:keepLines w:val="0"/>
        <w:pageBreakBefore w:val="0"/>
        <w:widowControl w:val="0"/>
        <w:kinsoku/>
        <w:wordWrap/>
        <w:overflowPunct/>
        <w:topLinePunct/>
        <w:autoSpaceDE w:val="0"/>
        <w:autoSpaceDN/>
        <w:bidi w:val="0"/>
        <w:adjustRightInd/>
        <w:snapToGrid w:val="0"/>
        <w:spacing w:line="594" w:lineRule="exact"/>
        <w:ind w:left="0" w:leftChars="0"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rPr>
        <w:t>（四）一般公共预算财政拨款基本支出决算情况说明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2023年度一般公共财政拨款基本支出</w:t>
      </w:r>
      <w:r>
        <w:rPr>
          <w:rFonts w:hint="default" w:ascii="Times New Roman" w:hAnsi="Times New Roman" w:eastAsia="方正仿宋_GBK"/>
          <w:snapToGrid w:val="0"/>
          <w:kern w:val="21"/>
          <w:sz w:val="32"/>
        </w:rPr>
        <w:t>135.16万元。其中：人员经费118.60万元，较上年决算数增加1.18万元，增长1.00%，主要原因是</w:t>
      </w:r>
      <w:r>
        <w:rPr>
          <w:rFonts w:hint="eastAsia" w:ascii="Times New Roman" w:hAnsi="Times New Roman" w:eastAsia="方正仿宋_GBK"/>
          <w:snapToGrid w:val="0"/>
          <w:kern w:val="21"/>
          <w:sz w:val="32"/>
          <w:lang w:eastAsia="zh-CN"/>
        </w:rPr>
        <w:t>人员变动，工资调标，导致支出增长</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人员经费用途主要包括</w:t>
      </w:r>
      <w:r>
        <w:rPr>
          <w:rFonts w:hint="eastAsia" w:ascii="Times New Roman" w:hAnsi="Times New Roman" w:eastAsia="方正仿宋_GBK"/>
          <w:snapToGrid w:val="0"/>
          <w:kern w:val="21"/>
          <w:sz w:val="32"/>
        </w:rPr>
        <w:t>基本工资、津贴补贴、社会保</w:t>
      </w:r>
      <w:bookmarkStart w:id="0" w:name="_GoBack"/>
      <w:bookmarkEnd w:id="0"/>
      <w:r>
        <w:rPr>
          <w:rFonts w:hint="eastAsia" w:ascii="Times New Roman" w:hAnsi="Times New Roman" w:eastAsia="方正仿宋_GBK"/>
          <w:snapToGrid w:val="0"/>
          <w:kern w:val="21"/>
          <w:sz w:val="32"/>
        </w:rPr>
        <w:t>障缴费、住房公积金</w:t>
      </w:r>
      <w:r>
        <w:rPr>
          <w:rFonts w:hint="eastAsia" w:ascii="Times New Roman" w:hAnsi="Times New Roman" w:eastAsia="方正仿宋_GBK"/>
          <w:snapToGrid w:val="0"/>
          <w:kern w:val="21"/>
          <w:sz w:val="32"/>
          <w:lang w:eastAsia="zh-CN"/>
        </w:rPr>
        <w:t>等。</w:t>
      </w:r>
      <w:r>
        <w:rPr>
          <w:rFonts w:hint="default" w:ascii="Times New Roman" w:hAnsi="Times New Roman" w:eastAsia="方正仿宋_GBK"/>
          <w:snapToGrid w:val="0"/>
          <w:kern w:val="21"/>
          <w:sz w:val="32"/>
        </w:rPr>
        <w:t>公用经费16.56万元，较上年决算数减少0.95万元，下降5.43%，主要原因是</w:t>
      </w:r>
      <w:r>
        <w:rPr>
          <w:rFonts w:hint="eastAsia" w:ascii="Times New Roman" w:hAnsi="Times New Roman" w:eastAsia="方正仿宋_GBK"/>
          <w:snapToGrid w:val="0"/>
          <w:kern w:val="21"/>
          <w:sz w:val="32"/>
          <w:lang w:eastAsia="zh-CN"/>
        </w:rPr>
        <w:t>厉行节约，减少不必要开支。</w:t>
      </w:r>
      <w:r>
        <w:rPr>
          <w:rFonts w:hint="default" w:ascii="Times New Roman" w:hAnsi="Times New Roman" w:eastAsia="方正仿宋_GBK"/>
          <w:snapToGrid w:val="0"/>
          <w:kern w:val="21"/>
          <w:sz w:val="32"/>
        </w:rPr>
        <w:t>公用经费用途主要包括</w:t>
      </w:r>
      <w:r>
        <w:rPr>
          <w:rFonts w:hint="eastAsia" w:ascii="Times New Roman" w:hAnsi="Times New Roman" w:eastAsia="方正仿宋_GBK"/>
          <w:snapToGrid w:val="0"/>
          <w:kern w:val="21"/>
          <w:sz w:val="32"/>
        </w:rPr>
        <w:t>办公费、</w:t>
      </w:r>
      <w:r>
        <w:rPr>
          <w:rFonts w:hint="eastAsia" w:ascii="Times New Roman" w:hAnsi="Times New Roman" w:eastAsia="方正仿宋_GBK"/>
          <w:snapToGrid w:val="0"/>
          <w:kern w:val="21"/>
          <w:sz w:val="32"/>
          <w:lang w:eastAsia="zh-CN"/>
        </w:rPr>
        <w:t>水电费</w:t>
      </w: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eastAsia="zh-CN"/>
        </w:rPr>
        <w:t>培训费、差旅费</w:t>
      </w:r>
      <w:r>
        <w:rPr>
          <w:rFonts w:hint="eastAsia" w:ascii="Times New Roman" w:hAnsi="Times New Roman" w:eastAsia="方正仿宋_GBK"/>
          <w:snapToGrid w:val="0"/>
          <w:kern w:val="21"/>
          <w:sz w:val="32"/>
        </w:rPr>
        <w:t>、工会经费等。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（五）政府性基金预算收支决算情况说明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lang w:val="en-US" w:eastAsia="zh-CN"/>
        </w:rPr>
      </w:pPr>
      <w:r>
        <w:rPr>
          <w:rFonts w:hint="eastAsia" w:ascii="Times New Roman" w:hAnsi="Times New Roman" w:eastAsia="方正仿宋_GBK"/>
          <w:snapToGrid w:val="0"/>
          <w:kern w:val="21"/>
          <w:sz w:val="32"/>
          <w:lang w:val="en-US" w:eastAsia="zh-CN"/>
        </w:rPr>
        <w:t>本单位2023年度无政府性基金预算财政拨款收支。</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（六）国有资本经营预算财政拨款支出决算情况说明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lang w:val="en-US" w:eastAsia="zh-CN"/>
        </w:rPr>
      </w:pPr>
      <w:r>
        <w:rPr>
          <w:rFonts w:hint="eastAsia" w:ascii="Times New Roman" w:hAnsi="Times New Roman" w:eastAsia="方正仿宋_GBK"/>
          <w:snapToGrid w:val="0"/>
          <w:kern w:val="21"/>
          <w:sz w:val="32"/>
          <w:lang w:val="en-US" w:eastAsia="zh-CN"/>
        </w:rPr>
        <w:t>本单位2023年度无国有资本经营预算财政拨款支出。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rPr>
        <w:t>三、“三公”经费情况说明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（一）“三公”经费支出总体情况说明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2023年度“三公”经费支出共计0.00万元，较年初预算数无增减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（二）</w:t>
      </w:r>
      <w:r>
        <w:rPr>
          <w:rFonts w:hint="eastAsia" w:ascii="Times New Roman" w:hAnsi="Times New Roman" w:eastAsia="方正楷体_GBK"/>
          <w:snapToGrid w:val="0"/>
          <w:kern w:val="21"/>
          <w:sz w:val="32"/>
        </w:rPr>
        <w:t>“三公”经费分项支出情况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2023年度本单位因公出国（境）费用0.00万元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公务车购置费0.00万元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费用支出较年初预算数无增减。较上年支出数无增减。</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公务车运行维护费0.00万元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公务接待费0.00万元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（三）“三公”经费实物量情况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rPr>
        <w:t>四、其他需要说明的事项</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（一）财政拨款会议费和培训费情况说明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本年度会议费支出0.00万元，较上年决算数无增减。本年度培训费支出0.00万元，较上年决算数减少0.91万元，下降100.00%，主要原因是</w:t>
      </w:r>
      <w:r>
        <w:rPr>
          <w:rFonts w:hint="eastAsia" w:ascii="Times New Roman" w:hAnsi="Times New Roman" w:eastAsia="方正仿宋_GBK"/>
          <w:snapToGrid w:val="0"/>
          <w:kern w:val="21"/>
          <w:sz w:val="32"/>
          <w:lang w:eastAsia="zh-CN"/>
        </w:rPr>
        <w:t>厉行节约，减少培训费支出</w:t>
      </w:r>
      <w:r>
        <w:rPr>
          <w:rFonts w:hint="default" w:ascii="Times New Roman" w:hAnsi="Times New Roman" w:eastAsia="方正仿宋_GBK"/>
          <w:snapToGrid w:val="0"/>
          <w:kern w:val="21"/>
          <w:sz w:val="32"/>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（二）机关运行经费情况说明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按照部门决算列报口径，我单位不在机关运行经费统计范围之内。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（三）国有资产占用情况说明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（四）政府采购支出情况说明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2023年度我单位未发生政府采购事项，无相关经费支出。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五、</w:t>
      </w:r>
      <w:r>
        <w:rPr>
          <w:rFonts w:hint="eastAsia" w:ascii="Times New Roman" w:hAnsi="Times New Roman" w:eastAsia="方正黑体_GBK"/>
          <w:snapToGrid w:val="0"/>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（一）</w:t>
      </w:r>
      <w:r>
        <w:rPr>
          <w:rFonts w:hint="eastAsia" w:ascii="Times New Roman" w:hAnsi="Times New Roman" w:eastAsia="方正楷体_GBK"/>
          <w:snapToGrid w:val="0"/>
          <w:kern w:val="21"/>
          <w:sz w:val="32"/>
        </w:rPr>
        <w:t>单位自评情况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lang w:val="en-US" w:eastAsia="zh-CN"/>
        </w:rPr>
        <w:t>本单位不涉及。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（二）单位绩效评价情况</w:t>
      </w:r>
    </w:p>
    <w:p>
      <w:pPr>
        <w:pStyle w:val="6"/>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我单位未组织开展绩效评价。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（三）财政绩效评价情况</w:t>
      </w:r>
    </w:p>
    <w:p>
      <w:pPr>
        <w:pStyle w:val="11"/>
        <w:keepNext w:val="0"/>
        <w:keepLines w:val="0"/>
        <w:pageBreakBefore w:val="0"/>
        <w:kinsoku/>
        <w:wordWrap/>
        <w:overflowPunct/>
        <w:autoSpaceDE w:val="0"/>
        <w:autoSpaceDN/>
        <w:bidi w:val="0"/>
        <w:adjustRightInd/>
        <w:spacing w:beforeAutospacing="0" w:afterAutospacing="0" w:line="594" w:lineRule="exact"/>
        <w:ind w:left="0" w:leftChars="0" w:firstLine="640" w:firstLineChars="200"/>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3" w:firstLineChars="200"/>
        <w:jc w:val="both"/>
        <w:textAlignment w:val="auto"/>
        <w:rPr>
          <w:rFonts w:hint="eastAsia" w:ascii="Times New Roman" w:hAnsi="Times New Roman" w:eastAsia="方正黑体_GBK"/>
          <w:snapToGrid w:val="0"/>
          <w:kern w:val="21"/>
          <w:sz w:val="32"/>
          <w:lang w:val="en-US" w:eastAsia="zh-CN"/>
        </w:rPr>
      </w:pPr>
      <w:r>
        <w:rPr>
          <w:rStyle w:val="10"/>
          <w:rFonts w:ascii="方正仿宋_GBK" w:hAnsi="方正仿宋_GBK" w:eastAsia="方正仿宋_GBK" w:cs="方正仿宋_GBK"/>
          <w:sz w:val="32"/>
          <w:szCs w:val="32"/>
          <w:shd w:val="clear" w:color="auto" w:fill="FFFFFF"/>
        </w:rPr>
        <w:t> </w:t>
      </w: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z w:val="32"/>
          <w:szCs w:val="32"/>
          <w:shd w:val="clear" w:color="auto" w:fill="FFFF00"/>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11"/>
        <w:keepNext w:val="0"/>
        <w:keepLines w:val="0"/>
        <w:pageBreakBefore w:val="0"/>
        <w:kinsoku/>
        <w:wordWrap/>
        <w:overflowPunct/>
        <w:autoSpaceDE w:val="0"/>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重庆市石柱土家族自治县冷水镇农业服务中心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135.16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135.16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重庆市石柱土家族自治县冷水镇农业服务中心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重庆市石柱土家族自治县冷水镇农业服务中心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118.60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2ZjE4YjZlZGZiNjQwMWJlZjVmZjNjZDRhMWIwYW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A49CA"/>
    <w:rsid w:val="00AF2751"/>
    <w:rsid w:val="00B03CCD"/>
    <w:rsid w:val="00B05C2D"/>
    <w:rsid w:val="00BE2B89"/>
    <w:rsid w:val="00C10E9E"/>
    <w:rsid w:val="00C20C3E"/>
    <w:rsid w:val="00F73F90"/>
    <w:rsid w:val="01474EBF"/>
    <w:rsid w:val="01F3521E"/>
    <w:rsid w:val="03B87EA0"/>
    <w:rsid w:val="03CE0C75"/>
    <w:rsid w:val="03E3214F"/>
    <w:rsid w:val="04074A2A"/>
    <w:rsid w:val="044C50BA"/>
    <w:rsid w:val="046D7C52"/>
    <w:rsid w:val="05BC6D49"/>
    <w:rsid w:val="06133805"/>
    <w:rsid w:val="06194FF1"/>
    <w:rsid w:val="063C6BC8"/>
    <w:rsid w:val="06A2550B"/>
    <w:rsid w:val="06F80EE2"/>
    <w:rsid w:val="07001CCA"/>
    <w:rsid w:val="075678DB"/>
    <w:rsid w:val="078139DC"/>
    <w:rsid w:val="079D7CC7"/>
    <w:rsid w:val="08051BCA"/>
    <w:rsid w:val="086C12F4"/>
    <w:rsid w:val="08705944"/>
    <w:rsid w:val="08BA052C"/>
    <w:rsid w:val="08DB07BA"/>
    <w:rsid w:val="08F12939"/>
    <w:rsid w:val="092A0515"/>
    <w:rsid w:val="0942143F"/>
    <w:rsid w:val="0969353F"/>
    <w:rsid w:val="098305D0"/>
    <w:rsid w:val="0A3317EA"/>
    <w:rsid w:val="0A5C4B69"/>
    <w:rsid w:val="0A86124A"/>
    <w:rsid w:val="0AB54CC0"/>
    <w:rsid w:val="0B9335CE"/>
    <w:rsid w:val="0BF05825"/>
    <w:rsid w:val="0BF2311A"/>
    <w:rsid w:val="0C005ABF"/>
    <w:rsid w:val="0C7927C4"/>
    <w:rsid w:val="0C9B098C"/>
    <w:rsid w:val="0CF43DCE"/>
    <w:rsid w:val="0D673E11"/>
    <w:rsid w:val="0DDA54E4"/>
    <w:rsid w:val="0E3A5F83"/>
    <w:rsid w:val="0F4E072A"/>
    <w:rsid w:val="0F836721"/>
    <w:rsid w:val="0F8C278D"/>
    <w:rsid w:val="0FA25D96"/>
    <w:rsid w:val="0FE2319C"/>
    <w:rsid w:val="107B59E5"/>
    <w:rsid w:val="10EC0126"/>
    <w:rsid w:val="10F70B9A"/>
    <w:rsid w:val="111445C7"/>
    <w:rsid w:val="114278C6"/>
    <w:rsid w:val="1158083A"/>
    <w:rsid w:val="11643A4B"/>
    <w:rsid w:val="118A2253"/>
    <w:rsid w:val="11ED0F98"/>
    <w:rsid w:val="11F03528"/>
    <w:rsid w:val="12C921C4"/>
    <w:rsid w:val="12D312F0"/>
    <w:rsid w:val="13095F47"/>
    <w:rsid w:val="13871C70"/>
    <w:rsid w:val="13A71CB4"/>
    <w:rsid w:val="13AF1D43"/>
    <w:rsid w:val="13CE1647"/>
    <w:rsid w:val="13FD55AB"/>
    <w:rsid w:val="14200702"/>
    <w:rsid w:val="154C2114"/>
    <w:rsid w:val="159233F2"/>
    <w:rsid w:val="15B06226"/>
    <w:rsid w:val="163A6CEE"/>
    <w:rsid w:val="165321AB"/>
    <w:rsid w:val="16EE7E2B"/>
    <w:rsid w:val="173708E3"/>
    <w:rsid w:val="1783031F"/>
    <w:rsid w:val="17C374FC"/>
    <w:rsid w:val="17D7362C"/>
    <w:rsid w:val="18143491"/>
    <w:rsid w:val="182E4AB6"/>
    <w:rsid w:val="189079DC"/>
    <w:rsid w:val="189B0D0B"/>
    <w:rsid w:val="18B43F7C"/>
    <w:rsid w:val="194A1770"/>
    <w:rsid w:val="19640835"/>
    <w:rsid w:val="19A10699"/>
    <w:rsid w:val="19B906A4"/>
    <w:rsid w:val="1A0D3E03"/>
    <w:rsid w:val="1B6F15B6"/>
    <w:rsid w:val="1BAA2EDC"/>
    <w:rsid w:val="1C41576A"/>
    <w:rsid w:val="1C9054E9"/>
    <w:rsid w:val="1CA55E64"/>
    <w:rsid w:val="1D014A01"/>
    <w:rsid w:val="1D022362"/>
    <w:rsid w:val="1D1B04B0"/>
    <w:rsid w:val="1DA52501"/>
    <w:rsid w:val="1DBD6767"/>
    <w:rsid w:val="1DC52125"/>
    <w:rsid w:val="1DD26311"/>
    <w:rsid w:val="1E374ACB"/>
    <w:rsid w:val="1E920477"/>
    <w:rsid w:val="1E944CBA"/>
    <w:rsid w:val="1ECF0A66"/>
    <w:rsid w:val="1EF67CA4"/>
    <w:rsid w:val="1F020D3A"/>
    <w:rsid w:val="1F2C5189"/>
    <w:rsid w:val="1F4B0B02"/>
    <w:rsid w:val="1F857AC5"/>
    <w:rsid w:val="1FBB35CD"/>
    <w:rsid w:val="1FCD26AF"/>
    <w:rsid w:val="20642787"/>
    <w:rsid w:val="21186BD7"/>
    <w:rsid w:val="21556F04"/>
    <w:rsid w:val="21D06385"/>
    <w:rsid w:val="21FC5F50"/>
    <w:rsid w:val="22403BD3"/>
    <w:rsid w:val="234B10F5"/>
    <w:rsid w:val="23B52D23"/>
    <w:rsid w:val="24B92327"/>
    <w:rsid w:val="24C14514"/>
    <w:rsid w:val="251C1370"/>
    <w:rsid w:val="2533755C"/>
    <w:rsid w:val="25791755"/>
    <w:rsid w:val="25C9278E"/>
    <w:rsid w:val="26396DF4"/>
    <w:rsid w:val="265E5200"/>
    <w:rsid w:val="26E563DD"/>
    <w:rsid w:val="27046C92"/>
    <w:rsid w:val="27167136"/>
    <w:rsid w:val="271B442C"/>
    <w:rsid w:val="27B23302"/>
    <w:rsid w:val="28A63E40"/>
    <w:rsid w:val="29310A5F"/>
    <w:rsid w:val="29C37A35"/>
    <w:rsid w:val="2A076083"/>
    <w:rsid w:val="2A346ACA"/>
    <w:rsid w:val="2A73162E"/>
    <w:rsid w:val="2B167953"/>
    <w:rsid w:val="2B200583"/>
    <w:rsid w:val="2B5E0B35"/>
    <w:rsid w:val="2B8209DE"/>
    <w:rsid w:val="2C2B4A06"/>
    <w:rsid w:val="2C636760"/>
    <w:rsid w:val="2C6762A3"/>
    <w:rsid w:val="2C6B1F6C"/>
    <w:rsid w:val="2E4B2482"/>
    <w:rsid w:val="2E8944E5"/>
    <w:rsid w:val="2E897D68"/>
    <w:rsid w:val="2F45269A"/>
    <w:rsid w:val="2FCA4B37"/>
    <w:rsid w:val="2FE029D7"/>
    <w:rsid w:val="2FF06E00"/>
    <w:rsid w:val="30586FEC"/>
    <w:rsid w:val="30CD6C9E"/>
    <w:rsid w:val="31570E00"/>
    <w:rsid w:val="315F0B22"/>
    <w:rsid w:val="31990970"/>
    <w:rsid w:val="31D84415"/>
    <w:rsid w:val="32285F6F"/>
    <w:rsid w:val="32453007"/>
    <w:rsid w:val="32770556"/>
    <w:rsid w:val="329C0913"/>
    <w:rsid w:val="32AA0460"/>
    <w:rsid w:val="3337290D"/>
    <w:rsid w:val="33E31118"/>
    <w:rsid w:val="33EF7674"/>
    <w:rsid w:val="342D7BC6"/>
    <w:rsid w:val="34AC6C79"/>
    <w:rsid w:val="34AD46FA"/>
    <w:rsid w:val="34DB3F45"/>
    <w:rsid w:val="352930DB"/>
    <w:rsid w:val="354F6482"/>
    <w:rsid w:val="35573069"/>
    <w:rsid w:val="355F6038"/>
    <w:rsid w:val="358C217E"/>
    <w:rsid w:val="36774FEB"/>
    <w:rsid w:val="36C9128A"/>
    <w:rsid w:val="37841E99"/>
    <w:rsid w:val="37BF1123"/>
    <w:rsid w:val="383C3F15"/>
    <w:rsid w:val="38BE4696"/>
    <w:rsid w:val="38FA4D0A"/>
    <w:rsid w:val="3939115E"/>
    <w:rsid w:val="39B82A39"/>
    <w:rsid w:val="39C42CA8"/>
    <w:rsid w:val="39CC5062"/>
    <w:rsid w:val="39DC4FD6"/>
    <w:rsid w:val="39F03D7A"/>
    <w:rsid w:val="39F33306"/>
    <w:rsid w:val="3A2C1C67"/>
    <w:rsid w:val="3ADD7F09"/>
    <w:rsid w:val="3B1705E5"/>
    <w:rsid w:val="3B18334B"/>
    <w:rsid w:val="3B36794F"/>
    <w:rsid w:val="3B3D61BD"/>
    <w:rsid w:val="3B6F6EE0"/>
    <w:rsid w:val="3C566AD6"/>
    <w:rsid w:val="3C594871"/>
    <w:rsid w:val="3C6A5B02"/>
    <w:rsid w:val="3D0300A8"/>
    <w:rsid w:val="3D267363"/>
    <w:rsid w:val="3D2757A1"/>
    <w:rsid w:val="3D3B0201"/>
    <w:rsid w:val="3D3D4FC4"/>
    <w:rsid w:val="3D43308F"/>
    <w:rsid w:val="3D677DCC"/>
    <w:rsid w:val="3DA90835"/>
    <w:rsid w:val="3DDF3AB1"/>
    <w:rsid w:val="3E1D0952"/>
    <w:rsid w:val="3E42660A"/>
    <w:rsid w:val="3E7555B1"/>
    <w:rsid w:val="3E787ED9"/>
    <w:rsid w:val="3EE811C2"/>
    <w:rsid w:val="3EE94A45"/>
    <w:rsid w:val="3F032E93"/>
    <w:rsid w:val="3F0527E5"/>
    <w:rsid w:val="3F4B1266"/>
    <w:rsid w:val="3F694D83"/>
    <w:rsid w:val="3F885DCC"/>
    <w:rsid w:val="3F8F64D8"/>
    <w:rsid w:val="3FCD675E"/>
    <w:rsid w:val="40027710"/>
    <w:rsid w:val="4004000C"/>
    <w:rsid w:val="40BD5482"/>
    <w:rsid w:val="40E12601"/>
    <w:rsid w:val="411B6CE5"/>
    <w:rsid w:val="412070D7"/>
    <w:rsid w:val="41314E40"/>
    <w:rsid w:val="415A0FC6"/>
    <w:rsid w:val="4199652C"/>
    <w:rsid w:val="41E0734B"/>
    <w:rsid w:val="426C1EA8"/>
    <w:rsid w:val="42736402"/>
    <w:rsid w:val="42E86A87"/>
    <w:rsid w:val="43307B09"/>
    <w:rsid w:val="439A3EB9"/>
    <w:rsid w:val="43BB152F"/>
    <w:rsid w:val="44C37687"/>
    <w:rsid w:val="44DF1B8D"/>
    <w:rsid w:val="44FE0DBC"/>
    <w:rsid w:val="45BA27F4"/>
    <w:rsid w:val="45CB699A"/>
    <w:rsid w:val="465B470D"/>
    <w:rsid w:val="469559DB"/>
    <w:rsid w:val="469D6AD4"/>
    <w:rsid w:val="471E6C84"/>
    <w:rsid w:val="4748792B"/>
    <w:rsid w:val="475D719D"/>
    <w:rsid w:val="47674801"/>
    <w:rsid w:val="47CD0F5B"/>
    <w:rsid w:val="48225EF7"/>
    <w:rsid w:val="488F422B"/>
    <w:rsid w:val="48E36915"/>
    <w:rsid w:val="48EB6572"/>
    <w:rsid w:val="495C4A24"/>
    <w:rsid w:val="497135DF"/>
    <w:rsid w:val="498502AC"/>
    <w:rsid w:val="49B95283"/>
    <w:rsid w:val="49FA026B"/>
    <w:rsid w:val="4A263DF2"/>
    <w:rsid w:val="4A6F6675"/>
    <w:rsid w:val="4B1132B6"/>
    <w:rsid w:val="4B135857"/>
    <w:rsid w:val="4B7951CB"/>
    <w:rsid w:val="4B7C315C"/>
    <w:rsid w:val="4C4B1D39"/>
    <w:rsid w:val="4C781903"/>
    <w:rsid w:val="4DAC4ACA"/>
    <w:rsid w:val="4DBE01D2"/>
    <w:rsid w:val="4DE82A5F"/>
    <w:rsid w:val="4EAE4DA6"/>
    <w:rsid w:val="4ED2625F"/>
    <w:rsid w:val="4F0C6BA3"/>
    <w:rsid w:val="4F186D58"/>
    <w:rsid w:val="4F9672A2"/>
    <w:rsid w:val="50DA6635"/>
    <w:rsid w:val="50F06B6E"/>
    <w:rsid w:val="519E3DF4"/>
    <w:rsid w:val="51CA5F3D"/>
    <w:rsid w:val="51D21804"/>
    <w:rsid w:val="52234D33"/>
    <w:rsid w:val="522F6E0C"/>
    <w:rsid w:val="52463BA1"/>
    <w:rsid w:val="52F163D4"/>
    <w:rsid w:val="531A2DB4"/>
    <w:rsid w:val="53920DAC"/>
    <w:rsid w:val="53C0244D"/>
    <w:rsid w:val="53DD4D4E"/>
    <w:rsid w:val="53E578CE"/>
    <w:rsid w:val="541330F0"/>
    <w:rsid w:val="54272666"/>
    <w:rsid w:val="543B029D"/>
    <w:rsid w:val="54861779"/>
    <w:rsid w:val="55165A8A"/>
    <w:rsid w:val="552256E1"/>
    <w:rsid w:val="554E5773"/>
    <w:rsid w:val="555829E0"/>
    <w:rsid w:val="555A3CBC"/>
    <w:rsid w:val="5582012B"/>
    <w:rsid w:val="558E4E05"/>
    <w:rsid w:val="55BE2E85"/>
    <w:rsid w:val="56420695"/>
    <w:rsid w:val="56530F5D"/>
    <w:rsid w:val="567700D3"/>
    <w:rsid w:val="56FF7E9E"/>
    <w:rsid w:val="574E404B"/>
    <w:rsid w:val="578867FC"/>
    <w:rsid w:val="5842572D"/>
    <w:rsid w:val="58D6064E"/>
    <w:rsid w:val="59754CD5"/>
    <w:rsid w:val="59820767"/>
    <w:rsid w:val="5A3B59D6"/>
    <w:rsid w:val="5AB55661"/>
    <w:rsid w:val="5AD134D8"/>
    <w:rsid w:val="5B076365"/>
    <w:rsid w:val="5C263CE4"/>
    <w:rsid w:val="5C5D2777"/>
    <w:rsid w:val="5CF66BF3"/>
    <w:rsid w:val="5D290C69"/>
    <w:rsid w:val="5E417DB0"/>
    <w:rsid w:val="5E6F75FB"/>
    <w:rsid w:val="5ED0419C"/>
    <w:rsid w:val="5F2D4A41"/>
    <w:rsid w:val="5F964E5F"/>
    <w:rsid w:val="5FA93E7F"/>
    <w:rsid w:val="605E26A9"/>
    <w:rsid w:val="60C74F6C"/>
    <w:rsid w:val="61025A59"/>
    <w:rsid w:val="613D5BBC"/>
    <w:rsid w:val="61536C39"/>
    <w:rsid w:val="619E5234"/>
    <w:rsid w:val="623D18BA"/>
    <w:rsid w:val="62944DD7"/>
    <w:rsid w:val="62E010C3"/>
    <w:rsid w:val="6319381F"/>
    <w:rsid w:val="63C25DC5"/>
    <w:rsid w:val="63C62057"/>
    <w:rsid w:val="64571EF5"/>
    <w:rsid w:val="64C3035F"/>
    <w:rsid w:val="64FB113D"/>
    <w:rsid w:val="65151063"/>
    <w:rsid w:val="65270084"/>
    <w:rsid w:val="656152C6"/>
    <w:rsid w:val="6587477F"/>
    <w:rsid w:val="658C3A08"/>
    <w:rsid w:val="658C582A"/>
    <w:rsid w:val="65C031CA"/>
    <w:rsid w:val="65CE6852"/>
    <w:rsid w:val="660F2580"/>
    <w:rsid w:val="66267C04"/>
    <w:rsid w:val="663F505A"/>
    <w:rsid w:val="66EE5541"/>
    <w:rsid w:val="67924660"/>
    <w:rsid w:val="67AD0D27"/>
    <w:rsid w:val="67F07212"/>
    <w:rsid w:val="68407834"/>
    <w:rsid w:val="68534D38"/>
    <w:rsid w:val="6883293E"/>
    <w:rsid w:val="688412AD"/>
    <w:rsid w:val="68EB1B71"/>
    <w:rsid w:val="69DF44BF"/>
    <w:rsid w:val="6A1B23DD"/>
    <w:rsid w:val="6A4A73F1"/>
    <w:rsid w:val="6A6C7940"/>
    <w:rsid w:val="6AAD2300"/>
    <w:rsid w:val="6B474EF5"/>
    <w:rsid w:val="6C0A5AC5"/>
    <w:rsid w:val="6C1156D8"/>
    <w:rsid w:val="6C560CAE"/>
    <w:rsid w:val="6C576495"/>
    <w:rsid w:val="6D903FF5"/>
    <w:rsid w:val="6DA955B8"/>
    <w:rsid w:val="6DE346AB"/>
    <w:rsid w:val="6DE5391A"/>
    <w:rsid w:val="6E076DA5"/>
    <w:rsid w:val="6EFD1324"/>
    <w:rsid w:val="6F5A53AC"/>
    <w:rsid w:val="6FAC003D"/>
    <w:rsid w:val="6FE55E12"/>
    <w:rsid w:val="6FFB2E76"/>
    <w:rsid w:val="708F6F7F"/>
    <w:rsid w:val="70D94BD3"/>
    <w:rsid w:val="70FB13E9"/>
    <w:rsid w:val="715C11B6"/>
    <w:rsid w:val="71C34D91"/>
    <w:rsid w:val="71F02BFB"/>
    <w:rsid w:val="72D850F7"/>
    <w:rsid w:val="72DB435C"/>
    <w:rsid w:val="72E2613A"/>
    <w:rsid w:val="72F771F4"/>
    <w:rsid w:val="732145F1"/>
    <w:rsid w:val="733B7399"/>
    <w:rsid w:val="737F240C"/>
    <w:rsid w:val="73934AD2"/>
    <w:rsid w:val="739D19BD"/>
    <w:rsid w:val="73FF61DE"/>
    <w:rsid w:val="7409326A"/>
    <w:rsid w:val="750837F0"/>
    <w:rsid w:val="754758CF"/>
    <w:rsid w:val="758A7EE3"/>
    <w:rsid w:val="764F62AB"/>
    <w:rsid w:val="765C45EC"/>
    <w:rsid w:val="768A7619"/>
    <w:rsid w:val="772E1EBA"/>
    <w:rsid w:val="781926BC"/>
    <w:rsid w:val="786C12A0"/>
    <w:rsid w:val="796D60A4"/>
    <w:rsid w:val="79875270"/>
    <w:rsid w:val="799B610F"/>
    <w:rsid w:val="79A031D5"/>
    <w:rsid w:val="7A1525F7"/>
    <w:rsid w:val="7A4E39B4"/>
    <w:rsid w:val="7A506EB7"/>
    <w:rsid w:val="7AB4245F"/>
    <w:rsid w:val="7B01255E"/>
    <w:rsid w:val="7B1014F4"/>
    <w:rsid w:val="7B420052"/>
    <w:rsid w:val="7BC05E14"/>
    <w:rsid w:val="7BD06A28"/>
    <w:rsid w:val="7BE11BCC"/>
    <w:rsid w:val="7BE307AE"/>
    <w:rsid w:val="7C3A7C0B"/>
    <w:rsid w:val="7C5248E4"/>
    <w:rsid w:val="7C566698"/>
    <w:rsid w:val="7C5866A3"/>
    <w:rsid w:val="7D7406BB"/>
    <w:rsid w:val="7DE94331"/>
    <w:rsid w:val="7E017648"/>
    <w:rsid w:val="7EBF0D0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8124</Words>
  <Characters>9653</Characters>
  <Lines>190</Lines>
  <Paragraphs>53</Paragraphs>
  <TotalTime>82</TotalTime>
  <ScaleCrop>false</ScaleCrop>
  <LinksUpToDate>false</LinksUpToDate>
  <CharactersWithSpaces>10688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2024-10-17T02:19:01Z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