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wordWrap/>
        <w:overflowPunct/>
        <w:topLinePunct w:val="0"/>
        <w:autoSpaceDE/>
        <w:autoSpaceDN/>
        <w:bidi w:val="0"/>
        <w:spacing w:line="594" w:lineRule="exact"/>
        <w:ind w:left="0" w:leftChars="0" w:firstLine="0" w:firstLineChars="0"/>
        <w:rPr>
          <w:rFonts w:hint="eastAsia" w:ascii="方正仿宋_GBK" w:hAnsi="方正仿宋_GBK" w:eastAsia="方正仿宋_GBK" w:cs="方正仿宋_GBK"/>
        </w:rPr>
      </w:pPr>
    </w:p>
    <w:p>
      <w:pPr>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pStyle w:val="2"/>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pStyle w:val="2"/>
        <w:pageBreakBefore w:val="0"/>
        <w:kinsoku/>
        <w:wordWrap/>
        <w:overflowPunct/>
        <w:topLinePunct w:val="0"/>
        <w:autoSpaceDE/>
        <w:autoSpaceDN/>
        <w:bidi w:val="0"/>
        <w:spacing w:line="594" w:lineRule="exact"/>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pPr>
      <w:r>
        <w:rPr>
          <w:rFonts w:hint="default" w:ascii="Times New Roman" w:hAnsi="Times New Roman" w:eastAsia="方正仿宋_GBK" w:cs="Times New Roman"/>
          <w:sz w:val="32"/>
          <w:szCs w:val="32"/>
          <w:lang w:val="en-US" w:eastAsia="zh-CN"/>
        </w:rPr>
        <w:t>冷水府发〔2021〕</w:t>
      </w:r>
      <w:r>
        <w:rPr>
          <w:rFonts w:hint="eastAsia" w:ascii="Times New Roman" w:hAnsi="Times New Roman" w:eastAsia="方正仿宋_GBK" w:cs="Times New Roman"/>
          <w:sz w:val="32"/>
          <w:szCs w:val="32"/>
          <w:lang w:val="en-US" w:eastAsia="zh-CN"/>
        </w:rPr>
        <w:t>17</w:t>
      </w:r>
      <w:bookmarkStart w:id="2" w:name="_GoBack"/>
      <w:bookmarkEnd w:id="2"/>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号</w:t>
      </w:r>
    </w:p>
    <w:p>
      <w:pPr>
        <w:pStyle w:val="5"/>
        <w:pageBreakBefore w:val="0"/>
        <w:kinsoku/>
        <w:wordWrap/>
        <w:overflowPunct/>
        <w:topLinePunct w:val="0"/>
        <w:autoSpaceDE/>
        <w:autoSpaceDN/>
        <w:bidi w:val="0"/>
        <w:spacing w:line="594" w:lineRule="exact"/>
      </w:pPr>
    </w:p>
    <w:p>
      <w:pPr>
        <w:pageBreakBefore w:val="0"/>
        <w:kinsoku/>
        <w:wordWrap/>
        <w:overflowPunct/>
        <w:topLinePunct w:val="0"/>
        <w:autoSpaceDE/>
        <w:autoSpaceDN/>
        <w:bidi w:val="0"/>
        <w:adjustRightInd w:val="0"/>
        <w:snapToGrid w:val="0"/>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冷水镇人民政府</w:t>
      </w:r>
    </w:p>
    <w:p>
      <w:pPr>
        <w:pageBreakBefore w:val="0"/>
        <w:kinsoku/>
        <w:wordWrap/>
        <w:overflowPunct/>
        <w:topLinePunct w:val="0"/>
        <w:autoSpaceDE/>
        <w:autoSpaceDN/>
        <w:bidi w:val="0"/>
        <w:adjustRightInd w:val="0"/>
        <w:snapToGrid w:val="0"/>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关于印发《全</w:t>
      </w:r>
      <w:r>
        <w:rPr>
          <w:rFonts w:hint="eastAsia" w:ascii="Times New Roman" w:hAnsi="Times New Roman" w:eastAsia="方正小标宋_GBK" w:cs="Times New Roman"/>
          <w:sz w:val="44"/>
          <w:szCs w:val="44"/>
        </w:rPr>
        <w:t>镇</w:t>
      </w:r>
      <w:r>
        <w:rPr>
          <w:rFonts w:ascii="Times New Roman" w:hAnsi="Times New Roman" w:eastAsia="方正小标宋_GBK" w:cs="Times New Roman"/>
          <w:sz w:val="44"/>
          <w:szCs w:val="44"/>
        </w:rPr>
        <w:t>工贸企业使用危险化学品</w:t>
      </w:r>
      <w:bookmarkStart w:id="0" w:name="bookmark1"/>
      <w:r>
        <w:rPr>
          <w:rFonts w:ascii="Times New Roman" w:hAnsi="Times New Roman" w:eastAsia="方正小标宋_GBK" w:cs="Times New Roman"/>
          <w:sz w:val="44"/>
          <w:szCs w:val="44"/>
        </w:rPr>
        <w:t>安全专项整治方案》的通知</w:t>
      </w:r>
      <w:bookmarkEnd w:id="0"/>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p>
    <w:p>
      <w:pPr>
        <w:pageBreakBefore w:val="0"/>
        <w:kinsoku/>
        <w:wordWrap/>
        <w:overflowPunct/>
        <w:topLinePunct w:val="0"/>
        <w:autoSpaceDE/>
        <w:autoSpaceDN/>
        <w:bidi w:val="0"/>
        <w:adjustRightInd w:val="0"/>
        <w:snapToGrid w:val="0"/>
        <w:spacing w:line="594"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各村民委员会、各企事业单位、镇属相关科室</w:t>
      </w:r>
      <w:r>
        <w:rPr>
          <w:rFonts w:ascii="Times New Roman" w:hAnsi="Times New Roman" w:eastAsia="方正仿宋_GBK" w:cs="Times New Roman"/>
          <w:sz w:val="32"/>
          <w:szCs w:val="32"/>
        </w:rPr>
        <w:t>：</w:t>
      </w:r>
    </w:p>
    <w:p>
      <w:pPr>
        <w:pageBreakBefore w:val="0"/>
        <w:kinsoku/>
        <w:wordWrap/>
        <w:overflowPunct/>
        <w:topLinePunct w:val="0"/>
        <w:autoSpaceDE/>
        <w:autoSpaceDN/>
        <w:bidi w:val="0"/>
        <w:adjustRightInd w:val="0"/>
        <w:snapToGrid w:val="0"/>
        <w:spacing w:line="594"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为深入贯彻落实习近平总书记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从根本上消除事故隐患</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的重要指示精神，按照</w:t>
      </w:r>
      <w:r>
        <w:rPr>
          <w:rFonts w:hint="eastAsia" w:ascii="Times New Roman" w:hAnsi="Times New Roman" w:eastAsia="方正仿宋_GBK" w:cs="Times New Roman"/>
          <w:sz w:val="32"/>
          <w:szCs w:val="32"/>
        </w:rPr>
        <w:t>县委、县政府相关要求和</w:t>
      </w:r>
      <w:r>
        <w:rPr>
          <w:rFonts w:ascii="Times New Roman" w:hAnsi="Times New Roman" w:eastAsia="方正仿宋_GBK" w:cs="Times New Roman"/>
          <w:sz w:val="32"/>
          <w:szCs w:val="32"/>
        </w:rPr>
        <w:t>县安全生产委员会办公室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关于印发</w:t>
      </w:r>
      <w:r>
        <w:rPr>
          <w:rFonts w:hint="eastAsia" w:ascii="方正仿宋_GBK" w:hAnsi="方正仿宋_GBK" w:eastAsia="方正仿宋_GBK" w:cs="方正仿宋_GBK"/>
          <w:sz w:val="32"/>
          <w:szCs w:val="32"/>
        </w:rPr>
        <w:t>&lt;</w:t>
      </w:r>
      <w:r>
        <w:rPr>
          <w:rFonts w:ascii="Times New Roman" w:hAnsi="Times New Roman" w:eastAsia="方正仿宋_GBK" w:cs="Times New Roman"/>
          <w:sz w:val="32"/>
          <w:szCs w:val="32"/>
        </w:rPr>
        <w:t>全县工贸企业使用危险化学品安全专项整治方案</w:t>
      </w:r>
      <w:r>
        <w:rPr>
          <w:rFonts w:hint="eastAsia" w:ascii="方正仿宋_GBK" w:hAnsi="方正仿宋_GBK" w:eastAsia="方正仿宋_GBK" w:cs="方正仿宋_GBK"/>
          <w:sz w:val="32"/>
          <w:szCs w:val="32"/>
        </w:rPr>
        <w:t>&gt;</w:t>
      </w:r>
      <w:r>
        <w:rPr>
          <w:rFonts w:ascii="Times New Roman" w:hAnsi="Times New Roman" w:eastAsia="方正仿宋_GBK" w:cs="Times New Roman"/>
          <w:sz w:val="32"/>
          <w:szCs w:val="32"/>
        </w:rPr>
        <w:t>的通知》（石安委</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发〔2021〕</w:t>
      </w:r>
      <w:r>
        <w:rPr>
          <w:rFonts w:hint="eastAsia" w:ascii="Times New Roman" w:hAnsi="Times New Roman" w:eastAsia="方正仿宋_GBK" w:cs="Times New Roman"/>
          <w:sz w:val="32"/>
          <w:szCs w:val="32"/>
        </w:rPr>
        <w:t>119</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文件精神</w:t>
      </w:r>
      <w:r>
        <w:rPr>
          <w:rFonts w:ascii="Times New Roman" w:hAnsi="Times New Roman" w:eastAsia="方正仿宋_GBK" w:cs="Times New Roman"/>
          <w:sz w:val="32"/>
          <w:szCs w:val="32"/>
        </w:rPr>
        <w:t>，从即日起至2022年底，在全</w:t>
      </w:r>
      <w:r>
        <w:rPr>
          <w:rFonts w:hint="eastAsia" w:ascii="Times New Roman" w:hAnsi="Times New Roman" w:eastAsia="方正仿宋_GBK" w:cs="Times New Roman"/>
          <w:sz w:val="32"/>
          <w:szCs w:val="32"/>
        </w:rPr>
        <w:t>镇</w:t>
      </w:r>
      <w:r>
        <w:rPr>
          <w:rFonts w:ascii="Times New Roman" w:hAnsi="Times New Roman" w:eastAsia="方正仿宋_GBK" w:cs="Times New Roman"/>
          <w:sz w:val="32"/>
          <w:szCs w:val="32"/>
        </w:rPr>
        <w:t>范围内集中开展工贸企业使用危险化学品安全专项整治</w:t>
      </w:r>
      <w:r>
        <w:rPr>
          <w:rFonts w:hint="eastAsia" w:ascii="Times New Roman" w:hAnsi="Times New Roman" w:eastAsia="方正仿宋_GBK" w:cs="Times New Roman"/>
          <w:sz w:val="32"/>
          <w:szCs w:val="32"/>
        </w:rPr>
        <w:t>行动</w:t>
      </w:r>
      <w:r>
        <w:rPr>
          <w:rFonts w:ascii="Times New Roman" w:hAnsi="Times New Roman" w:eastAsia="方正仿宋_GBK" w:cs="Times New Roman"/>
          <w:sz w:val="32"/>
          <w:szCs w:val="32"/>
        </w:rPr>
        <w:t>，有效防范和遏制使用危险化学品引发的各类安全事故。结合本</w:t>
      </w:r>
      <w:r>
        <w:rPr>
          <w:rFonts w:hint="eastAsia" w:ascii="Times New Roman" w:hAnsi="Times New Roman" w:eastAsia="方正仿宋_GBK" w:cs="Times New Roman"/>
          <w:sz w:val="32"/>
          <w:szCs w:val="32"/>
        </w:rPr>
        <w:t>镇</w:t>
      </w:r>
      <w:r>
        <w:rPr>
          <w:rFonts w:ascii="Times New Roman" w:hAnsi="Times New Roman" w:eastAsia="方正仿宋_GBK" w:cs="Times New Roman"/>
          <w:sz w:val="32"/>
          <w:szCs w:val="32"/>
        </w:rPr>
        <w:t>实际，</w:t>
      </w:r>
      <w:r>
        <w:rPr>
          <w:rFonts w:hint="eastAsia" w:ascii="Times New Roman" w:hAnsi="Times New Roman" w:eastAsia="方正仿宋_GBK" w:cs="Times New Roman"/>
          <w:sz w:val="32"/>
          <w:szCs w:val="32"/>
        </w:rPr>
        <w:t>特</w:t>
      </w:r>
      <w:r>
        <w:rPr>
          <w:rFonts w:ascii="Times New Roman" w:hAnsi="Times New Roman" w:eastAsia="方正仿宋_GBK" w:cs="Times New Roman"/>
          <w:sz w:val="32"/>
          <w:szCs w:val="32"/>
        </w:rPr>
        <w:t>制定如下工作方案。</w:t>
      </w:r>
    </w:p>
    <w:p>
      <w:pPr>
        <w:pageBreakBefore w:val="0"/>
        <w:kinsoku/>
        <w:wordWrap/>
        <w:overflowPunct/>
        <w:topLinePunct w:val="0"/>
        <w:autoSpaceDE/>
        <w:autoSpaceDN/>
        <w:bidi w:val="0"/>
        <w:adjustRightInd w:val="0"/>
        <w:snapToGrid w:val="0"/>
        <w:spacing w:line="594"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w:t>
      </w:r>
      <w:r>
        <w:rPr>
          <w:rFonts w:ascii="Times New Roman" w:hAnsi="Times New Roman" w:eastAsia="方正黑体_GBK" w:cs="Times New Roman"/>
          <w:sz w:val="32"/>
          <w:szCs w:val="32"/>
        </w:rPr>
        <w:t>、工作目标</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通过专项整治，摸清</w:t>
      </w:r>
      <w:r>
        <w:rPr>
          <w:rFonts w:hint="eastAsia" w:ascii="Times New Roman" w:hAnsi="Times New Roman" w:eastAsia="方正仿宋_GBK" w:cs="Times New Roman"/>
          <w:sz w:val="32"/>
          <w:szCs w:val="32"/>
        </w:rPr>
        <w:t>辖区</w:t>
      </w:r>
      <w:r>
        <w:rPr>
          <w:rFonts w:ascii="Times New Roman" w:hAnsi="Times New Roman" w:eastAsia="方正仿宋_GBK" w:cs="Times New Roman"/>
          <w:sz w:val="32"/>
          <w:szCs w:val="32"/>
        </w:rPr>
        <w:t>工贸企业使用危险化学品的基本情况、安全风险和重大危险源，治理涉及危险化学品使用的重大安全隐患和突出违法行为，提升从业人员安全意识和管理水平，改善危险化学品使用安全管控水平，</w:t>
      </w:r>
      <w:r>
        <w:rPr>
          <w:rFonts w:hint="eastAsia" w:ascii="Times New Roman" w:hAnsi="Times New Roman" w:eastAsia="方正仿宋_GBK" w:cs="Times New Roman"/>
          <w:sz w:val="32"/>
          <w:szCs w:val="32"/>
        </w:rPr>
        <w:t>防范</w:t>
      </w:r>
      <w:r>
        <w:rPr>
          <w:rFonts w:ascii="Times New Roman" w:hAnsi="Times New Roman" w:eastAsia="方正仿宋_GBK" w:cs="Times New Roman"/>
          <w:sz w:val="32"/>
          <w:szCs w:val="32"/>
        </w:rPr>
        <w:t>使用危险化学品引发的各类生产安全事故。</w:t>
      </w:r>
    </w:p>
    <w:p>
      <w:pPr>
        <w:pageBreakBefore w:val="0"/>
        <w:kinsoku/>
        <w:wordWrap/>
        <w:overflowPunct/>
        <w:topLinePunct w:val="0"/>
        <w:autoSpaceDE/>
        <w:autoSpaceDN/>
        <w:bidi w:val="0"/>
        <w:adjustRightInd w:val="0"/>
        <w:snapToGrid w:val="0"/>
        <w:spacing w:line="594"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整治范围</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治理对象：</w:t>
      </w:r>
      <w:r>
        <w:rPr>
          <w:rFonts w:hint="eastAsia" w:ascii="Times New Roman" w:hAnsi="Times New Roman" w:eastAsia="方正仿宋_GBK" w:cs="Times New Roman"/>
          <w:sz w:val="32"/>
          <w:szCs w:val="32"/>
        </w:rPr>
        <w:t>辖区内涉及</w:t>
      </w:r>
      <w:r>
        <w:rPr>
          <w:rFonts w:ascii="Times New Roman" w:hAnsi="Times New Roman" w:eastAsia="方正仿宋_GBK" w:cs="Times New Roman"/>
          <w:sz w:val="32"/>
          <w:szCs w:val="32"/>
        </w:rPr>
        <w:t>冶金、有色、建材、机械、轻工、纺织、烟草、商贸等八大行业涉及危险化学品的企业。</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治理重点：涉及使用易燃易爆和有毒危险化学品的企业。</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危险化学品是指具有毒害、腐蚀、爆炸、燃烧、助燃等性质，对人体、设施、环境具有危害的剧毒化学品和其他化学品。</w:t>
      </w:r>
    </w:p>
    <w:p>
      <w:pPr>
        <w:pageBreakBefore w:val="0"/>
        <w:kinsoku/>
        <w:wordWrap/>
        <w:overflowPunct/>
        <w:topLinePunct w:val="0"/>
        <w:autoSpaceDE/>
        <w:autoSpaceDN/>
        <w:bidi w:val="0"/>
        <w:adjustRightInd w:val="0"/>
        <w:snapToGrid w:val="0"/>
        <w:spacing w:line="594"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、整治内容</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（一）整治要求</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 企业要建立危险化学品安全管理责任制、安全风险分级管控和隐患排查治理制度、</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两单两卡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（岗位风险清单、岗位职责清单、岗位操作卡、岗位应急处置卡）等安全管理基础资料。</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 企业要建立在危险化学品生产、使用、储存、装卸等场所实施特殊作业（动火、进入有限空间、盲板抽堵、临时用电）安全管理制度。</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 企业要向具备危险化学品生产、经营资质的单位采购危险化学品，采购的危险化学品要有安全技术说明书和化学品安全标签。要对涉及使用危险化学品的从业人员开展危险化学品安全技术说明书和安全标签等内容的专项安全教育培训、配备相应劳动防护用品。</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 企业要按危险化学品储存相关标准要求，分区、分类、分库储存，严禁超量、超范围和禁忌物质混放混存；储存和使用区域要按要求设置安全警示标识；储存和使用可燃、有毒危险化学品的场所（设施）要按要求设置监测报警系统；储存和使用易燃、易爆危险化学品的场所（设施）的电气、工具等要符合相关防火防爆标准规范要求。</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 危险化学品储存和使用场所严禁与办公室、休息室、值班室、宿舍设置在同一连通空间；在具有甲、乙类火灾危险性、粉尘爆炸危险性、中毒危险性的厂房（含装置或车间）和仓库内严禁布置办公室、休息室、控制室、交接班室、外操室、巡检室等。</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 涉及储存和使用易燃、易爆危险化学品的厂房、库房，应向消防设计审查验收主管部门申请消防设计审查验收。</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 贮存的危险废物要按危险废物的种类和特性进行分区贮存，并采取防雨、防火、防雷、防扬尘、防晒、防渗漏等措施。</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 企业要制定使用危险化学品安全事故专项应急预案或现场处置方案，定期开展应急培训和演练，并适时修订完善。</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 企业要对本单位的化工工艺进行辨识，确定其是否属于重点监管的危险化工工艺（具体参照《重点监管危险化工工艺目录》（2013年完整版））。采用危险化工工艺的企业，要装备完善的自动化控制系统，大型和高度危险化工装置要装备紧急停车系统和安全联锁装置，并开展危险与可操作性分析（HAZOP），强化在役生产装置安全诊断，及时消除安全隐患，提高装置本质安全水平。</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（二）重大危险源</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bookmarkStart w:id="1" w:name="OLE_LINK1"/>
      <w:r>
        <w:rPr>
          <w:rFonts w:ascii="Times New Roman" w:hAnsi="Times New Roman" w:eastAsia="方正仿宋_GBK" w:cs="Times New Roman"/>
          <w:sz w:val="32"/>
          <w:szCs w:val="32"/>
        </w:rPr>
        <w:t xml:space="preserve">. </w:t>
      </w:r>
      <w:bookmarkEnd w:id="1"/>
      <w:r>
        <w:rPr>
          <w:rFonts w:ascii="Times New Roman" w:hAnsi="Times New Roman" w:eastAsia="方正仿宋_GBK" w:cs="Times New Roman"/>
          <w:sz w:val="32"/>
          <w:szCs w:val="32"/>
        </w:rPr>
        <w:t>企业要按照要求对重大危险源进行辨识、分级、安全评估、建档、变更和备案。</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涉及可燃、有毒气体的重大危险源设施、装置要按要求设置泄漏检测报警装置、紧急切断装置、自动化控制系统等监测监控系统。</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重大危险源场所要设置显著的安全警示牌和危险物质安全告知牌，明确危险特性及数量、紧急情况下的应急处置措施，明确重大危险源管理责任人和应急电话，对责任人和岗位操作人员进行安全操作技能培训，并将危害后果及应急措施等信息告知可能受影响的单位、区域和人员。</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4. </w:t>
      </w:r>
      <w:r>
        <w:rPr>
          <w:rFonts w:hint="eastAsia" w:ascii="Times New Roman" w:hAnsi="Times New Roman" w:eastAsia="方正仿宋_GBK" w:cs="Times New Roman"/>
          <w:sz w:val="32"/>
          <w:szCs w:val="32"/>
        </w:rPr>
        <w:t>应急办要按</w:t>
      </w:r>
      <w:r>
        <w:rPr>
          <w:rFonts w:ascii="Times New Roman" w:hAnsi="Times New Roman" w:eastAsia="方正仿宋_GBK" w:cs="Times New Roman"/>
          <w:sz w:val="32"/>
          <w:szCs w:val="32"/>
        </w:rPr>
        <w:t>要求携</w:t>
      </w:r>
      <w:r>
        <w:rPr>
          <w:rFonts w:hint="eastAsia" w:ascii="Times New Roman" w:hAnsi="Times New Roman" w:eastAsia="方正仿宋_GBK" w:cs="Times New Roman"/>
          <w:sz w:val="32"/>
          <w:szCs w:val="32"/>
        </w:rPr>
        <w:t>带</w:t>
      </w:r>
      <w:r>
        <w:rPr>
          <w:rFonts w:ascii="Times New Roman" w:hAnsi="Times New Roman" w:eastAsia="方正仿宋_GBK" w:cs="Times New Roman"/>
          <w:sz w:val="32"/>
          <w:szCs w:val="32"/>
        </w:rPr>
        <w:t>可燃有毒气体浓度检测设备定期</w:t>
      </w:r>
      <w:r>
        <w:rPr>
          <w:rFonts w:hint="eastAsia" w:ascii="Times New Roman" w:hAnsi="Times New Roman" w:eastAsia="方正仿宋_GBK" w:cs="Times New Roman"/>
          <w:sz w:val="32"/>
          <w:szCs w:val="32"/>
        </w:rPr>
        <w:t>使用危险化学品企业</w:t>
      </w:r>
      <w:r>
        <w:rPr>
          <w:rFonts w:ascii="Times New Roman" w:hAnsi="Times New Roman" w:eastAsia="方正仿宋_GBK" w:cs="Times New Roman"/>
          <w:sz w:val="32"/>
          <w:szCs w:val="32"/>
        </w:rPr>
        <w:t>进行</w:t>
      </w:r>
      <w:r>
        <w:rPr>
          <w:rFonts w:hint="eastAsia" w:ascii="Times New Roman" w:hAnsi="Times New Roman" w:eastAsia="方正仿宋_GBK" w:cs="Times New Roman"/>
          <w:sz w:val="32"/>
          <w:szCs w:val="32"/>
        </w:rPr>
        <w:t>检测，并督促</w:t>
      </w:r>
      <w:r>
        <w:rPr>
          <w:rFonts w:ascii="Times New Roman" w:hAnsi="Times New Roman" w:eastAsia="方正仿宋_GBK" w:cs="Times New Roman"/>
          <w:sz w:val="32"/>
          <w:szCs w:val="32"/>
        </w:rPr>
        <w:t>企业要制定重大危险源专项应急预案，明确应急处置人员</w:t>
      </w:r>
      <w:r>
        <w:rPr>
          <w:rFonts w:hint="eastAsia" w:ascii="Times New Roman" w:hAnsi="Times New Roman" w:eastAsia="方正仿宋_GBK" w:cs="Times New Roman"/>
          <w:sz w:val="32"/>
          <w:szCs w:val="32"/>
        </w:rPr>
        <w:t>。</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企业要将重大危险源相关数据接入全国危险化学品安全生产风险监测预警系统。</w:t>
      </w:r>
    </w:p>
    <w:p>
      <w:pPr>
        <w:pageBreakBefore w:val="0"/>
        <w:kinsoku/>
        <w:wordWrap/>
        <w:overflowPunct/>
        <w:topLinePunct w:val="0"/>
        <w:autoSpaceDE/>
        <w:autoSpaceDN/>
        <w:bidi w:val="0"/>
        <w:adjustRightInd w:val="0"/>
        <w:snapToGrid w:val="0"/>
        <w:spacing w:line="594"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五、进度安排</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从2021年11月至2022年12月，分四个阶段进行。</w:t>
      </w:r>
    </w:p>
    <w:p>
      <w:pPr>
        <w:pageBreakBefore w:val="0"/>
        <w:numPr>
          <w:ilvl w:val="0"/>
          <w:numId w:val="1"/>
        </w:numPr>
        <w:kinsoku/>
        <w:wordWrap/>
        <w:overflowPunct/>
        <w:topLinePunct w:val="0"/>
        <w:autoSpaceDE/>
        <w:autoSpaceDN/>
        <w:bidi w:val="0"/>
        <w:adjustRightInd w:val="0"/>
        <w:snapToGrid w:val="0"/>
        <w:spacing w:line="594" w:lineRule="exact"/>
        <w:ind w:firstLine="640" w:firstLineChars="200"/>
        <w:rPr>
          <w:rFonts w:ascii="仿宋" w:hAnsi="仿宋" w:eastAsia="仿宋" w:cs="仿宋"/>
          <w:color w:val="000000"/>
          <w:sz w:val="32"/>
          <w:szCs w:val="32"/>
          <w:shd w:val="clear" w:color="auto" w:fill="FFFFFF"/>
        </w:rPr>
      </w:pPr>
      <w:r>
        <w:rPr>
          <w:rFonts w:ascii="Times New Roman" w:hAnsi="Times New Roman" w:eastAsia="方正楷体_GBK" w:cs="Times New Roman"/>
          <w:sz w:val="32"/>
          <w:szCs w:val="32"/>
        </w:rPr>
        <w:t>动员部署阶段（2021年11月）</w:t>
      </w:r>
    </w:p>
    <w:p>
      <w:pPr>
        <w:pageBreakBefore w:val="0"/>
        <w:numPr>
          <w:numId w:val="0"/>
        </w:numPr>
        <w:kinsoku/>
        <w:wordWrap/>
        <w:overflowPunct/>
        <w:topLinePunct w:val="0"/>
        <w:autoSpaceDE/>
        <w:autoSpaceDN/>
        <w:bidi w:val="0"/>
        <w:adjustRightInd w:val="0"/>
        <w:snapToGrid w:val="0"/>
        <w:spacing w:line="594" w:lineRule="exact"/>
        <w:ind w:firstLine="640" w:firstLineChars="200"/>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由各村、相关科室将专项整治工作要求传达到每一家相关企业，并结合实际情况，制定符合本地区特点的工作方案。</w:t>
      </w:r>
    </w:p>
    <w:p>
      <w:pPr>
        <w:pageBreakBefore w:val="0"/>
        <w:numPr>
          <w:ilvl w:val="0"/>
          <w:numId w:val="1"/>
        </w:numPr>
        <w:kinsoku/>
        <w:wordWrap/>
        <w:overflowPunct/>
        <w:topLinePunct w:val="0"/>
        <w:autoSpaceDE/>
        <w:autoSpaceDN/>
        <w:bidi w:val="0"/>
        <w:adjustRightInd w:val="0"/>
        <w:snapToGrid w:val="0"/>
        <w:spacing w:line="594" w:lineRule="exact"/>
        <w:ind w:left="0" w:leftChars="0"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排查整治阶段（2021年11月至2022年4月）</w:t>
      </w:r>
    </w:p>
    <w:p>
      <w:pPr>
        <w:pageBreakBefore w:val="0"/>
        <w:numPr>
          <w:numId w:val="0"/>
        </w:numPr>
        <w:kinsoku/>
        <w:wordWrap/>
        <w:overflowPunct/>
        <w:topLinePunct w:val="0"/>
        <w:autoSpaceDE/>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shd w:val="clear" w:color="auto" w:fill="FFFFFF"/>
        </w:rPr>
        <w:t>应急办深入开展排查，摸清使用企业底数，要参照《重庆市工</w:t>
      </w:r>
      <w:r>
        <w:rPr>
          <w:rFonts w:hint="default" w:ascii="Times New Roman" w:hAnsi="Times New Roman" w:eastAsia="方正仿宋_GBK" w:cs="Times New Roman"/>
          <w:sz w:val="32"/>
          <w:szCs w:val="32"/>
        </w:rPr>
        <w:t>贸行业危险化学品安全管理指南（试行）》（渝安办﹝2021﹞46号），督促辖区内工贸企业深入开展</w:t>
      </w:r>
      <w:r>
        <w:rPr>
          <w:rFonts w:hint="default" w:ascii="Times New Roman" w:hAnsi="Times New Roman" w:eastAsia="方正仿宋_GBK" w:cs="Times New Roman"/>
          <w:color w:val="000000"/>
          <w:sz w:val="32"/>
          <w:szCs w:val="32"/>
          <w:shd w:val="clear" w:color="auto" w:fill="FFFFFF"/>
        </w:rPr>
        <w:t>自查自纠</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color w:val="000000"/>
          <w:sz w:val="32"/>
          <w:szCs w:val="32"/>
          <w:shd w:val="clear" w:color="auto" w:fill="FFFFFF"/>
        </w:rPr>
        <w:t>。对排查出的风险隐患，企业要明确责任人、整改措施、整改期限、整改资金、完善应急预案。在企业自查自纠的基础上，开展为期五个月的集中整治行动，严厉打击危险化学品使用环节安全责任不落实、长期未开展危险化学品进口登记和使用申报、未按规定实施重大危险源管理和安全评价的违法违规行为。</w:t>
      </w:r>
    </w:p>
    <w:p>
      <w:pPr>
        <w:pageBreakBefore w:val="0"/>
        <w:numPr>
          <w:ilvl w:val="0"/>
          <w:numId w:val="1"/>
        </w:numPr>
        <w:kinsoku/>
        <w:wordWrap/>
        <w:overflowPunct/>
        <w:topLinePunct w:val="0"/>
        <w:autoSpaceDE/>
        <w:autoSpaceDN/>
        <w:bidi w:val="0"/>
        <w:adjustRightInd w:val="0"/>
        <w:snapToGrid w:val="0"/>
        <w:spacing w:line="594" w:lineRule="exact"/>
        <w:ind w:left="0" w:leftChars="0"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集中攻坚阶段（2022年5月至10月）</w:t>
      </w:r>
    </w:p>
    <w:p>
      <w:pPr>
        <w:pageBreakBefore w:val="0"/>
        <w:numPr>
          <w:numId w:val="0"/>
        </w:numPr>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镇应急办联合冷水派出所将通过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四不两直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、联合执法等方式开展随机抽查，对涉及使用危险化学品的重点企业、重点环节和重要场所安全风险隐患整治情况进行督查检查，</w:t>
      </w:r>
      <w:r>
        <w:rPr>
          <w:rFonts w:hint="eastAsia" w:ascii="方正仿宋_GBK" w:hAnsi="方正仿宋_GBK" w:eastAsia="方正仿宋_GBK" w:cs="方正仿宋_GBK"/>
          <w:color w:val="000000"/>
          <w:sz w:val="32"/>
          <w:szCs w:val="32"/>
          <w:shd w:val="clear" w:color="auto" w:fill="FFFFFF"/>
        </w:rPr>
        <w:t>对仍然存在重大隐患，被责令暂时停产停业或停止使用相关设施、设备，未经审查同意擅自恢复生产经营和使用的使用企业，采取媒体公开曝光、实施联合惩戒或纳入</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黑名单</w:t>
      </w:r>
      <w:r>
        <w:rPr>
          <w:rFonts w:hint="eastAsia"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rPr>
        <w:t>等措施，倒逼企业落实安全生产主体责任，</w:t>
      </w:r>
      <w:r>
        <w:rPr>
          <w:rFonts w:hint="eastAsia" w:ascii="方正仿宋_GBK" w:hAnsi="方正仿宋_GBK" w:eastAsia="方正仿宋_GBK" w:cs="方正仿宋_GBK"/>
          <w:sz w:val="32"/>
          <w:szCs w:val="32"/>
        </w:rPr>
        <w:t>确保专项整治行动取得实效。</w:t>
      </w:r>
    </w:p>
    <w:p>
      <w:pPr>
        <w:pStyle w:val="10"/>
        <w:pageBreakBefore w:val="0"/>
        <w:widowControl/>
        <w:numPr>
          <w:ilvl w:val="0"/>
          <w:numId w:val="1"/>
        </w:numPr>
        <w:shd w:val="clear" w:color="auto" w:fill="FFFFFF"/>
        <w:kinsoku/>
        <w:wordWrap/>
        <w:overflowPunct/>
        <w:topLinePunct w:val="0"/>
        <w:autoSpaceDE/>
        <w:autoSpaceDN/>
        <w:bidi w:val="0"/>
        <w:spacing w:beforeAutospacing="0" w:afterAutospacing="0" w:line="594" w:lineRule="exact"/>
        <w:ind w:left="0" w:leftChars="0" w:firstLine="640" w:firstLineChars="200"/>
        <w:jc w:val="both"/>
        <w:rPr>
          <w:rFonts w:ascii="Times New Roman" w:hAnsi="Times New Roman" w:eastAsia="方正楷体_GBK"/>
          <w:sz w:val="32"/>
          <w:szCs w:val="32"/>
        </w:rPr>
      </w:pPr>
      <w:r>
        <w:rPr>
          <w:rFonts w:ascii="Times New Roman" w:hAnsi="Times New Roman" w:eastAsia="方正楷体_GBK"/>
          <w:sz w:val="32"/>
          <w:szCs w:val="32"/>
        </w:rPr>
        <w:t>巩固提升阶段（2022年12月底前）</w:t>
      </w:r>
    </w:p>
    <w:p>
      <w:pPr>
        <w:pStyle w:val="10"/>
        <w:pageBreakBefore w:val="0"/>
        <w:widowControl/>
        <w:numPr>
          <w:numId w:val="0"/>
        </w:numPr>
        <w:shd w:val="clear" w:color="auto" w:fill="FFFFFF"/>
        <w:kinsoku/>
        <w:wordWrap/>
        <w:overflowPunct/>
        <w:topLinePunct w:val="0"/>
        <w:autoSpaceDE/>
        <w:autoSpaceDN/>
        <w:bidi w:val="0"/>
        <w:spacing w:beforeAutospacing="0" w:afterAutospacing="0" w:line="594" w:lineRule="exact"/>
        <w:ind w:firstLine="640"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各村、各科室要认真总结此次专项整治经验，</w:t>
      </w:r>
      <w:r>
        <w:rPr>
          <w:rFonts w:hint="eastAsia" w:ascii="方正仿宋_GBK" w:hAnsi="方正仿宋_GBK" w:eastAsia="方正仿宋_GBK" w:cs="方正仿宋_GBK"/>
          <w:kern w:val="2"/>
          <w:sz w:val="32"/>
          <w:szCs w:val="32"/>
        </w:rPr>
        <w:t>梳理典型经验做法，</w:t>
      </w:r>
      <w:r>
        <w:rPr>
          <w:rFonts w:hint="eastAsia" w:ascii="方正仿宋_GBK" w:hAnsi="方正仿宋_GBK" w:eastAsia="方正仿宋_GBK" w:cs="方正仿宋_GBK"/>
          <w:color w:val="000000"/>
          <w:sz w:val="32"/>
          <w:szCs w:val="32"/>
          <w:shd w:val="clear" w:color="auto" w:fill="FFFFFF"/>
        </w:rPr>
        <w:t>谋划长效治理机制，提出建设性的意见和建议。集中整治阶段发现的违法行为或隐患问题，要力争在年底前形成工作闭环。</w:t>
      </w:r>
    </w:p>
    <w:p>
      <w:pPr>
        <w:pageBreakBefore w:val="0"/>
        <w:kinsoku/>
        <w:wordWrap/>
        <w:overflowPunct/>
        <w:topLinePunct w:val="0"/>
        <w:autoSpaceDE/>
        <w:autoSpaceDN/>
        <w:bidi w:val="0"/>
        <w:adjustRightInd w:val="0"/>
        <w:snapToGrid w:val="0"/>
        <w:spacing w:line="594"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w:t>
      </w:r>
      <w:r>
        <w:rPr>
          <w:rFonts w:ascii="Times New Roman" w:hAnsi="Times New Roman" w:eastAsia="方正黑体_GBK" w:cs="Times New Roman"/>
          <w:sz w:val="32"/>
          <w:szCs w:val="32"/>
        </w:rPr>
        <w:t>、工作要求</w:t>
      </w:r>
    </w:p>
    <w:p>
      <w:pPr>
        <w:pageBreakBefore w:val="0"/>
        <w:kinsoku/>
        <w:wordWrap/>
        <w:overflowPunct/>
        <w:topLinePunct w:val="0"/>
        <w:autoSpaceDE/>
        <w:autoSpaceDN/>
        <w:bidi w:val="0"/>
        <w:adjustRightInd w:val="0"/>
        <w:snapToGrid w:val="0"/>
        <w:spacing w:line="594" w:lineRule="exact"/>
        <w:ind w:firstLine="640" w:firstLineChars="200"/>
        <w:rPr>
          <w:rFonts w:hint="eastAsia" w:ascii="Times New Roman" w:hAnsi="Times New Roman" w:eastAsia="方正楷体_GBK" w:cs="Times New Roman"/>
          <w:sz w:val="32"/>
          <w:szCs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sz w:val="32"/>
          <w:szCs w:val="32"/>
        </w:rPr>
        <w:t>扣紧责任链条</w:t>
      </w:r>
    </w:p>
    <w:p>
      <w:pPr>
        <w:pageBreakBefore w:val="0"/>
        <w:kinsoku/>
        <w:wordWrap/>
        <w:overflowPunct/>
        <w:topLinePunct w:val="0"/>
        <w:autoSpaceDE/>
        <w:autoSpaceDN/>
        <w:bidi w:val="0"/>
        <w:adjustRightInd w:val="0"/>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shd w:val="clear" w:color="auto" w:fill="FFFFFF"/>
        </w:rPr>
        <w:t>各村、各科室要把强化危险化学品使用安全管理放到极端重要的位置来抓，坚守安全红线，强化安全底线，筑牢安全防线。危险化学品使用环节呈现量大、类杂、面广、点散的特点，部署排查工作难度较大。要切实加强组织领导，落实专人负责，以此次专项整治为契机，建立信息互通、工作互联、资源共享、成果共建的常态化组织体系，</w:t>
      </w:r>
      <w:r>
        <w:rPr>
          <w:rFonts w:hint="eastAsia" w:ascii="方正仿宋_GBK" w:hAnsi="方正仿宋_GBK" w:eastAsia="方正仿宋_GBK" w:cs="方正仿宋_GBK"/>
          <w:sz w:val="32"/>
          <w:szCs w:val="32"/>
        </w:rPr>
        <w:t>定期调度、通报、会商，及时研究解决本行业领域专项整治重点难点问题，确保本辖区和本行业安全专项整治工作有序推进。</w:t>
      </w:r>
    </w:p>
    <w:p>
      <w:pPr>
        <w:pStyle w:val="10"/>
        <w:pageBreakBefore w:val="0"/>
        <w:widowControl/>
        <w:shd w:val="clear" w:color="auto" w:fill="FFFFFF"/>
        <w:kinsoku/>
        <w:wordWrap/>
        <w:overflowPunct/>
        <w:topLinePunct w:val="0"/>
        <w:autoSpaceDE/>
        <w:autoSpaceDN/>
        <w:bidi w:val="0"/>
        <w:spacing w:beforeAutospacing="0" w:afterAutospacing="0" w:line="594" w:lineRule="exact"/>
        <w:ind w:firstLine="420"/>
        <w:jc w:val="both"/>
        <w:rPr>
          <w:rFonts w:ascii="Times New Roman" w:hAnsi="Times New Roman" w:eastAsia="方正楷体_GBK"/>
          <w:sz w:val="32"/>
          <w:szCs w:val="32"/>
        </w:rPr>
      </w:pPr>
      <w:r>
        <w:rPr>
          <w:rFonts w:hint="eastAsia" w:ascii="Times New Roman" w:hAnsi="Times New Roman" w:eastAsia="方正楷体_GBK"/>
          <w:sz w:val="32"/>
          <w:szCs w:val="32"/>
        </w:rPr>
        <w:t>（二）推动管理工作</w:t>
      </w:r>
    </w:p>
    <w:p>
      <w:pPr>
        <w:pageBreakBefore w:val="0"/>
        <w:kinsoku/>
        <w:wordWrap/>
        <w:overflowPunct/>
        <w:topLinePunct w:val="0"/>
        <w:autoSpaceDE/>
        <w:autoSpaceDN/>
        <w:bidi w:val="0"/>
        <w:adjustRightInd w:val="0"/>
        <w:snapToGrid w:val="0"/>
        <w:spacing w:line="594" w:lineRule="exact"/>
        <w:ind w:firstLine="640" w:firstLineChars="200"/>
        <w:rPr>
          <w:rFonts w:ascii="仿宋" w:hAnsi="仿宋" w:eastAsia="仿宋" w:cs="仿宋"/>
          <w:color w:val="000000"/>
          <w:sz w:val="32"/>
          <w:szCs w:val="32"/>
        </w:rPr>
      </w:pPr>
      <w:r>
        <w:rPr>
          <w:rFonts w:hint="eastAsia" w:ascii="Times New Roman" w:hAnsi="Times New Roman" w:eastAsia="方正仿宋_GBK" w:cs="Times New Roman"/>
          <w:sz w:val="32"/>
          <w:szCs w:val="32"/>
        </w:rPr>
        <w:t>各相关职能科室</w:t>
      </w:r>
      <w:r>
        <w:rPr>
          <w:rFonts w:ascii="Times New Roman" w:hAnsi="Times New Roman" w:eastAsia="方正仿宋_GBK" w:cs="Times New Roman"/>
          <w:sz w:val="32"/>
          <w:szCs w:val="32"/>
        </w:rPr>
        <w:t>要严格落实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管行业必须管安全、管业务必须管安全、管生产经营必须管安全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谁主管谁负责、谁审批谁负责</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的要求，认真履行属事、属地责任</w:t>
      </w:r>
      <w:r>
        <w:rPr>
          <w:rFonts w:hint="eastAsia" w:ascii="Times New Roman" w:hAnsi="Times New Roman" w:eastAsia="方正仿宋_GBK" w:cs="Times New Roman"/>
          <w:sz w:val="32"/>
          <w:szCs w:val="32"/>
        </w:rPr>
        <w:t>。</w:t>
      </w:r>
      <w:r>
        <w:rPr>
          <w:rFonts w:hint="eastAsia" w:ascii="仿宋" w:hAnsi="仿宋" w:eastAsia="仿宋" w:cs="仿宋"/>
          <w:color w:val="000000"/>
          <w:sz w:val="32"/>
          <w:szCs w:val="32"/>
          <w:shd w:val="clear" w:color="auto" w:fill="FFFFFF"/>
        </w:rPr>
        <w:t>做好企业的危险化学品登记，使用企业的危险化学品申报和重大危险源管理，使用危险化学品从事生产的企业的安全评价等工作，及时掌握辖区相关企业的登记、使用申报情况，办理使用企业重大危险源备案，承接安全评价报备及后续抽查工作。</w:t>
      </w:r>
      <w:r>
        <w:rPr>
          <w:rFonts w:ascii="Times New Roman" w:hAnsi="Times New Roman" w:eastAsia="方正仿宋_GBK" w:cs="Times New Roman"/>
          <w:sz w:val="32"/>
          <w:szCs w:val="32"/>
        </w:rPr>
        <w:t>切实落实安全生产主体责任、全员安全生产责任、一线岗位从业人员安全生产责任，确保整治取得实效。</w:t>
      </w:r>
    </w:p>
    <w:p>
      <w:pPr>
        <w:pageBreakBefore w:val="0"/>
        <w:numPr>
          <w:ilvl w:val="0"/>
          <w:numId w:val="2"/>
        </w:numPr>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强化问题整改</w:t>
      </w:r>
    </w:p>
    <w:p>
      <w:pPr>
        <w:pageBreakBefore w:val="0"/>
        <w:numPr>
          <w:numId w:val="0"/>
        </w:numPr>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应急办</w:t>
      </w:r>
      <w:r>
        <w:rPr>
          <w:rFonts w:ascii="Times New Roman" w:hAnsi="Times New Roman" w:eastAsia="方正仿宋_GBK" w:cs="Times New Roman"/>
          <w:sz w:val="32"/>
          <w:szCs w:val="32"/>
        </w:rPr>
        <w:t>要督导企业形成问题清单，按照隐患整改措施、资金、时限、责任、预案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五落实</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要求，对问题整改实行闭环管理；要突出整治重大安全风险隐患，实施精准销号。对存在重大事故隐患且无法完成整改的，要依法依规坚决予以关闭取缔，防止隐患问题失控引发生产安全事故；对存在的违法违规行为，要坚决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零容忍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，发挥好</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查处一个、震慑一片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的警示作用，形成严格执法推动问题整改的高压态势。</w:t>
      </w:r>
    </w:p>
    <w:p>
      <w:pPr>
        <w:pageBreakBefore w:val="0"/>
        <w:kinsoku/>
        <w:wordWrap/>
        <w:overflowPunct/>
        <w:topLinePunct w:val="0"/>
        <w:autoSpaceDE/>
        <w:autoSpaceDN/>
        <w:bidi w:val="0"/>
        <w:adjustRightInd w:val="0"/>
        <w:snapToGrid w:val="0"/>
        <w:spacing w:line="594" w:lineRule="exact"/>
        <w:ind w:firstLine="640" w:firstLineChars="200"/>
        <w:rPr>
          <w:rFonts w:ascii="Times New Roman" w:hAnsi="Times New Roman" w:eastAsia="方正仿宋_GBK" w:cs="Times New Roman"/>
          <w:sz w:val="32"/>
          <w:szCs w:val="32"/>
        </w:rPr>
      </w:pPr>
    </w:p>
    <w:p>
      <w:pPr>
        <w:pageBreakBefore w:val="0"/>
        <w:kinsoku/>
        <w:wordWrap/>
        <w:overflowPunct/>
        <w:topLinePunct w:val="0"/>
        <w:autoSpaceDE/>
        <w:autoSpaceDN/>
        <w:bidi w:val="0"/>
        <w:spacing w:line="594"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附件：1.工贸企业使用危险化学品安全风险统计表</w:t>
      </w:r>
    </w:p>
    <w:p>
      <w:pPr>
        <w:pageBreakBefore w:val="0"/>
        <w:kinsoku/>
        <w:wordWrap/>
        <w:overflowPunct/>
        <w:topLinePunct w:val="0"/>
        <w:autoSpaceDE/>
        <w:autoSpaceDN/>
        <w:bidi w:val="0"/>
        <w:spacing w:line="594"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2.工贸企业危险化学品安全专项治理重点检查事项表</w:t>
      </w:r>
    </w:p>
    <w:p>
      <w:pPr>
        <w:pageBreakBefore w:val="0"/>
        <w:kinsoku/>
        <w:wordWrap/>
        <w:overflowPunct/>
        <w:topLinePunct w:val="0"/>
        <w:autoSpaceDE/>
        <w:autoSpaceDN/>
        <w:bidi w:val="0"/>
        <w:spacing w:line="594" w:lineRule="exact"/>
        <w:jc w:val="right"/>
        <w:rPr>
          <w:rFonts w:ascii="Times New Roman" w:hAnsi="Times New Roman" w:cs="Times New Roman"/>
        </w:rPr>
      </w:pPr>
    </w:p>
    <w:p>
      <w:pPr>
        <w:pageBreakBefore w:val="0"/>
        <w:kinsoku/>
        <w:wordWrap/>
        <w:overflowPunct/>
        <w:topLinePunct w:val="0"/>
        <w:autoSpaceDE/>
        <w:autoSpaceDN/>
        <w:bidi w:val="0"/>
        <w:spacing w:line="594" w:lineRule="exact"/>
        <w:jc w:val="right"/>
        <w:rPr>
          <w:rFonts w:ascii="Times New Roman" w:hAnsi="Times New Roman" w:eastAsia="方正仿宋_GBK" w:cs="Times New Roman"/>
          <w:sz w:val="32"/>
          <w:szCs w:val="32"/>
        </w:rPr>
      </w:pPr>
    </w:p>
    <w:p>
      <w:pPr>
        <w:pageBreakBefore w:val="0"/>
        <w:kinsoku/>
        <w:wordWrap/>
        <w:overflowPunct/>
        <w:topLinePunct w:val="0"/>
        <w:autoSpaceDE/>
        <w:autoSpaceDN/>
        <w:bidi w:val="0"/>
        <w:spacing w:line="594" w:lineRule="exact"/>
        <w:jc w:val="right"/>
        <w:rPr>
          <w:rFonts w:ascii="Times New Roman" w:hAnsi="Times New Roman" w:eastAsia="方正仿宋_GBK" w:cs="Times New Roman"/>
          <w:sz w:val="32"/>
          <w:szCs w:val="32"/>
        </w:rPr>
      </w:pPr>
    </w:p>
    <w:p>
      <w:pPr>
        <w:pageBreakBefore w:val="0"/>
        <w:kinsoku/>
        <w:wordWrap/>
        <w:overflowPunct/>
        <w:topLinePunct w:val="0"/>
        <w:autoSpaceDE/>
        <w:autoSpaceDN/>
        <w:bidi w:val="0"/>
        <w:spacing w:line="594"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冷水镇人民政府</w:t>
      </w:r>
    </w:p>
    <w:p>
      <w:pPr>
        <w:pageBreakBefore w:val="0"/>
        <w:kinsoku/>
        <w:wordWrap/>
        <w:overflowPunct/>
        <w:topLinePunct w:val="0"/>
        <w:autoSpaceDE/>
        <w:autoSpaceDN/>
        <w:bidi w:val="0"/>
        <w:spacing w:line="594" w:lineRule="exact"/>
        <w:jc w:val="center"/>
        <w:rPr>
          <w:rFonts w:ascii="Times New Roman" w:hAnsi="Times New Roman" w:eastAsia="方正仿宋_GBK" w:cs="Times New Roman"/>
          <w:sz w:val="32"/>
          <w:szCs w:val="32"/>
        </w:rPr>
        <w:sectPr>
          <w:footerReference r:id="rId3" w:type="default"/>
          <w:pgSz w:w="11906" w:h="16838"/>
          <w:pgMar w:top="1984" w:right="1446" w:bottom="1644" w:left="1446" w:header="851" w:footer="1474" w:gutter="0"/>
          <w:pgNumType w:fmt="numberInDash"/>
          <w:cols w:space="425" w:num="1"/>
          <w:docGrid w:type="lines" w:linePitch="312" w:charSpace="0"/>
        </w:sect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2021年 11月</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日</w:t>
      </w:r>
    </w:p>
    <w:p>
      <w:pPr>
        <w:pageBreakBefore w:val="0"/>
        <w:kinsoku/>
        <w:wordWrap/>
        <w:overflowPunct/>
        <w:topLinePunct w:val="0"/>
        <w:autoSpaceDE/>
        <w:autoSpaceDN/>
        <w:bidi w:val="0"/>
        <w:snapToGrid w:val="0"/>
        <w:spacing w:line="594"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pPr>
        <w:pageBreakBefore w:val="0"/>
        <w:kinsoku/>
        <w:wordWrap/>
        <w:overflowPunct/>
        <w:topLinePunct w:val="0"/>
        <w:autoSpaceDE/>
        <w:autoSpaceDN/>
        <w:bidi w:val="0"/>
        <w:snapToGrid w:val="0"/>
        <w:spacing w:line="594" w:lineRule="exact"/>
        <w:jc w:val="center"/>
        <w:rPr>
          <w:rFonts w:ascii="Times New Roman" w:hAnsi="Times New Roman" w:cs="Times New Roman"/>
        </w:rPr>
      </w:pPr>
      <w:r>
        <w:rPr>
          <w:rFonts w:ascii="Times New Roman" w:hAnsi="Times New Roman" w:eastAsia="方正小标宋_GBK" w:cs="Times New Roman"/>
          <w:sz w:val="44"/>
          <w:szCs w:val="44"/>
        </w:rPr>
        <w:t>工贸企业使用危险化学品安全风险统计表</w:t>
      </w:r>
    </w:p>
    <w:p>
      <w:pPr>
        <w:pageBreakBefore w:val="0"/>
        <w:kinsoku/>
        <w:wordWrap/>
        <w:overflowPunct/>
        <w:topLinePunct w:val="0"/>
        <w:autoSpaceDE/>
        <w:autoSpaceDN/>
        <w:bidi w:val="0"/>
        <w:snapToGrid w:val="0"/>
        <w:spacing w:line="594"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填表单位（盖章） ：                                 填报日期（年/月/日）：</w:t>
      </w:r>
    </w:p>
    <w:tbl>
      <w:tblPr>
        <w:tblStyle w:val="12"/>
        <w:tblpPr w:leftFromText="180" w:rightFromText="180" w:vertAnchor="page" w:horzAnchor="page" w:tblpXSpec="center" w:tblpY="3386"/>
        <w:tblOverlap w:val="never"/>
        <w:tblW w:w="14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13"/>
        <w:gridCol w:w="641"/>
        <w:gridCol w:w="737"/>
        <w:gridCol w:w="695"/>
        <w:gridCol w:w="832"/>
        <w:gridCol w:w="709"/>
        <w:gridCol w:w="614"/>
        <w:gridCol w:w="586"/>
        <w:gridCol w:w="818"/>
        <w:gridCol w:w="969"/>
        <w:gridCol w:w="720"/>
        <w:gridCol w:w="1110"/>
        <w:gridCol w:w="1319"/>
        <w:gridCol w:w="1323"/>
        <w:gridCol w:w="147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序号</w:t>
            </w:r>
          </w:p>
        </w:tc>
        <w:tc>
          <w:tcPr>
            <w:tcW w:w="613"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区县</w:t>
            </w:r>
          </w:p>
        </w:tc>
        <w:tc>
          <w:tcPr>
            <w:tcW w:w="641"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法人单位名称</w:t>
            </w:r>
          </w:p>
        </w:tc>
        <w:tc>
          <w:tcPr>
            <w:tcW w:w="737"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行业类别名称</w:t>
            </w:r>
          </w:p>
        </w:tc>
        <w:tc>
          <w:tcPr>
            <w:tcW w:w="2236" w:type="dxa"/>
            <w:gridSpan w:val="3"/>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危险化学品</w:t>
            </w:r>
          </w:p>
        </w:tc>
        <w:tc>
          <w:tcPr>
            <w:tcW w:w="2018" w:type="dxa"/>
            <w:gridSpan w:val="3"/>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数量</w:t>
            </w:r>
          </w:p>
        </w:tc>
        <w:tc>
          <w:tcPr>
            <w:tcW w:w="1689" w:type="dxa"/>
            <w:gridSpan w:val="2"/>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重大危险源</w:t>
            </w:r>
          </w:p>
        </w:tc>
        <w:tc>
          <w:tcPr>
            <w:tcW w:w="1110"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kern w:val="0"/>
                <w:sz w:val="18"/>
                <w:szCs w:val="18"/>
                <w:lang w:bidi="ar"/>
              </w:rPr>
            </w:pPr>
            <w:r>
              <w:rPr>
                <w:rFonts w:ascii="Times New Roman" w:hAnsi="Times New Roman" w:eastAsia="方正黑体_GBK" w:cs="Times New Roman"/>
                <w:kern w:val="0"/>
                <w:sz w:val="18"/>
                <w:szCs w:val="18"/>
                <w:lang w:bidi="ar"/>
              </w:rPr>
              <w:t>主要安全</w:t>
            </w:r>
          </w:p>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风险</w:t>
            </w:r>
          </w:p>
        </w:tc>
        <w:tc>
          <w:tcPr>
            <w:tcW w:w="1319"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kern w:val="0"/>
                <w:sz w:val="18"/>
                <w:szCs w:val="18"/>
                <w:lang w:bidi="ar"/>
              </w:rPr>
            </w:pPr>
            <w:r>
              <w:rPr>
                <w:rFonts w:ascii="Times New Roman" w:hAnsi="Times New Roman" w:eastAsia="方正黑体_GBK" w:cs="Times New Roman"/>
                <w:kern w:val="0"/>
                <w:sz w:val="18"/>
                <w:szCs w:val="18"/>
                <w:lang w:bidi="ar"/>
              </w:rPr>
              <w:t>危险化工</w:t>
            </w:r>
          </w:p>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工艺名称</w:t>
            </w:r>
          </w:p>
        </w:tc>
        <w:tc>
          <w:tcPr>
            <w:tcW w:w="1323"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使用单位主要责任人</w:t>
            </w:r>
          </w:p>
        </w:tc>
        <w:tc>
          <w:tcPr>
            <w:tcW w:w="1473"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主要责任人联系电话</w:t>
            </w:r>
          </w:p>
        </w:tc>
        <w:tc>
          <w:tcPr>
            <w:tcW w:w="750" w:type="dxa"/>
            <w:vMerge w:val="restart"/>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613"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641"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737"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695"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品名</w:t>
            </w:r>
          </w:p>
        </w:tc>
        <w:tc>
          <w:tcPr>
            <w:tcW w:w="832"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kern w:val="0"/>
                <w:sz w:val="18"/>
                <w:szCs w:val="18"/>
                <w:lang w:bidi="ar"/>
              </w:rPr>
            </w:pPr>
            <w:r>
              <w:rPr>
                <w:rFonts w:ascii="Times New Roman" w:hAnsi="Times New Roman" w:eastAsia="方正黑体_GBK" w:cs="Times New Roman"/>
                <w:kern w:val="0"/>
                <w:sz w:val="18"/>
                <w:szCs w:val="18"/>
                <w:lang w:bidi="ar"/>
              </w:rPr>
              <w:t>储存</w:t>
            </w:r>
          </w:p>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方式</w:t>
            </w:r>
          </w:p>
        </w:tc>
        <w:tc>
          <w:tcPr>
            <w:tcW w:w="709"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用途</w:t>
            </w:r>
          </w:p>
        </w:tc>
        <w:tc>
          <w:tcPr>
            <w:tcW w:w="614"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kg</w:t>
            </w:r>
          </w:p>
        </w:tc>
        <w:tc>
          <w:tcPr>
            <w:tcW w:w="586"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t</w:t>
            </w:r>
          </w:p>
        </w:tc>
        <w:tc>
          <w:tcPr>
            <w:tcW w:w="818"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Style w:val="14"/>
                <w:rFonts w:hint="default" w:ascii="Times New Roman" w:hAnsi="Times New Roman" w:cs="Times New Roman"/>
                <w:color w:val="auto"/>
                <w:sz w:val="18"/>
                <w:szCs w:val="18"/>
                <w:lang w:bidi="ar"/>
              </w:rPr>
              <w:t>×10</w:t>
            </w:r>
            <w:r>
              <w:rPr>
                <w:rStyle w:val="15"/>
                <w:rFonts w:hint="default" w:ascii="Times New Roman" w:hAnsi="Times New Roman" w:cs="Times New Roman"/>
                <w:color w:val="auto"/>
                <w:sz w:val="18"/>
                <w:szCs w:val="18"/>
                <w:lang w:bidi="ar"/>
              </w:rPr>
              <w:t>4</w:t>
            </w:r>
            <w:r>
              <w:rPr>
                <w:rStyle w:val="16"/>
                <w:rFonts w:hint="default" w:ascii="Times New Roman" w:hAnsi="Times New Roman" w:cs="Times New Roman"/>
                <w:color w:val="auto"/>
                <w:sz w:val="18"/>
                <w:szCs w:val="18"/>
                <w:lang w:bidi="ar"/>
              </w:rPr>
              <w:t>t</w:t>
            </w:r>
          </w:p>
        </w:tc>
        <w:tc>
          <w:tcPr>
            <w:tcW w:w="969"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名称</w:t>
            </w:r>
          </w:p>
        </w:tc>
        <w:tc>
          <w:tcPr>
            <w:tcW w:w="720" w:type="dxa"/>
            <w:vAlign w:val="center"/>
          </w:tcPr>
          <w:p>
            <w:pPr>
              <w:pageBreakBefore w:val="0"/>
              <w:widowControl/>
              <w:kinsoku/>
              <w:wordWrap/>
              <w:overflowPunct/>
              <w:topLinePunct w:val="0"/>
              <w:autoSpaceDE/>
              <w:autoSpaceDN/>
              <w:bidi w:val="0"/>
              <w:snapToGrid w:val="0"/>
              <w:spacing w:line="594" w:lineRule="exact"/>
              <w:jc w:val="center"/>
              <w:textAlignment w:val="center"/>
              <w:rPr>
                <w:rFonts w:ascii="Times New Roman" w:hAnsi="Times New Roman" w:eastAsia="方正黑体_GBK" w:cs="Times New Roman"/>
                <w:sz w:val="18"/>
                <w:szCs w:val="18"/>
              </w:rPr>
            </w:pPr>
            <w:r>
              <w:rPr>
                <w:rFonts w:ascii="Times New Roman" w:hAnsi="Times New Roman" w:eastAsia="方正黑体_GBK" w:cs="Times New Roman"/>
                <w:kern w:val="0"/>
                <w:sz w:val="18"/>
                <w:szCs w:val="18"/>
                <w:lang w:bidi="ar"/>
              </w:rPr>
              <w:t>等级</w:t>
            </w:r>
          </w:p>
        </w:tc>
        <w:tc>
          <w:tcPr>
            <w:tcW w:w="1110"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1319"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1323"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1473"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c>
          <w:tcPr>
            <w:tcW w:w="750" w:type="dxa"/>
            <w:vMerge w:val="continue"/>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黑体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2" w:type="dxa"/>
            <w:vAlign w:val="center"/>
          </w:tcPr>
          <w:p>
            <w:pPr>
              <w:pageBreakBefore w:val="0"/>
              <w:widowControl/>
              <w:kinsoku/>
              <w:wordWrap/>
              <w:overflowPunct/>
              <w:topLinePunct w:val="0"/>
              <w:autoSpaceDE/>
              <w:autoSpaceDN/>
              <w:bidi w:val="0"/>
              <w:spacing w:line="594" w:lineRule="exact"/>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w:t>
            </w:r>
          </w:p>
        </w:tc>
        <w:tc>
          <w:tcPr>
            <w:tcW w:w="613"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641"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737"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695"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832" w:type="dxa"/>
            <w:vAlign w:val="center"/>
          </w:tcPr>
          <w:p>
            <w:pPr>
              <w:pageBreakBefore w:val="0"/>
              <w:widowControl/>
              <w:kinsoku/>
              <w:wordWrap/>
              <w:overflowPunct/>
              <w:topLinePunct w:val="0"/>
              <w:autoSpaceDE/>
              <w:autoSpaceDN/>
              <w:bidi w:val="0"/>
              <w:snapToGrid w:val="0"/>
              <w:spacing w:line="594" w:lineRule="exact"/>
              <w:jc w:val="center"/>
              <w:rPr>
                <w:rFonts w:ascii="Times New Roman" w:hAnsi="Times New Roman" w:eastAsia="方正仿宋_GBK" w:cs="Times New Roman"/>
                <w:szCs w:val="21"/>
              </w:rPr>
            </w:pPr>
          </w:p>
        </w:tc>
        <w:tc>
          <w:tcPr>
            <w:tcW w:w="709"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614"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586"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818"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969"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720"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1110"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1319"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1323"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1473"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c>
          <w:tcPr>
            <w:tcW w:w="750" w:type="dxa"/>
            <w:vAlign w:val="center"/>
          </w:tcPr>
          <w:p>
            <w:pPr>
              <w:pageBreakBefore w:val="0"/>
              <w:widowControl/>
              <w:kinsoku/>
              <w:wordWrap/>
              <w:overflowPunct/>
              <w:topLinePunct w:val="0"/>
              <w:autoSpaceDE/>
              <w:autoSpaceDN/>
              <w:bidi w:val="0"/>
              <w:spacing w:line="594" w:lineRule="exact"/>
              <w:jc w:val="center"/>
              <w:rPr>
                <w:rFonts w:ascii="Times New Roman" w:hAnsi="Times New Roman" w:eastAsia="方正仿宋_GBK" w:cs="Times New Roman"/>
                <w:szCs w:val="21"/>
              </w:rPr>
            </w:pPr>
          </w:p>
        </w:tc>
      </w:tr>
    </w:tbl>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填表说明：</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1.单位名称：按企业（单位）营业执照或事业单位法定机构名称全称填写。</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2.行业：主要指冶金、有色、建材、机械、轻工、纺织、烟草和商贸等八大行业。</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3.储存方式：主要指专用仓库、储罐、储柜、堆场。</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.危险化学品摸排范围：列入《危险化学品目录》（2015版）的危险化学品均需填写。涉及多种危险化学品的，分行列出。</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.用途：填报企业主要用途。</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.数量：填报企业日常最大储存量或储罐、专用仓库等设计最大储存量，如数量多的用t表示，数量小的实验室用kg表示。</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重大危险源名称：如××生产装置、储罐、罐区、仓库、库区，即：企业500米辨识单元内的生产装置、储罐（罐区）、仓库（库区）单独构成重大危险源的，要在按单元辨识并确定其等级的基础上，单独辨识并确定其等级。企业如存在多个重大危险源，需要分行填写；不涉及的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.等级：根据实际辨识结果填报一、二、三、四级。</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 xml:space="preserve">.主要安全风险：如爆炸、火灾、中毒、窒息、腐蚀，存在多种风险的，均列出。 </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危险化工工艺名称：主要包括光气及光气化工艺、电解工艺（氯碱）、氯化工艺、硝化工艺、合成氨工艺、裂解（裂化）工艺、氟化工艺、加氢工艺、重氮化工艺、氧化工艺、过氧化工艺、胺基化工艺、磺化工艺、聚合工艺、烷基化工艺、新型煤化工工艺、电石生产工艺、偶氮化工艺等18种重点监管的危险化工工艺。</w:t>
      </w:r>
    </w:p>
    <w:p>
      <w:pPr>
        <w:pageBreakBefore w:val="0"/>
        <w:kinsoku/>
        <w:wordWrap/>
        <w:overflowPunct/>
        <w:topLinePunct w:val="0"/>
        <w:autoSpaceDE/>
        <w:autoSpaceDN/>
        <w:bidi w:val="0"/>
        <w:snapToGri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.使用单位主要责任人：是指本单位安全生产第一负责人。</w:t>
      </w:r>
    </w:p>
    <w:p>
      <w:pPr>
        <w:pageBreakBefore w:val="0"/>
        <w:kinsoku/>
        <w:wordWrap/>
        <w:overflowPunct/>
        <w:topLinePunct w:val="0"/>
        <w:autoSpaceDE/>
        <w:autoSpaceDN/>
        <w:bidi w:val="0"/>
        <w:adjustRightInd w:val="0"/>
        <w:snapToGrid w:val="0"/>
        <w:spacing w:line="594" w:lineRule="exact"/>
        <w:jc w:val="left"/>
        <w:outlineLvl w:val="0"/>
        <w:rPr>
          <w:rFonts w:ascii="Times New Roman" w:hAnsi="Times New Roman" w:eastAsia="方正黑体_GBK" w:cs="Times New Roman"/>
          <w:bCs/>
          <w:sz w:val="32"/>
          <w:szCs w:val="32"/>
        </w:rPr>
      </w:pPr>
    </w:p>
    <w:p>
      <w:pPr>
        <w:pageBreakBefore w:val="0"/>
        <w:kinsoku/>
        <w:wordWrap/>
        <w:overflowPunct/>
        <w:topLinePunct w:val="0"/>
        <w:autoSpaceDE/>
        <w:autoSpaceDN/>
        <w:bidi w:val="0"/>
        <w:adjustRightInd w:val="0"/>
        <w:snapToGrid w:val="0"/>
        <w:spacing w:line="594" w:lineRule="exact"/>
        <w:jc w:val="left"/>
        <w:outlineLvl w:val="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附件2</w:t>
      </w:r>
    </w:p>
    <w:p>
      <w:pPr>
        <w:pageBreakBefore w:val="0"/>
        <w:kinsoku/>
        <w:wordWrap/>
        <w:overflowPunct/>
        <w:topLinePunct w:val="0"/>
        <w:autoSpaceDE/>
        <w:autoSpaceDN/>
        <w:bidi w:val="0"/>
        <w:snapToGrid w:val="0"/>
        <w:spacing w:line="594"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工贸企业危险化学品安全专项治理重点检查事项表</w:t>
      </w:r>
    </w:p>
    <w:tbl>
      <w:tblPr>
        <w:tblStyle w:val="11"/>
        <w:tblW w:w="14582" w:type="dxa"/>
        <w:tblInd w:w="0" w:type="dxa"/>
        <w:tblLayout w:type="fixed"/>
        <w:tblCellMar>
          <w:top w:w="0" w:type="dxa"/>
          <w:left w:w="0" w:type="dxa"/>
          <w:bottom w:w="0" w:type="dxa"/>
          <w:right w:w="0" w:type="dxa"/>
        </w:tblCellMar>
      </w:tblPr>
      <w:tblGrid>
        <w:gridCol w:w="460"/>
        <w:gridCol w:w="1954"/>
        <w:gridCol w:w="3829"/>
        <w:gridCol w:w="3686"/>
        <w:gridCol w:w="2698"/>
        <w:gridCol w:w="566"/>
        <w:gridCol w:w="852"/>
        <w:gridCol w:w="537"/>
      </w:tblGrid>
      <w:tr>
        <w:tblPrEx>
          <w:tblCellMar>
            <w:top w:w="0" w:type="dxa"/>
            <w:left w:w="0" w:type="dxa"/>
            <w:bottom w:w="0" w:type="dxa"/>
            <w:right w:w="0" w:type="dxa"/>
          </w:tblCellMar>
        </w:tblPrEx>
        <w:trPr>
          <w:tblHead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违规行为描述</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检查依据</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处罚依据</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方式方法</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检查情况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企业自查情况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黑体_GBK" w:cs="Times New Roman"/>
                <w:kern w:val="0"/>
                <w:szCs w:val="21"/>
              </w:rPr>
            </w:pPr>
            <w:r>
              <w:rPr>
                <w:rFonts w:ascii="Times New Roman" w:hAnsi="Times New Roman" w:eastAsia="方正黑体_GBK" w:cs="Times New Roman"/>
                <w:kern w:val="0"/>
                <w:szCs w:val="21"/>
              </w:rPr>
              <w:t>备注</w:t>
            </w: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相关行业部门未建立本辖区、本行业领域工贸企业使用危险化学品安全台账。</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left"/>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：相关行业部门是否建立本辖区、本行业领域工贸企业使用危险化学品安全台账。</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企业未建立危险化学品安全管理责任制、安全风险分级管控和隐患排查治理制度、</w:t>
            </w:r>
            <w:r>
              <w:rPr>
                <w:rFonts w:hint="eastAsia" w:ascii="Times New Roman" w:hAnsi="Times New Roman" w:eastAsia="方正仿宋_GBK" w:cs="Times New Roman"/>
                <w:kern w:val="0"/>
                <w:szCs w:val="21"/>
                <w:lang w:eastAsia="zh-CN"/>
              </w:rPr>
              <w:t>“</w:t>
            </w:r>
            <w:r>
              <w:rPr>
                <w:rFonts w:ascii="Times New Roman" w:hAnsi="Times New Roman" w:eastAsia="方正仿宋_GBK" w:cs="Times New Roman"/>
                <w:kern w:val="0"/>
                <w:szCs w:val="21"/>
              </w:rPr>
              <w:t>两单两卡</w:t>
            </w:r>
            <w:r>
              <w:rPr>
                <w:rFonts w:hint="eastAsia" w:ascii="Times New Roman" w:hAnsi="Times New Roman" w:eastAsia="方正仿宋_GBK" w:cs="Times New Roman"/>
                <w:kern w:val="0"/>
                <w:szCs w:val="21"/>
                <w:lang w:eastAsia="zh-CN"/>
              </w:rPr>
              <w:t>”</w:t>
            </w:r>
            <w:r>
              <w:rPr>
                <w:rFonts w:ascii="Times New Roman" w:hAnsi="Times New Roman" w:eastAsia="方正仿宋_GBK" w:cs="Times New Roman"/>
                <w:kern w:val="0"/>
                <w:szCs w:val="21"/>
              </w:rPr>
              <w:t>（岗位风险清单、岗位职责清单、岗位操作卡、岗位应急处置卡）等安全管理基础资料。</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（一）生产、经营、运输、储存、使用危险物品或者处置废弃危险物品，未建立专门安全管理制度、未采取可靠的安全措施的；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（四）未建立安全风险分级管控制度或者未按照安全风险分级采取相应管控措施的；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查阅企业安全管理制度，查阅是否建立了危险化学品安全管理制度、隐患排查治理制度、</w:t>
            </w:r>
            <w:r>
              <w:rPr>
                <w:rFonts w:hint="eastAsia" w:ascii="Times New Roman" w:hAnsi="Times New Roman" w:eastAsia="方正仿宋_GBK" w:cs="Times New Roman"/>
                <w:kern w:val="0"/>
                <w:szCs w:val="21"/>
                <w:lang w:eastAsia="zh-CN"/>
              </w:rPr>
              <w:t>“</w:t>
            </w:r>
            <w:r>
              <w:rPr>
                <w:rFonts w:ascii="Times New Roman" w:hAnsi="Times New Roman" w:eastAsia="方正仿宋_GBK" w:cs="Times New Roman"/>
                <w:kern w:val="0"/>
                <w:szCs w:val="21"/>
              </w:rPr>
              <w:t>两单两卡</w:t>
            </w:r>
            <w:r>
              <w:rPr>
                <w:rFonts w:hint="eastAsia" w:ascii="Times New Roman" w:hAnsi="Times New Roman" w:eastAsia="方正仿宋_GBK" w:cs="Times New Roman"/>
                <w:kern w:val="0"/>
                <w:szCs w:val="21"/>
                <w:lang w:eastAsia="zh-CN"/>
              </w:rPr>
              <w:t>”</w:t>
            </w:r>
            <w:r>
              <w:rPr>
                <w:rFonts w:ascii="Times New Roman" w:hAnsi="Times New Roman" w:eastAsia="方正仿宋_GBK" w:cs="Times New Roman"/>
                <w:kern w:val="0"/>
                <w:szCs w:val="21"/>
              </w:rPr>
              <w:t>和危险化学品安全风险管理台账。</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检查危险化学品的生产、储存、使用、装卸等场所是否设置了相应的安全警示标志、危险化学品理化特性告知卡、风险告知牌等。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企业未建立在危险化学品生产、使用、储存、装卸等场所实施特殊作业（动火、进入有限空间、盲板抽堵、临时用电）安全管理制度。</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（三）进行爆破、吊装、动火、临时用电以及国务院应急管理部门会同国务院有关部门规定的其他危险作业，未安排专门人员进行现场安全管理的；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查阅企业管理制度，检查是否建立了危险化学品生产、使用、储存、装卸等场所特殊作业审批制度，安全作业票是否严格进行了审批与记录，危害辨识是否准确和全面。</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检查特殊作业现场是否设置了相应的安全警示标识，人员是否佩戴了有效的个人防护用品，作业时是否使用了符合规范要求的操作工具等。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向不具备危险化学品生产、经营资质的单位采购危险化学品，采购的危险化学品没有安全技术说明书和化学品安全标签。未对涉及危险化学品使用的从业人员开展危险化学品安全技术说明书和安全标签等内容的专项安全教育培训、配备相应劳动防护用品。</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十五条：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危险化学品生产企业发现其生产的危险化学品有新的危险特性的，应当立即公告，并及时修订其化学品安全技术说明书和化学品安全标签。</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第七十八条：有下列情形之一的，由安全生产监督管理部门责令改正，可以处5万元以下的罚款；拒不改正的，处5万元以上10万元以下的罚款；情节严重的，责令停产停业整顿：</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（三）危险化学品生产企业未提供化学品安全技术说明书，或者未在包装（包括外包装件）上粘贴、拴挂化学品安全标签的；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（五）危险化学品生产企业发现其生产的危险化学品有新的危险特性不立即公告，或者不及时修订其化学品安全技术说明书和化学品安全标签的；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查阅企业危险化学品管理制度，是否对涉及的危险化学品的化学品安全技术说明书和化学品安全标签进行妥善存档，检查是否对涉及危险化学品使用的从业人员开展了专项安全教育培训。</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危险化学品包装（或外包装件）上是否粘贴、拴挂了化学品安全标签，化学品安全技术说明书、化学品安全标签所载明的内容是否符合国家标准要求，核查实际储存或使用的危险化学品是否与企业提供的化学品安全技术说明书相符。检查现场是否配备了相应的劳动防护用品。</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按危险化学品储存相关标准，分区、分类、分库储存，超量、超范围、禁忌物质混放混存；储存和使用区域未按要求设置安全警示标识；储存和使用可燃、有毒危险化学品的场所（设施）未按要求设置监测报警系统，储存和使用易燃、易爆危险化学品的场所（设施）的电气、工具等不符合相关标准规范要求。</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二十四条：危险化学品应当储存在专用仓库、专用场地或者专用储存室（以下统称专用仓库）内，并由专人负责管理；剧毒化学品以及储存数量构成重大危险源的其他危险化学品，应当在专用仓库内单独存放，并实行双人收发、双人保管制度。危险化学品的储存方式、方法以及储存数量应当符合国家标准或者国家有关规定。</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二十条：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生产、储存危险化学品的单位，应当在其作业场所和安全设施、设备上设置明显的安全警示标志。</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第七十八条：有下列情形之一的，由安全生产监督管理部门责令改正，可以处5万元以下的罚款；拒不改正的，处5万元以上10万元以下的罚款；情节严重的，责令停产停业整顿：</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（八）生产、储存危险化学品的单位未在作业场所和安全设施、设备上设置明显的安全警示标志，或者未在作业场所设置通信、报警装置的；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（二）未根据其生产、储存的危险化学品的种类和危险特性，在作业场所设置相关安全设施、设备，或者未按照国家标准、行业标准或者国家有关规定对安全设施、设备进行经常性维护、保养的；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（四）未将危险化学品储存在专用仓库内，或者未将剧毒化学品以及储存数量构成重大危险源的其他危险化学品在专用仓库内单独存放的；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（五）危险化学品的储存方式、方法或者储存数量不符合国家标准或者国家有关规定的；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（七）未对危险化学品专用仓库的安全设施、设备定期进行检测、检验的。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查阅企业危险化学品安全管理台账，了解企业涉及危险化学品的种类、特性及数量等基本信息。</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检查危险化学品是否分区、分类、分库储存，是否超量、超范围存放，禁忌物质是否混放混存。</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储存和使用区域是否按照规范要求设置了安全警示标识。</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储存和使用可燃、有毒危险化学品的场所（设施）是否规范设置了气体泄漏探测报警装置。</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储存和使用易燃、易爆危险化学品的场所（设施）是否规范采用了防爆型电气设施、工具等。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rPr>
          <w:trHeight w:val="9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危险化学品储存和使用场所与办公室、休息室、值班室、宿舍设置在同一连通空间；涉及甲乙类火灾危险性、粉尘爆炸危险性、中毒危险性的厂房（含装置或车间）和仓库内布置办公室、休息室、控制室、交接班室、外操室、巡检室等。</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四十二条生产、经营、储存、使用危险物品的车间、商店、仓库不得与员工宿舍在同一座建筑物内，并应当与员工宿舍保持安全距离。生产经营场所和员工宿舍应当设有符合紧急疏散要求、标志明显、保持畅通的出口、疏散通道。禁止占用、锁闭、封堵生产经营场所或者员工宿舍的出口、疏散通道。</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《建筑设计防火规范（2018年版）》GB 50016</w:t>
            </w:r>
            <w:r>
              <w:rPr>
                <w:rFonts w:ascii="Times New Roman" w:hAnsi="Times New Roman" w:eastAsia="方正仿宋_GBK" w:cs="Times New Roman"/>
                <w:kern w:val="0"/>
                <w:szCs w:val="21"/>
              </w:rPr>
              <w:t>第3.3.5条：员工宿舍严禁设置在厂房内。办公室、休息室等不应设置在甲、乙类厂房内，确需贴邻本厂房时，其耐火等级不应低于二级，并应采用耐火极限不低于3.00h的防爆墙与厂房分隔，且应设置独立的安全出口。</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《建筑设计防火规范（2018年版）》GB 50016</w:t>
            </w:r>
            <w:r>
              <w:rPr>
                <w:rFonts w:ascii="Times New Roman" w:hAnsi="Times New Roman" w:eastAsia="方正仿宋_GBK" w:cs="Times New Roman"/>
                <w:kern w:val="0"/>
                <w:szCs w:val="21"/>
              </w:rPr>
              <w:t>第3.3.9条：员工宿舍严禁设置在仓库内。办公室、休息室等严禁设置在甲、乙类仓库内，也不应贴邻。办公室、休息室设置在丙、丁类仓库内时，应采用耐火极限不低于2.50h的防火隔墙和1.00h的楼板与其他部位分隔，并设置独立的安全出口。隔墙上需开设相互连通的门时，应采用乙级防火门。</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《粉尘防爆安全规程》GB15577</w:t>
            </w:r>
            <w:r>
              <w:rPr>
                <w:rFonts w:ascii="Times New Roman" w:hAnsi="Times New Roman" w:eastAsia="方正仿宋_GBK" w:cs="Times New Roman"/>
                <w:kern w:val="0"/>
                <w:szCs w:val="21"/>
              </w:rPr>
              <w:t>第5.6条：粉尘爆炸危险场所应严格控制区域内作业人员数量，不得设有休息室、会议室等人员密集场所，与其他厂房、员工宿舍不得小于GB50016规定的防火安全距离。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《工贸企业粉尘防爆安全规定》（中华人民共和国应急管理部令第6号）</w:t>
            </w:r>
            <w:r>
              <w:rPr>
                <w:rFonts w:ascii="Times New Roman" w:hAnsi="Times New Roman" w:eastAsia="方正仿宋_GBK" w:cs="Times New Roman"/>
                <w:kern w:val="0"/>
                <w:szCs w:val="21"/>
              </w:rPr>
              <w:t>第十四条：  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（一）生产、经营、储存、使用危险物品的车间、商店、仓库与员工宿舍在同一座建筑内，或者与员工宿舍的距离不符合安全要求的；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（二）生产经营场所和员工宿舍未设有符合紧急疏散需要、标志明显、保持畅通的出口、疏散通道，或者占用、锁闭、封堵生产经营场所或者员工宿舍出口、疏散通道的。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（五）危险化学品的储存方式、方法或者储存数量不符合国家标准或者国家有关规定的；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（六）危险化学品专用仓库不符合国家标准、行业标准的要求的；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《工贸企业粉尘防爆安全规定》（中华人民共和国应急管理部令第6号）</w:t>
            </w:r>
            <w:r>
              <w:rPr>
                <w:rFonts w:ascii="Times New Roman" w:hAnsi="Times New Roman" w:eastAsia="方正仿宋_GBK" w:cs="Times New Roman"/>
                <w:kern w:val="0"/>
                <w:szCs w:val="21"/>
              </w:rPr>
              <w:t>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查阅厂区总平面布置图，检查危险化学品的使用或储存场所的平面布置。</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危险化学品的使用或储存场所是否与办公室、休息室、值班室、宿舍设置在同一连通空间，涉及甲乙类火灾危险性、粉尘爆炸危险性、中毒危险性的厂房（含装置或车间）和仓库内是否布置了办公室、休息室、控制室、交接班室、外操室、巡检室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生产、储存、装卸易燃易爆危险物品的工厂、仓库未向消防设计审查验收主管部门申请消防设计审查验收。</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《建设工程消防设计审查验收管理暂行规定》（中华人民共和国住房和城乡建设部令第51号）</w:t>
            </w:r>
            <w:r>
              <w:rPr>
                <w:rFonts w:ascii="Times New Roman" w:hAnsi="Times New Roman" w:eastAsia="方正仿宋_GBK" w:cs="Times New Roman"/>
                <w:kern w:val="0"/>
                <w:szCs w:val="21"/>
              </w:rPr>
              <w:t>第十四条：具有下列情形之一的建设工程是特殊建设工程：（九）生产、储存、装卸易燃易爆危险物品的工厂、仓库和专用车站、码头，易燃易爆气体和液体的充装站、供应站、调压站。</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《建设工程消防设计审查验收管理暂行规定》（中华人民共和国住房和城乡建设部令第51号）</w:t>
            </w:r>
            <w:r>
              <w:rPr>
                <w:rFonts w:ascii="Times New Roman" w:hAnsi="Times New Roman" w:eastAsia="方正仿宋_GBK" w:cs="Times New Roman"/>
                <w:kern w:val="0"/>
                <w:szCs w:val="21"/>
              </w:rPr>
              <w:t>第十五条：对特殊建设工程实行消防设计审查制度。特殊建设工程的建设单位应当向消防设计审查验收主管部门申请消防设计审查，消防设计审查验收主管部门依法对审查的结果负责。特殊建设工程未经消防设计审查或者审查不合格的，建设单位、施工单位不得施工。</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（六）危险化学品专用仓库不符合国家标准、行业标准的要求的；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生产、储存、装卸易燃易爆危险物品的工厂、仓库是否有相关部门出具的消防验收意见书。</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rPr>
          <w:trHeight w:val="3919"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危险废物未按种类和特性分区贮存，未采取防雨、防火、防雷、防扬尘、防晒、防渗漏等措施。</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三十九条：生产、经营、运输、储存、使用危险物品或者处置废弃危险物品的，由有关主管部门依照有关法律、法规的规定和国家标准或者行业标准审批并实施监督管理。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（一）生产、经营、运输、储存、使用危险物品或者处置废弃危险物品，未建立专门安全管理制度、未采取可靠的安全措施的；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查阅企业涉及危险废物种类、危险特性及数量等信息，了解企业危废基本情况。</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检查企业危废存放场所是否按种类和特性分区贮存，是否根据危废特性采取了防雨、防火、防雷、防扬尘、防晒、防渗漏等措施。</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企业未制定危险化学品专项应急预案或现场处置方案，未定期开展应急培训和演练，未适时进行修订完善。</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《危险化学品安全管理条例》</w:t>
            </w:r>
            <w:r>
              <w:rPr>
                <w:rFonts w:ascii="Times New Roman" w:hAnsi="Times New Roman" w:eastAsia="方正仿宋_GBK" w:cs="Times New Roman"/>
                <w:kern w:val="0"/>
                <w:szCs w:val="21"/>
              </w:rPr>
              <w:t>第七十条：危险化学品单位应当制定本单位危险化学品事故应急预案，配备应急救援人员和必要的应急救援器材、设备，并定期组织应急救援演练。</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《生产安全事故应急预案管理办法》（2016年6月3日国家安全生产监督管理总局令第88号公布，根据2019年7月11日应急管理部令第2号修正）</w:t>
            </w:r>
            <w:r>
              <w:rPr>
                <w:rFonts w:ascii="Times New Roman" w:hAnsi="Times New Roman" w:eastAsia="方正仿宋_GBK" w:cs="Times New Roman"/>
                <w:kern w:val="0"/>
                <w:szCs w:val="21"/>
              </w:rPr>
              <w:t>第十五条：对于危险性较大的场所、装置或者设施，生产经营单位应当编制现场处置方案。</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现场处置方案应当规定应急工作职责、应急处置措施和注意事项等内容。</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事故风险单一、危险性小的生产经营单位，可以只编制现场处置方案。</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《生产安全事故应急预案管理办法》（2016年6月3日国家安全生产监督管理总局令第88号公布，根据2019年7月11日应急管理部令第2号修正）</w:t>
            </w:r>
            <w:r>
              <w:rPr>
                <w:rFonts w:ascii="Times New Roman" w:hAnsi="Times New Roman" w:eastAsia="方正仿宋_GBK" w:cs="Times New Roman"/>
                <w:kern w:val="0"/>
                <w:szCs w:val="21"/>
              </w:rPr>
              <w:t>第三十三条：生产经营单位应当制定本单位的应急预案演练计划，根据本单位的事故风险特点，每年至少组织一次综合应急预案演练或者专项应急预案演练，每半年至少组织一次现场处置方案演练。</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查阅企业是否制定了危险化学品专项应急预案及现场处置方案，是否定期开展了应急培训和演练，应急预案是否适时进行了修订和完善。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检查危险化学品现场处置方案是否上墙公示。</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涉及重点监管危险化工工艺的装置按照相关要求设置相应的安全控制系统，并最大限度控制现场作业人员数量。</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原安监总管三〔2009〕116号附件2</w:t>
            </w:r>
            <w:r>
              <w:rPr>
                <w:rFonts w:ascii="Times New Roman" w:hAnsi="Times New Roman" w:eastAsia="方正仿宋_GBK" w:cs="Times New Roman"/>
                <w:kern w:val="0"/>
                <w:szCs w:val="21"/>
              </w:rPr>
              <w:t>：首批重点监管的危险化工工艺安全控制要求、重点监控参数及推荐的控制方案。</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原安监总管三〔2013〕3号附件2</w:t>
            </w:r>
            <w:r>
              <w:rPr>
                <w:rFonts w:ascii="Times New Roman" w:hAnsi="Times New Roman" w:eastAsia="方正仿宋_GBK" w:cs="Times New Roman"/>
                <w:kern w:val="0"/>
                <w:szCs w:val="21"/>
              </w:rPr>
              <w:t>：第二批重点监管危险化工工艺重点监控参数、安全控制基本要求及推荐的控制方案。</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中控室查阅企业涉及重点监管危险化工工艺的装置控制系统的设置，是否满足安监总管三〔2009〕116号附件2和安监总管三〔2013〕3号附件2的相关要求。</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控制连锁系统是否运行正常，安全设施设置是否规范、齐全。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企业未按照相关要求对重大危险源进行辨识、分级、安全评估、建档、变更和备案。</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四十条：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bCs/>
                <w:kern w:val="0"/>
                <w:szCs w:val="21"/>
              </w:rPr>
              <w:t>第七条：</w:t>
            </w:r>
            <w:r>
              <w:rPr>
                <w:rFonts w:ascii="Times New Roman" w:hAnsi="Times New Roman" w:eastAsia="方正仿宋_GBK" w:cs="Times New Roman"/>
                <w:kern w:val="0"/>
                <w:szCs w:val="21"/>
              </w:rPr>
              <w:t>危险化学品单位应当按照《危险化学品重大危险源辨识》标准，对本单位的危险化学品生产、经营、储存和使用装置、设施或者场所进行重大危险源辨识，并记录辨识过程与结果。</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bCs/>
                <w:kern w:val="0"/>
                <w:szCs w:val="21"/>
              </w:rPr>
              <w:t>第二十二条：</w:t>
            </w:r>
            <w:r>
              <w:rPr>
                <w:rFonts w:ascii="Times New Roman" w:hAnsi="Times New Roman" w:eastAsia="方正仿宋_GBK" w:cs="Times New Roman"/>
                <w:kern w:val="0"/>
                <w:szCs w:val="21"/>
              </w:rPr>
              <w:t>危险化学品单位应当对辨识确认的重大危险源及时、逐项进行登记建档。</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bCs/>
                <w:kern w:val="0"/>
                <w:szCs w:val="21"/>
              </w:rPr>
              <w:t>第二十三条：</w:t>
            </w:r>
            <w:r>
              <w:rPr>
                <w:rFonts w:ascii="Times New Roman" w:hAnsi="Times New Roman" w:eastAsia="方正仿宋_GBK" w:cs="Times New Roman"/>
                <w:kern w:val="0"/>
                <w:szCs w:val="21"/>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（二）对重大危险源未登记建档，未进行定期检测、评估、监控，未制定应急预案，或者未告知应急措施的；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bCs/>
                <w:kern w:val="0"/>
                <w:szCs w:val="21"/>
              </w:rPr>
              <w:t>第三十二条：</w:t>
            </w:r>
            <w:r>
              <w:rPr>
                <w:rFonts w:ascii="Times New Roman" w:hAnsi="Times New Roman" w:eastAsia="方正仿宋_GBK" w:cs="Times New Roman"/>
                <w:kern w:val="0"/>
                <w:szCs w:val="21"/>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（一）未按照本规定要求对重大危险源进行安全评估或者安全评价的；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（二）未按照本规定要求对重大危险源进行登记建档的；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查阅企业重大危险源是否进行了登记、备案及建档。</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重大危险源档案应当包括下列文件、资料：</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（一）辨识、分级记录；</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（二）重大危险源基本特征表；</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（三）涉及的所有化学品安全技术说明书；</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（四）区域位置图、平面布置图、工艺流程图和主要设备一览表；</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（五）重大危险源安全管理规章制度及安全操作规程；</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（六）安全监测监控系统、措施说明、检测、检验结果；</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（七）重大危险源事故应急预案、评审意见、演练计划和评估报告；</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（八）安全评估报告或者安全评价报告；</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（九）重大危险源关键装置、重点部位的责任人、责任机构名称；</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（十）重大危险源场所安全警示标志的设置情况；</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b/>
                <w:kern w:val="0"/>
                <w:szCs w:val="21"/>
              </w:rPr>
            </w:pPr>
            <w:r>
              <w:rPr>
                <w:rFonts w:ascii="Times New Roman" w:hAnsi="Times New Roman" w:eastAsia="方正仿宋_GBK" w:cs="Times New Roman"/>
                <w:kern w:val="0"/>
                <w:szCs w:val="21"/>
              </w:rPr>
              <w:t>（十一）其他文件、资料。</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涉及可燃、有毒气体的重大危险源设施、装置未按要求设置泄漏检测报警装置、紧急切断装置、自动化控制系统等监测监控系统。</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第十三条：危险化学品单位应当根据构成重大危险源的危险化学品种类、数量、生产、使用工艺（方式）或者相关设备、设施等实际情况，按照下列要求建立健全安全监测监控体系，完善控制措施：</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（二）重大危险源的化工生产装置装备满足安全生产要求的自动化控制系统；一级或者二级重大危险源，装备紧急停车系统；</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（四）重大危险源中储存剧毒物质的场所或者设施，设置视频监控系统；</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（五）安全监测监控系统符合国家标准或者行业标准的规定。</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（三）未按照本规定及相关标准要求对重大危险源进行安全监测监控的；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重大危险源控制系统的设置，是否按规范要求设置了相应的气体泄漏检测报警装置、紧急切断装置、自动化控制系统等监测监控系统。涉及毒性气体、液化气体、剧毒液体的一级或者二级重大危险源，配备独立的安全仪表系统（SIS）。</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检查现场是否规范设置了气体泄漏检测报警装置、紧急切断装置、自动化控制系统、独立的安全仪表系统等。</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重大危险源所在场所未设置显著的安全警示牌和危险物质安全告知牌，未明确危险特性及数量、紧急情况下的应急处置措施，未明确重大危险源主要负责人、技术负责人、操作负责人姓名、对应的安全包保职责及联系方式，未对管理和操作岗位人员进行安全操作技能培训，未将危害后果及应急措施等信息告知可能受影响的单位、区域和人员。</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第十六条：危险化学品单位应当明确重大危险源中关键装置、重点部位的责任人或者责任机构，并对重大危险源的安全生产状况进行定期检查，及时采取措施消除事故隐患。</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十七条：危险化学品单位应当对重大危险源的管理和操作岗位人员进行安全操作技能培训，使其了解重大危险源的危险特性，熟悉重大危险源安全管理规章制度和安全操作规程，掌握本岗位的安全操作技能和应急措施。</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第十八条：危险化学品单位应当在重大危险源所在场所设置明显的安全警示标志，写明紧急情况下的应急处置办法。</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第十九条：危险化学品单位应当将重大危险源可能发生的事故后果和应急措施等信息，以适当方式告知可能受影响的单位、区域及人员。</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《危化品企业重大危险源安全包保责任制办法（试行）》（应急厅〔2021〕12号）</w:t>
            </w:r>
            <w:r>
              <w:rPr>
                <w:rFonts w:ascii="Times New Roman" w:hAnsi="Times New Roman" w:eastAsia="方正仿宋_GBK" w:cs="Times New Roman"/>
                <w:kern w:val="0"/>
                <w:szCs w:val="21"/>
              </w:rPr>
              <w:t>第七条：危险化学品企业应当在重大危险源安全警示标志位置设立公示牌，写明重大危险源的主要负责人、技术负责人、操作负责人姓名、对应的安全包保职责及联系方式，接受员工监督。重大危险源安全包保责任人、联系方式应当录入全国危险化学品登记信息管理系统，并向所在地应急管理部门报备，相关信息变更的，应当于变更后5日内在全国危险化学品登记信息管理系统中更新。</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《危险化学品重大危险源监督管理暂行规定》第三十三条：</w:t>
            </w:r>
            <w:r>
              <w:rPr>
                <w:rFonts w:ascii="Times New Roman" w:hAnsi="Times New Roman" w:eastAsia="方正仿宋_GBK" w:cs="Times New Roman"/>
                <w:kern w:val="0"/>
                <w:szCs w:val="21"/>
              </w:rPr>
              <w:t>危险化学品单位有下列行为之一的，由县级以上人民政府安全生产监督管理部门责令限期改正，可以处５万元以下的罚款；逾期未改正的，处５万元以上20万元以下的罚款，对其直接负责的主管人员和其他直接责任人员处１万元以上２万元以下的罚款；情节严重的，责令停产停业整顿；构成犯罪的，依照刑法有关规定追究刑事责任：</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（一）未在构成重大危险源的场所设置明显的安全警示标志的；</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第三十四条：危险化学品单位有下列情形之一的，由县级以上人民政府安全生产监督管理部门给予警告，可以并处5000元以上3万元以下的罚款：</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（二）未按照本规定明确重大危险源中关键装置、重点部位的责任人或者责任机构的；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（五）未将重大危险源可能引发的事故后果、应急措施等信息告知可能受影响的单位、区域及人员的；</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查阅企业安全管理制度是否明确了重大危险源主要负责人、技术负责人、操作负责人姓名、对应的安全包保职责及联系方式。</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是否有管理和操作岗位人员安全操作技能相关培训记录。</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是否将危害后果及应急措施等告知可能受影响的单位、区域和人员。</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检查重大危险源所在场所是否设置了明显的安全警示标志，写明了紧急情况下的应急处置办法。</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检查重大危险源所在场所是否设立了公示牌，是否写明了重大危险源的主要负责人、技术负责人、操作负责人姓名、对应的安全包保职责及联系方式。</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14</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企业未制定重大危险源应急预案，未明确应急处置人员，未按要求配齐便携式可燃有毒气体浓度检测设备、空气呼吸器、化学防护服、堵漏器材等应急装备，未按规定定期进行应急演练和总结评估。</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c>
          <w:tcPr>
            <w:tcW w:w="3686"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b/>
                <w:kern w:val="0"/>
                <w:szCs w:val="21"/>
              </w:rPr>
              <w:t>《危险化学品重大危险源监督管理暂行规定》</w:t>
            </w:r>
            <w:r>
              <w:rPr>
                <w:rFonts w:ascii="Times New Roman" w:hAnsi="Times New Roman" w:eastAsia="方正仿宋_GBK" w:cs="Times New Roman"/>
                <w:kern w:val="0"/>
                <w:szCs w:val="21"/>
              </w:rPr>
              <w:t>第三十四条：危险化学品单位有下列情形之一的，由县级以上人民政府安全生产监督管理部门给予警告，可以并处5000元以上3万元以下的罚款：</w:t>
            </w:r>
          </w:p>
          <w:p>
            <w:pPr>
              <w:pageBreakBefore w:val="0"/>
              <w:kinsoku/>
              <w:wordWrap/>
              <w:overflowPunct/>
              <w:topLinePunct w:val="0"/>
              <w:autoSpaceDE/>
              <w:autoSpaceDN/>
              <w:bidi w:val="0"/>
              <w:snapToGrid w:val="0"/>
              <w:spacing w:line="594" w:lineRule="exact"/>
              <w:jc w:val="center"/>
              <w:rPr>
                <w:rFonts w:hint="eastAsia" w:ascii="Times New Roman" w:hAnsi="Times New Roman" w:eastAsia="方正仿宋_GBK" w:cs="Times New Roman"/>
                <w:kern w:val="0"/>
                <w:szCs w:val="21"/>
                <w:lang w:eastAsia="zh-CN"/>
              </w:rPr>
            </w:pPr>
            <w:r>
              <w:rPr>
                <w:rFonts w:ascii="Times New Roman" w:hAnsi="Times New Roman" w:eastAsia="方正仿宋_GBK" w:cs="Times New Roman"/>
                <w:kern w:val="0"/>
                <w:szCs w:val="21"/>
              </w:rPr>
              <w:t>（三）未按照本规定建立应急救援组织或者配备应急救援人员，以及配备必要的防护装备及器材、设备、物资，并保障其完好的；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（六）未按照本规定要求开展重大危险源事故应急预案演练的。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《生产安全事故应急预案管理办法》（2016年6月3日国家安全生产监督管理总局令第88号公布，根据2019年7月11日应急管理部令第2号修正）</w:t>
            </w:r>
            <w:r>
              <w:rPr>
                <w:rFonts w:ascii="Times New Roman" w:hAnsi="Times New Roman" w:eastAsia="方正仿宋_GBK" w:cs="Times New Roman"/>
                <w:kern w:val="0"/>
                <w:szCs w:val="21"/>
              </w:rPr>
              <w:t>第四十五条：生产经营单位有下列情形之一的，由县级以上人民政府应急管理部门责令限期改正，可以处1万元以上3万元以下的罚款：</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（一）在应急预案编制前未按照规定开展风险辨识、评估和应急资源调查的；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（二）未按照规定开展应急预案评审的；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（三）事故风险可能影响周边单位、人员的，未将事故风险的性质、影响范围和应急防范措施告知周边单位和人员的；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（四）未按照规定开展应急预案评估的；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（五）未按照规定进行应急预案修订的；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（六）未落实应急预案规定的应急物资及装备的。</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查阅资料：</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重大危险源安全管理制度是否对应急处置人员进行了明确。</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是否制定了重大危险源事故应急预案，是否建立了应急救援组织或者配备应急救援人员，是否配备了防护装备及应急救援器材、设备、物资清单。</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是否定期进行了应急演练和总结评估。</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现场检查：</w:t>
            </w:r>
            <w:r>
              <w:rPr>
                <w:rFonts w:ascii="Times New Roman" w:hAnsi="Times New Roman" w:eastAsia="方正仿宋_GBK" w:cs="Times New Roman"/>
                <w:kern w:val="0"/>
                <w:szCs w:val="21"/>
              </w:rPr>
              <w:t>检查防护装备及应急救援器材、设备、物资是否齐备、完好，检查企业员工是否能熟练、准确使用。</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r>
        <w:tblPrEx>
          <w:tblCellMar>
            <w:top w:w="0" w:type="dxa"/>
            <w:left w:w="0" w:type="dxa"/>
            <w:bottom w:w="0" w:type="dxa"/>
            <w:right w:w="0" w:type="dxa"/>
          </w:tblCellMar>
        </w:tblPrEx>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15</w:t>
            </w:r>
          </w:p>
        </w:tc>
        <w:tc>
          <w:tcPr>
            <w:tcW w:w="195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未按要求将重大危险源相关数据接入全国危险化学品安全生产风险监测预警系统。</w:t>
            </w:r>
          </w:p>
        </w:tc>
        <w:tc>
          <w:tcPr>
            <w:tcW w:w="382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《危化品企业重大危险源安全包保责任制办法（试行）》（应急厅〔2021〕12号）</w:t>
            </w:r>
            <w:r>
              <w:rPr>
                <w:rFonts w:ascii="Times New Roman" w:hAnsi="Times New Roman" w:eastAsia="方正仿宋_GBK" w:cs="Times New Roman"/>
                <w:kern w:val="0"/>
                <w:szCs w:val="21"/>
              </w:rPr>
              <w:t>第四条：重大危险源的主要负责人，对所包保的重大危险源负有下列安全职责：（七）组织通过危险化学品登记信息管理系统填报重大危险源有关信息，保证重大危险源安全监测监控有关数据接入危险化学品安全生产风险监测预警系统。</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《中华人民共和国安全生产法》</w:t>
            </w:r>
            <w:r>
              <w:rPr>
                <w:rFonts w:ascii="Times New Roman" w:hAnsi="Times New Roman" w:eastAsia="方正仿宋_GBK" w:cs="Times New Roman"/>
                <w:kern w:val="0"/>
                <w:szCs w:val="21"/>
              </w:rPr>
              <w:t xml:space="preserve">第四十条： </w:t>
            </w:r>
          </w:p>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检查项</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r>
              <w:rPr>
                <w:rFonts w:ascii="Times New Roman" w:hAnsi="Times New Roman" w:eastAsia="方正仿宋_GBK" w:cs="Times New Roman"/>
                <w:b/>
                <w:kern w:val="0"/>
                <w:szCs w:val="21"/>
              </w:rPr>
              <w:t>查阅资料：</w:t>
            </w:r>
            <w:r>
              <w:rPr>
                <w:rFonts w:ascii="Times New Roman" w:hAnsi="Times New Roman" w:eastAsia="方正仿宋_GBK" w:cs="Times New Roman"/>
                <w:kern w:val="0"/>
                <w:szCs w:val="21"/>
              </w:rPr>
              <w:t>查阅重大危险源相关数据是否接入了全国危险化学品安全生产风险监测预警系统。</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napToGrid w:val="0"/>
              <w:spacing w:line="594" w:lineRule="exact"/>
              <w:jc w:val="center"/>
              <w:rPr>
                <w:rFonts w:ascii="Times New Roman" w:hAnsi="Times New Roman" w:eastAsia="方正仿宋_GBK" w:cs="Times New Roman"/>
                <w:kern w:val="0"/>
                <w:szCs w:val="21"/>
              </w:rPr>
            </w:pPr>
          </w:p>
        </w:tc>
      </w:tr>
    </w:tbl>
    <w:p>
      <w:pPr>
        <w:pageBreakBefore w:val="0"/>
        <w:kinsoku/>
        <w:wordWrap/>
        <w:overflowPunct/>
        <w:topLinePunct w:val="0"/>
        <w:autoSpaceDE/>
        <w:autoSpaceDN/>
        <w:bidi w:val="0"/>
        <w:adjustRightInd w:val="0"/>
        <w:snapToGrid w:val="0"/>
        <w:spacing w:line="594" w:lineRule="exact"/>
        <w:rPr>
          <w:rFonts w:ascii="Times New Roman" w:hAnsi="Times New Roman" w:eastAsia="微软雅黑" w:cs="Times New Roman"/>
          <w:sz w:val="32"/>
          <w:szCs w:val="32"/>
        </w:rPr>
      </w:pPr>
    </w:p>
    <w:p>
      <w:pPr>
        <w:pStyle w:val="3"/>
        <w:pageBreakBefore w:val="0"/>
        <w:kinsoku/>
        <w:wordWrap/>
        <w:overflowPunct/>
        <w:topLinePunct w:val="0"/>
        <w:autoSpaceDE/>
        <w:autoSpaceDN/>
        <w:bidi w:val="0"/>
        <w:spacing w:line="594" w:lineRule="exact"/>
        <w:rPr>
          <w:rFonts w:ascii="Times New Roman" w:hAnsi="Times New Roman"/>
        </w:rPr>
        <w:sectPr>
          <w:pgSz w:w="16838" w:h="11906" w:orient="landscape"/>
          <w:pgMar w:top="1587" w:right="2098" w:bottom="1474" w:left="1984" w:header="851" w:footer="1474" w:gutter="0"/>
          <w:pgNumType w:fmt="numberInDash"/>
          <w:cols w:space="0" w:num="1"/>
          <w:docGrid w:type="linesAndChars" w:linePitch="580" w:charSpace="-1024"/>
        </w:sectPr>
      </w:pPr>
    </w:p>
    <w:p>
      <w:pPr>
        <w:pageBreakBefore w:val="0"/>
        <w:kinsoku/>
        <w:wordWrap/>
        <w:overflowPunct/>
        <w:topLinePunct w:val="0"/>
        <w:autoSpaceDE/>
        <w:autoSpaceDN/>
        <w:bidi w:val="0"/>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（此页无正文）</w:t>
      </w:r>
    </w:p>
    <w:p>
      <w:pPr>
        <w:pStyle w:val="4"/>
        <w:pageBreakBefore w:val="0"/>
        <w:kinsoku/>
        <w:wordWrap/>
        <w:overflowPunct/>
        <w:topLinePunct w:val="0"/>
        <w:autoSpaceDE/>
        <w:autoSpaceDN/>
        <w:bidi w:val="0"/>
        <w:spacing w:line="594" w:lineRule="exact"/>
      </w:pPr>
    </w:p>
    <w:p>
      <w:pPr>
        <w:pStyle w:val="5"/>
        <w:pageBreakBefore w:val="0"/>
        <w:kinsoku/>
        <w:wordWrap/>
        <w:overflowPunct/>
        <w:topLinePunct w:val="0"/>
        <w:autoSpaceDE/>
        <w:autoSpaceDN/>
        <w:bidi w:val="0"/>
        <w:spacing w:line="594" w:lineRule="exact"/>
        <w:rPr>
          <w:rFonts w:ascii="方正仿宋_GBK" w:hAnsi="方正仿宋_GBK" w:eastAsia="方正仿宋_GBK" w:cs="方正仿宋_GBK"/>
          <w:sz w:val="32"/>
        </w:rPr>
      </w:pPr>
    </w:p>
    <w:p>
      <w:pPr>
        <w:pageBreakBefore w:val="0"/>
        <w:kinsoku/>
        <w:wordWrap/>
        <w:overflowPunct/>
        <w:topLinePunct w:val="0"/>
        <w:autoSpaceDE/>
        <w:autoSpaceDN/>
        <w:bidi w:val="0"/>
        <w:spacing w:line="594" w:lineRule="exact"/>
        <w:rPr>
          <w:rFonts w:ascii="方正仿宋_GBK" w:hAnsi="方正仿宋_GBK" w:eastAsia="方正仿宋_GBK" w:cs="方正仿宋_GBK"/>
          <w:sz w:val="32"/>
          <w:szCs w:val="32"/>
        </w:rPr>
      </w:pPr>
    </w:p>
    <w:p>
      <w:pPr>
        <w:pStyle w:val="4"/>
        <w:pageBreakBefore w:val="0"/>
        <w:kinsoku/>
        <w:wordWrap/>
        <w:overflowPunct/>
        <w:topLinePunct w:val="0"/>
        <w:autoSpaceDE/>
        <w:autoSpaceDN/>
        <w:bidi w:val="0"/>
        <w:spacing w:line="594" w:lineRule="exact"/>
      </w:pPr>
    </w:p>
    <w:p>
      <w:pPr>
        <w:pStyle w:val="5"/>
        <w:pageBreakBefore w:val="0"/>
        <w:kinsoku/>
        <w:wordWrap/>
        <w:overflowPunct/>
        <w:topLinePunct w:val="0"/>
        <w:autoSpaceDE/>
        <w:autoSpaceDN/>
        <w:bidi w:val="0"/>
        <w:spacing w:line="594" w:lineRule="exact"/>
        <w:rPr>
          <w:rFonts w:ascii="方正仿宋_GBK" w:hAnsi="方正仿宋_GBK" w:eastAsia="方正仿宋_GBK" w:cs="方正仿宋_GBK"/>
          <w:sz w:val="32"/>
        </w:rPr>
      </w:pPr>
    </w:p>
    <w:p>
      <w:pPr>
        <w:pageBreakBefore w:val="0"/>
        <w:kinsoku/>
        <w:wordWrap/>
        <w:overflowPunct/>
        <w:topLinePunct w:val="0"/>
        <w:autoSpaceDE/>
        <w:autoSpaceDN/>
        <w:bidi w:val="0"/>
        <w:spacing w:line="594" w:lineRule="exact"/>
        <w:rPr>
          <w:rFonts w:ascii="方正仿宋_GBK" w:hAnsi="方正仿宋_GBK" w:eastAsia="方正仿宋_GBK" w:cs="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Style w:val="20"/>
        <w:pageBreakBefore w:val="0"/>
        <w:kinsoku/>
        <w:wordWrap/>
        <w:overflowPunct/>
        <w:topLinePunct w:val="0"/>
        <w:autoSpaceDE/>
        <w:autoSpaceDN/>
        <w:bidi w:val="0"/>
        <w:spacing w:line="594" w:lineRule="exact"/>
        <w:ind w:firstLine="4740" w:firstLineChars="1500"/>
        <w:rPr>
          <w:rFonts w:ascii="方正仿宋_GBK" w:eastAsia="方正仿宋_GBK"/>
          <w:sz w:val="32"/>
          <w:szCs w:val="32"/>
        </w:rPr>
      </w:pPr>
    </w:p>
    <w:p>
      <w:pPr>
        <w:pageBreakBefore w:val="0"/>
        <w:pBdr>
          <w:top w:val="single" w:color="auto" w:sz="4" w:space="1"/>
          <w:bottom w:val="single" w:color="auto" w:sz="4" w:space="1"/>
          <w:between w:val="single" w:color="auto" w:sz="4" w:space="0"/>
        </w:pBdr>
        <w:kinsoku/>
        <w:wordWrap/>
        <w:overflowPunct/>
        <w:topLinePunct w:val="0"/>
        <w:autoSpaceDE/>
        <w:autoSpaceDN/>
        <w:bidi w:val="0"/>
        <w:spacing w:line="594" w:lineRule="exact"/>
        <w:ind w:firstLine="276" w:firstLineChars="100"/>
        <w:jc w:val="left"/>
      </w:pPr>
      <w:r>
        <w:rPr>
          <w:rFonts w:hint="eastAsia" w:ascii="方正仿宋_GBK" w:hAnsi="方正仿宋_GBK" w:eastAsia="方正仿宋_GBK" w:cs="方正仿宋_GBK"/>
          <w:color w:val="000000"/>
          <w:kern w:val="0"/>
          <w:sz w:val="28"/>
          <w:szCs w:val="28"/>
        </w:rPr>
        <w:t>冷水镇党政办公室</w:t>
      </w:r>
      <w:r>
        <w:rPr>
          <w:rFonts w:hint="eastAsia" w:ascii="方正仿宋_GBK" w:hAnsi="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cs="方正仿宋_GBK"/>
          <w:color w:val="000000"/>
          <w:kern w:val="0"/>
          <w:sz w:val="28"/>
          <w:szCs w:val="28"/>
        </w:rPr>
        <w:t xml:space="preserve">    </w:t>
      </w:r>
      <w:r>
        <w:rPr>
          <w:rFonts w:ascii="方正仿宋_GBK" w:hAnsi="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rPr>
        <w:t>202</w:t>
      </w:r>
      <w:r>
        <w:rPr>
          <w:rFonts w:hint="eastAsia" w:ascii="方正仿宋_GBK" w:hAnsi="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rPr>
        <w:t>年</w:t>
      </w:r>
      <w:r>
        <w:rPr>
          <w:rFonts w:hint="eastAsia" w:ascii="方正仿宋_GBK" w:hAnsi="方正仿宋_GBK" w:cs="方正仿宋_GBK"/>
          <w:color w:val="000000"/>
          <w:kern w:val="0"/>
          <w:sz w:val="28"/>
          <w:szCs w:val="28"/>
        </w:rPr>
        <w:t>11</w:t>
      </w:r>
      <w:r>
        <w:rPr>
          <w:rFonts w:hint="eastAsia" w:ascii="方正仿宋_GBK" w:hAnsi="方正仿宋_GBK" w:eastAsia="方正仿宋_GBK" w:cs="方正仿宋_GBK"/>
          <w:color w:val="000000"/>
          <w:kern w:val="0"/>
          <w:sz w:val="28"/>
          <w:szCs w:val="28"/>
        </w:rPr>
        <w:t>月</w:t>
      </w:r>
      <w:r>
        <w:rPr>
          <w:rFonts w:ascii="方正仿宋_GBK" w:hAnsi="方正仿宋_GBK" w:eastAsia="方正仿宋_GBK" w:cs="方正仿宋_GBK"/>
          <w:color w:val="000000"/>
          <w:kern w:val="0"/>
          <w:sz w:val="28"/>
          <w:szCs w:val="28"/>
        </w:rPr>
        <w:t>10</w:t>
      </w:r>
      <w:r>
        <w:rPr>
          <w:rFonts w:hint="eastAsia" w:ascii="方正仿宋_GBK" w:hAnsi="方正仿宋_GBK" w:eastAsia="方正仿宋_GBK" w:cs="方正仿宋_GBK"/>
          <w:color w:val="000000"/>
          <w:kern w:val="0"/>
          <w:sz w:val="28"/>
          <w:szCs w:val="28"/>
        </w:rPr>
        <w:t>日印发</w:t>
      </w:r>
    </w:p>
    <w:sectPr>
      <w:pgSz w:w="11906" w:h="16838"/>
      <w:pgMar w:top="2098" w:right="1474" w:bottom="1984" w:left="1587" w:header="851" w:footer="1474" w:gutter="0"/>
      <w:pgNumType w:fmt="numberInDash"/>
      <w:cols w:space="0" w:num="1"/>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A6F73"/>
    <w:multiLevelType w:val="singleLevel"/>
    <w:tmpl w:val="82FA6F73"/>
    <w:lvl w:ilvl="0" w:tentative="0">
      <w:start w:val="1"/>
      <w:numFmt w:val="chineseCounting"/>
      <w:suff w:val="nothing"/>
      <w:lvlText w:val="（%1）"/>
      <w:lvlJc w:val="left"/>
      <w:rPr>
        <w:rFonts w:hint="eastAsia"/>
      </w:rPr>
    </w:lvl>
  </w:abstractNum>
  <w:abstractNum w:abstractNumId="1">
    <w:nsid w:val="9E07E153"/>
    <w:multiLevelType w:val="singleLevel"/>
    <w:tmpl w:val="9E07E15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50430"/>
    <w:rsid w:val="0011332D"/>
    <w:rsid w:val="00143553"/>
    <w:rsid w:val="005B6AB6"/>
    <w:rsid w:val="007E4DF6"/>
    <w:rsid w:val="01243F16"/>
    <w:rsid w:val="0391616E"/>
    <w:rsid w:val="04150430"/>
    <w:rsid w:val="051250C4"/>
    <w:rsid w:val="05820246"/>
    <w:rsid w:val="068C1579"/>
    <w:rsid w:val="07AD6B9D"/>
    <w:rsid w:val="096B1C20"/>
    <w:rsid w:val="09D96353"/>
    <w:rsid w:val="104C00BC"/>
    <w:rsid w:val="14B52A7D"/>
    <w:rsid w:val="168D3215"/>
    <w:rsid w:val="19015874"/>
    <w:rsid w:val="1A8304F1"/>
    <w:rsid w:val="22304873"/>
    <w:rsid w:val="25C17042"/>
    <w:rsid w:val="271B2138"/>
    <w:rsid w:val="29242308"/>
    <w:rsid w:val="29D06710"/>
    <w:rsid w:val="2CF127FC"/>
    <w:rsid w:val="2D4C3668"/>
    <w:rsid w:val="2D5E6099"/>
    <w:rsid w:val="349F7B12"/>
    <w:rsid w:val="34E5634F"/>
    <w:rsid w:val="382C51AD"/>
    <w:rsid w:val="3D7113E2"/>
    <w:rsid w:val="3D767A51"/>
    <w:rsid w:val="41274C3D"/>
    <w:rsid w:val="426051F9"/>
    <w:rsid w:val="43F05920"/>
    <w:rsid w:val="460274A2"/>
    <w:rsid w:val="477738B5"/>
    <w:rsid w:val="4BB05D53"/>
    <w:rsid w:val="510B0FDF"/>
    <w:rsid w:val="528A2244"/>
    <w:rsid w:val="546A2BFB"/>
    <w:rsid w:val="558033B8"/>
    <w:rsid w:val="56E14654"/>
    <w:rsid w:val="575C3AD1"/>
    <w:rsid w:val="57DD291E"/>
    <w:rsid w:val="5CFB3112"/>
    <w:rsid w:val="5FA86DEC"/>
    <w:rsid w:val="5FDA2E5C"/>
    <w:rsid w:val="630F3ADC"/>
    <w:rsid w:val="63AF6525"/>
    <w:rsid w:val="65B66297"/>
    <w:rsid w:val="6B036BE4"/>
    <w:rsid w:val="6ECC00EA"/>
    <w:rsid w:val="7216127B"/>
    <w:rsid w:val="732C70CB"/>
    <w:rsid w:val="7B28607F"/>
    <w:rsid w:val="7E7F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jc w:val="both"/>
      <w:outlineLvl w:val="0"/>
    </w:pPr>
    <w:rPr>
      <w:rFonts w:ascii="Calibri" w:hAnsi="Calibri" w:eastAsia="方正仿宋_GBK" w:cs="Times New Roman"/>
      <w:b/>
      <w:bCs/>
      <w:kern w:val="44"/>
      <w:sz w:val="44"/>
      <w:szCs w:val="4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Body Text"/>
    <w:basedOn w:val="1"/>
    <w:next w:val="1"/>
    <w:unhideWhenUsed/>
    <w:qFormat/>
    <w:uiPriority w:val="99"/>
    <w:pPr>
      <w:ind w:left="109"/>
    </w:pPr>
    <w:rPr>
      <w:rFonts w:ascii="仿宋_GB2312" w:hAnsi="仿宋_GB2312" w:eastAsia="仿宋_GB2312" w:cs="仿宋_GB2312"/>
      <w:szCs w:val="32"/>
    </w:rPr>
  </w:style>
  <w:style w:type="paragraph" w:styleId="6">
    <w:name w:val="Plain Text"/>
    <w:basedOn w:val="1"/>
    <w:qFormat/>
    <w:uiPriority w:val="0"/>
    <w:rPr>
      <w:rFonts w:ascii="宋体" w:hAnsi="Courier New" w:eastAsia="宋体" w:cs="Courier New"/>
      <w:szCs w:val="21"/>
    </w:rPr>
  </w:style>
  <w:style w:type="paragraph" w:styleId="7">
    <w:name w:val="Balloon Text"/>
    <w:basedOn w:val="1"/>
    <w:link w:val="21"/>
    <w:uiPriority w:val="0"/>
    <w:rPr>
      <w:sz w:val="18"/>
      <w:szCs w:val="18"/>
    </w:rPr>
  </w:style>
  <w:style w:type="paragraph" w:styleId="8">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41"/>
    <w:basedOn w:val="13"/>
    <w:qFormat/>
    <w:uiPriority w:val="0"/>
    <w:rPr>
      <w:rFonts w:hint="eastAsia" w:ascii="方正黑体_GBK" w:hAnsi="方正黑体_GBK" w:eastAsia="方正黑体_GBK" w:cs="方正黑体_GBK"/>
      <w:color w:val="000000"/>
      <w:sz w:val="20"/>
      <w:szCs w:val="20"/>
      <w:u w:val="none"/>
    </w:rPr>
  </w:style>
  <w:style w:type="character" w:customStyle="1" w:styleId="15">
    <w:name w:val="font21"/>
    <w:basedOn w:val="13"/>
    <w:qFormat/>
    <w:uiPriority w:val="0"/>
    <w:rPr>
      <w:rFonts w:hint="eastAsia" w:ascii="方正黑体_GBK" w:hAnsi="方正黑体_GBK" w:eastAsia="方正黑体_GBK" w:cs="方正黑体_GBK"/>
      <w:color w:val="000000"/>
      <w:sz w:val="20"/>
      <w:szCs w:val="20"/>
      <w:u w:val="none"/>
      <w:vertAlign w:val="superscript"/>
    </w:rPr>
  </w:style>
  <w:style w:type="character" w:customStyle="1" w:styleId="16">
    <w:name w:val="font11"/>
    <w:basedOn w:val="13"/>
    <w:qFormat/>
    <w:uiPriority w:val="0"/>
    <w:rPr>
      <w:rFonts w:hint="eastAsia" w:ascii="方正黑体_GBK" w:hAnsi="方正黑体_GBK" w:eastAsia="方正黑体_GBK" w:cs="方正黑体_GBK"/>
      <w:color w:val="000000"/>
      <w:sz w:val="20"/>
      <w:szCs w:val="20"/>
      <w:u w:val="none"/>
    </w:rPr>
  </w:style>
  <w:style w:type="paragraph" w:customStyle="1" w:styleId="17">
    <w:name w:val="正文文本 (2)1"/>
    <w:basedOn w:val="1"/>
    <w:link w:val="19"/>
    <w:qFormat/>
    <w:uiPriority w:val="0"/>
    <w:pPr>
      <w:shd w:val="clear" w:color="auto" w:fill="FFFFFF"/>
      <w:spacing w:after="720" w:line="571" w:lineRule="exact"/>
    </w:pPr>
    <w:rPr>
      <w:rFonts w:ascii="MingLiU" w:hAnsi="MingLiU" w:eastAsia="MingLiU" w:cs="MingLiU"/>
      <w:spacing w:val="40"/>
      <w:sz w:val="28"/>
      <w:szCs w:val="28"/>
    </w:rPr>
  </w:style>
  <w:style w:type="character" w:customStyle="1" w:styleId="18">
    <w:name w:val="正文文本 (2)"/>
    <w:basedOn w:val="19"/>
    <w:qFormat/>
    <w:uiPriority w:val="0"/>
    <w:rPr>
      <w:rFonts w:ascii="MingLiU" w:hAnsi="MingLiU" w:eastAsia="MingLiU" w:cs="MingLiU"/>
      <w:color w:val="000000"/>
      <w:spacing w:val="40"/>
      <w:w w:val="100"/>
      <w:position w:val="0"/>
      <w:sz w:val="28"/>
      <w:szCs w:val="28"/>
      <w:u w:val="none"/>
      <w:lang w:val="zh-CN" w:eastAsia="zh-CN" w:bidi="zh-CN"/>
    </w:rPr>
  </w:style>
  <w:style w:type="character" w:customStyle="1" w:styleId="19">
    <w:name w:val="正文文本 (2)_"/>
    <w:basedOn w:val="13"/>
    <w:link w:val="17"/>
    <w:qFormat/>
    <w:uiPriority w:val="0"/>
    <w:rPr>
      <w:rFonts w:ascii="MingLiU" w:hAnsi="MingLiU" w:eastAsia="MingLiU" w:cs="MingLiU"/>
      <w:spacing w:val="40"/>
      <w:sz w:val="28"/>
      <w:szCs w:val="28"/>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character" w:customStyle="1" w:styleId="21">
    <w:name w:val="批注框文本 字符"/>
    <w:basedOn w:val="13"/>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2436</Words>
  <Characters>13887</Characters>
  <Lines>115</Lines>
  <Paragraphs>32</Paragraphs>
  <TotalTime>35</TotalTime>
  <ScaleCrop>false</ScaleCrop>
  <LinksUpToDate>false</LinksUpToDate>
  <CharactersWithSpaces>16291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2021-11-17T06:14:00Z</dcterms:created>
  <dc:creator>Eason.</dc:creator>
  <cp:lastModifiedBy>Administrator</cp:lastModifiedBy>
  <cp:lastPrinted>2021-11-21T11:52:26Z</cp:lastPrinted>
  <dcterms:modified xsi:type="dcterms:W3CDTF">2021-11-21T11:54:32Z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F65D0D4CA4FD45349DF480A034EA09A0</vt:lpwstr>
  </property>
</Properties>
</file>