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重庆市石柱土家族自治县龙沙镇人民政府2023年度决算公开说明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本单位决算说明主要包括单位基本情况、预算执行情况分析和专业名词解释等。同时对“三公”经费、机关运行经费、政府采购支出、国有资产占用以及预算绩效管理等情况进行单独说明。具体内容如下：</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龙沙镇人民政府具有党委和政府两种职能。党委领导政府工作，主要是政治思想和方针政策的领导，干部的选拔、考核和监督，经济和行政工作中重大问题的决策。镇政府是基层国家行政机关，行使本行政区的行政职能。具体职能如下：</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1.党政办公室。</w:t>
      </w:r>
      <w:r>
        <w:rPr>
          <w:rFonts w:hint="eastAsia" w:ascii="方正仿宋_GBK" w:hAnsi="方正仿宋_GBK" w:eastAsia="方正仿宋_GBK" w:cs="方正仿宋_GBK"/>
          <w:color w:val="auto"/>
          <w:sz w:val="32"/>
          <w:szCs w:val="32"/>
          <w:shd w:val="clear" w:color="auto" w:fill="FFFFFF"/>
        </w:rPr>
        <w:t>主要承担文秘、公文处理、会务、接待、政务值班等职责；承担综合协调、规范性文件审查、督查督办、信息、档案管理、车辆管理等职责。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2.党群工作办公室。</w:t>
      </w:r>
      <w:r>
        <w:rPr>
          <w:rFonts w:hint="eastAsia" w:ascii="方正仿宋_GBK" w:hAnsi="方正仿宋_GBK" w:eastAsia="方正仿宋_GBK" w:cs="方正仿宋_GBK"/>
          <w:color w:val="auto"/>
          <w:sz w:val="32"/>
          <w:szCs w:val="32"/>
          <w:shd w:val="clear" w:color="auto" w:fill="FFFFFF"/>
        </w:rPr>
        <w:t>主要承担党的建设、机构编制、组织人事、纪律监察、宣传、统战、民宗侨台、武装、群团、新时代文明实践等职责。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3.经济发展办公室 (统计办公室、乡村振兴办公室)。</w:t>
      </w:r>
      <w:r>
        <w:rPr>
          <w:rFonts w:hint="eastAsia" w:ascii="方正仿宋_GBK" w:hAnsi="方正仿宋_GBK" w:eastAsia="方正仿宋_GBK" w:cs="方正仿宋_GBK"/>
          <w:color w:val="auto"/>
          <w:sz w:val="32"/>
          <w:szCs w:val="32"/>
          <w:shd w:val="clear" w:color="auto" w:fill="FFFFFF"/>
        </w:rPr>
        <w:t>主要承担经济发展规划与指导服务、农业产业化发展、农村经营管理、经济社会统计、乡村振兴、内部审计等职责。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4.民政和社会事务办公室（卫生健康办公室）。</w:t>
      </w:r>
      <w:r>
        <w:rPr>
          <w:rFonts w:hint="eastAsia" w:ascii="方正仿宋_GBK" w:hAnsi="方正仿宋_GBK" w:eastAsia="方正仿宋_GBK" w:cs="方正仿宋_GBK"/>
          <w:color w:val="auto"/>
          <w:sz w:val="32"/>
          <w:szCs w:val="32"/>
          <w:shd w:val="clear" w:color="auto" w:fill="FFFFFF"/>
        </w:rPr>
        <w:t>主要承担民政、教育、卫生健康、文化、体育、社会救助、残疾人事业、劳动就业、社会保障（医疗保障）、社区管理等职责。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5.平安建设办公室。</w:t>
      </w:r>
      <w:r>
        <w:rPr>
          <w:rFonts w:hint="eastAsia" w:ascii="方正仿宋_GBK" w:hAnsi="方正仿宋_GBK" w:eastAsia="方正仿宋_GBK" w:cs="方正仿宋_GBK"/>
          <w:color w:val="auto"/>
          <w:sz w:val="32"/>
          <w:szCs w:val="32"/>
          <w:shd w:val="clear" w:color="auto" w:fill="FFFFFF"/>
        </w:rPr>
        <w:t>主要承担信访稳定、人民调解、社会治安综合治理、禁毒、防范和处理邪教等职责。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6.规划建设管理环保办公室。</w:t>
      </w:r>
      <w:r>
        <w:rPr>
          <w:rFonts w:hint="eastAsia" w:ascii="方正仿宋_GBK" w:hAnsi="方正仿宋_GBK" w:eastAsia="方正仿宋_GBK" w:cs="方正仿宋_GBK"/>
          <w:color w:val="auto"/>
          <w:sz w:val="32"/>
          <w:szCs w:val="32"/>
          <w:shd w:val="clear" w:color="auto" w:fill="FFFFFF"/>
        </w:rPr>
        <w:t>主要承担村镇规划、村镇建设、农村公路建设及管护、集镇管理、生态环境保护等职责。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7.财政办公室。</w:t>
      </w:r>
      <w:r>
        <w:rPr>
          <w:rFonts w:hint="eastAsia" w:ascii="方正仿宋_GBK" w:hAnsi="方正仿宋_GBK" w:eastAsia="方正仿宋_GBK" w:cs="方正仿宋_GBK"/>
          <w:color w:val="auto"/>
          <w:sz w:val="32"/>
          <w:szCs w:val="32"/>
          <w:shd w:val="clear" w:color="auto" w:fill="FFFFFF"/>
        </w:rPr>
        <w:t>主要承担财政收支、预决算、总会计、惠农资金兑付、财政资金监督检查、绩效评价、村级财政管理、国有资产管理等职责。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8.应急管理办公室。</w:t>
      </w:r>
      <w:r>
        <w:rPr>
          <w:rFonts w:hint="eastAsia" w:ascii="方正仿宋_GBK" w:hAnsi="方正仿宋_GBK" w:eastAsia="方正仿宋_GBK" w:cs="方正仿宋_GBK"/>
          <w:color w:val="auto"/>
          <w:sz w:val="32"/>
          <w:szCs w:val="32"/>
          <w:shd w:val="clear" w:color="auto" w:fill="FFFFFF"/>
        </w:rPr>
        <w:t>主要承担安全生产综合监管、应急管理、消防安全管理、森林防火、食品药品安全监督属地管理（含农村家宴备案）等工作，协助开展煤矿、非煤矿山、危险化学品、烟花爆竹等安全生产日常监管工作。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9.人大办公室。</w:t>
      </w:r>
      <w:r>
        <w:rPr>
          <w:rFonts w:hint="eastAsia" w:ascii="方正仿宋_GBK" w:hAnsi="方正仿宋_GBK" w:eastAsia="方正仿宋_GBK" w:cs="方正仿宋_GBK"/>
          <w:color w:val="auto"/>
          <w:sz w:val="32"/>
          <w:szCs w:val="32"/>
          <w:shd w:val="clear" w:color="auto" w:fill="FFFFFF"/>
        </w:rPr>
        <w:t>主要承担人大主席团日常工作。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10.综合行政执法办公室。</w:t>
      </w:r>
      <w:r>
        <w:rPr>
          <w:rFonts w:hint="eastAsia" w:ascii="方正仿宋_GBK" w:hAnsi="方正仿宋_GBK" w:eastAsia="方正仿宋_GBK" w:cs="方正仿宋_GBK"/>
          <w:color w:val="auto"/>
          <w:sz w:val="32"/>
          <w:szCs w:val="32"/>
          <w:shd w:val="clear" w:color="auto" w:fill="FFFFFF"/>
        </w:rPr>
        <w:t>主要承担集中行使依法授权或委托的行政执法权，与综合行政执法大队实行统筹运行。</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2"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石柱土家族自治县龙沙镇人民政府单位性质属于行政单位，设置党政办公室、党群工作办公室、经济发展办公室(统计办公室、乡村振兴办公室)、民政和社会事务办公室（卫生健康办公室）、平安建设办公室、规划建设管理环保办公室、财政办公室、应急管理办公室、人大办公室、综合行政执法办公室等10个综合办事机构。镇纪委、武装部按照有关规定设置。工会、团委、妇联等群团按章程设置，当年未变动。人员情况为：本单位编制人数27名，截至本年度12月实有人数为26名；其中行政人员23名，参公人员3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龙沙镇人民政府下属二级事业单位为：农业服务中心、文化服务中心、劳动就业和社会保障服务所、退役军人服务站、综合行政执法大队。事业单位编制人数19名，本年末实有在编人员18名。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2" w:firstLineChars="200"/>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2023年度收入总计2999.30万元，支出总计</w:t>
      </w:r>
      <w:r>
        <w:rPr>
          <w:rFonts w:ascii="方正仿宋_GBK" w:hAnsi="方正仿宋_GBK" w:eastAsia="方正仿宋_GBK" w:cs="方正仿宋_GBK"/>
          <w:sz w:val="32"/>
          <w:szCs w:val="32"/>
        </w:rPr>
        <w:t>2999.30</w:t>
      </w:r>
      <w:r>
        <w:rPr>
          <w:rFonts w:ascii="方正仿宋_GBK" w:hAnsi="方正仿宋_GBK" w:eastAsia="方正仿宋_GBK" w:cs="方正仿宋_GBK"/>
          <w:sz w:val="32"/>
          <w:szCs w:val="32"/>
          <w:shd w:val="clear" w:color="auto" w:fill="FFFFFF"/>
        </w:rPr>
        <w:t>万元。收支较上年决算数增加570.63万元，增长23.50%，主要原因是</w:t>
      </w:r>
      <w:r>
        <w:rPr>
          <w:rFonts w:hint="eastAsia" w:ascii="方正仿宋_GBK" w:hAnsi="方正仿宋_GBK" w:eastAsia="方正仿宋_GBK" w:cs="方正仿宋_GBK"/>
          <w:color w:val="auto"/>
          <w:sz w:val="32"/>
          <w:szCs w:val="32"/>
          <w:shd w:val="clear" w:color="auto" w:fill="FFFFFF"/>
        </w:rPr>
        <w:t>基建项目投入增加</w:t>
      </w:r>
      <w:r>
        <w:rPr>
          <w:rFonts w:hint="eastAsia" w:ascii="方正仿宋_GBK" w:hAnsi="方正仿宋_GBK" w:eastAsia="方正仿宋_GBK" w:cs="方正仿宋_GBK"/>
          <w:color w:val="auto"/>
          <w:sz w:val="32"/>
          <w:szCs w:val="32"/>
          <w:shd w:val="clear" w:color="auto" w:fill="FFFFFF"/>
          <w:lang w:eastAsia="zh-CN"/>
        </w:rPr>
        <w:t>，其中</w:t>
      </w:r>
      <w:r>
        <w:rPr>
          <w:rFonts w:hint="eastAsia" w:ascii="方正仿宋_GBK" w:hAnsi="方正仿宋_GBK" w:eastAsia="方正仿宋_GBK" w:cs="方正仿宋_GBK"/>
          <w:color w:val="auto"/>
          <w:sz w:val="32"/>
          <w:szCs w:val="32"/>
          <w:shd w:val="clear" w:color="auto" w:fill="FFFFFF"/>
        </w:rPr>
        <w:t>：2023年新增全国产业强镇项目100万元、现代农业观光产业园300万元、石岭人居环境卫生整治101.48万元、永丰村农村饮水提升及石岭环境卫生整治项目84.44万元。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2023年度收入合计2999.30万元，</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较上年决算数增加570.63万元，增长23.50%，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财政拨款基建项目投入增加，财政收支均大幅增加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2999.30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2999.30</w:t>
      </w:r>
      <w:r>
        <w:rPr>
          <w:rFonts w:ascii="方正仿宋_GBK" w:hAnsi="方正仿宋_GBK" w:eastAsia="方正仿宋_GBK" w:cs="方正仿宋_GBK"/>
          <w:sz w:val="32"/>
          <w:szCs w:val="32"/>
          <w:shd w:val="clear" w:color="auto" w:fill="FFFFFF"/>
        </w:rPr>
        <w:t>万元，较上年决算数增加570.63万元，增长23.50%，主要原因是</w:t>
      </w:r>
      <w:r>
        <w:rPr>
          <w:rFonts w:hint="eastAsia" w:ascii="方正仿宋_GBK" w:hAnsi="方正仿宋_GBK" w:eastAsia="方正仿宋_GBK" w:cs="方正仿宋_GBK"/>
          <w:color w:val="auto"/>
          <w:sz w:val="32"/>
          <w:szCs w:val="32"/>
          <w:shd w:val="clear" w:color="auto" w:fill="FFFFFF"/>
        </w:rPr>
        <w:t>基建项目投入</w:t>
      </w:r>
      <w:r>
        <w:rPr>
          <w:rFonts w:hint="eastAsia" w:ascii="方正仿宋_GBK" w:hAnsi="方正仿宋_GBK" w:eastAsia="方正仿宋_GBK" w:cs="方正仿宋_GBK"/>
          <w:color w:val="auto"/>
          <w:sz w:val="32"/>
          <w:szCs w:val="32"/>
          <w:shd w:val="clear" w:color="auto" w:fill="FFFFFF"/>
          <w:lang w:eastAsia="zh-CN"/>
        </w:rPr>
        <w:t>大幅</w:t>
      </w:r>
      <w:r>
        <w:rPr>
          <w:rFonts w:hint="eastAsia" w:ascii="方正仿宋_GBK" w:hAnsi="方正仿宋_GBK" w:eastAsia="方正仿宋_GBK" w:cs="方正仿宋_GBK"/>
          <w:color w:val="auto"/>
          <w:sz w:val="32"/>
          <w:szCs w:val="32"/>
          <w:shd w:val="clear" w:color="auto" w:fill="FFFFFF"/>
        </w:rPr>
        <w:t>增加</w:t>
      </w:r>
      <w:r>
        <w:rPr>
          <w:rFonts w:hint="eastAsia" w:ascii="方正仿宋_GBK" w:hAnsi="方正仿宋_GBK" w:eastAsia="方正仿宋_GBK" w:cs="方正仿宋_GBK"/>
          <w:color w:val="auto"/>
          <w:sz w:val="32"/>
          <w:szCs w:val="32"/>
          <w:shd w:val="clear" w:color="auto" w:fill="FFFFFF"/>
          <w:lang w:eastAsia="zh-CN"/>
        </w:rPr>
        <w:t>，项目支出增加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1190.90</w:t>
      </w:r>
      <w:r>
        <w:rPr>
          <w:rFonts w:ascii="方正仿宋_GBK" w:hAnsi="方正仿宋_GBK" w:eastAsia="方正仿宋_GBK" w:cs="方正仿宋_GBK"/>
          <w:color w:val="auto"/>
          <w:sz w:val="32"/>
          <w:szCs w:val="32"/>
          <w:shd w:val="clear" w:color="auto" w:fill="FFFFFF"/>
        </w:rPr>
        <w:t>万元，占39.71%；项目支出</w:t>
      </w:r>
      <w:r>
        <w:rPr>
          <w:rFonts w:ascii="方正仿宋_GBK" w:hAnsi="方正仿宋_GBK" w:eastAsia="方正仿宋_GBK" w:cs="方正仿宋_GBK"/>
          <w:color w:val="auto"/>
          <w:sz w:val="32"/>
          <w:szCs w:val="32"/>
        </w:rPr>
        <w:t>1808.41</w:t>
      </w:r>
      <w:r>
        <w:rPr>
          <w:rFonts w:ascii="方正仿宋_GBK" w:hAnsi="方正仿宋_GBK" w:eastAsia="方正仿宋_GBK" w:cs="方正仿宋_GBK"/>
          <w:color w:val="auto"/>
          <w:sz w:val="32"/>
          <w:szCs w:val="32"/>
          <w:shd w:val="clear" w:color="auto" w:fill="FFFFFF"/>
        </w:rPr>
        <w:t>万元，占60.29%；经营支出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2023年度年末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2023年度财政拨款收、支总计2999.30万元。与2022年相比，</w:t>
      </w:r>
      <w:r>
        <w:rPr>
          <w:rFonts w:hint="eastAsia" w:ascii="方正仿宋_GBK" w:hAnsi="方正仿宋_GBK" w:eastAsia="方正仿宋_GBK" w:cs="方正仿宋_GBK"/>
          <w:sz w:val="32"/>
          <w:szCs w:val="32"/>
          <w:shd w:val="clear" w:color="auto" w:fill="FFFFFF"/>
        </w:rPr>
        <w:t>财政拨款收、支总计各</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570.63万元，增长23.50%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基建项目投入增加：2023年新增全国产业强镇项目100万元、现代农业观光产业园300万元、石岭人居环境卫生整治101.48万元、永丰村农村饮水提升及石岭环境卫生整治项目84.44万元。</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2912.22</w:t>
      </w:r>
      <w:r>
        <w:rPr>
          <w:rFonts w:ascii="方正仿宋_GBK" w:hAnsi="方正仿宋_GBK" w:eastAsia="方正仿宋_GBK" w:cs="方正仿宋_GBK"/>
          <w:sz w:val="32"/>
          <w:szCs w:val="32"/>
          <w:shd w:val="clear" w:color="auto" w:fill="FFFFFF"/>
        </w:rPr>
        <w:t>万元，较上年决算数增加494.12万元，增长20.43%。主要原因是</w:t>
      </w:r>
      <w:r>
        <w:rPr>
          <w:rFonts w:hint="eastAsia" w:ascii="方正仿宋_GBK" w:hAnsi="方正仿宋_GBK" w:eastAsia="方正仿宋_GBK" w:cs="方正仿宋_GBK"/>
          <w:sz w:val="32"/>
          <w:szCs w:val="32"/>
          <w:shd w:val="clear" w:color="auto" w:fill="FFFFFF"/>
          <w:lang w:eastAsia="zh-CN"/>
        </w:rPr>
        <w:t>基建项目投入大幅增加，</w:t>
      </w:r>
      <w:r>
        <w:rPr>
          <w:rFonts w:hint="eastAsia" w:ascii="方正仿宋_GBK" w:hAnsi="方正仿宋_GBK" w:eastAsia="方正仿宋_GBK" w:cs="方正仿宋_GBK"/>
          <w:color w:val="auto"/>
          <w:sz w:val="32"/>
          <w:szCs w:val="32"/>
          <w:shd w:val="clear" w:color="auto" w:fill="FFFFFF"/>
        </w:rPr>
        <w:t>财政拨款增加</w:t>
      </w:r>
      <w:r>
        <w:rPr>
          <w:rFonts w:ascii="方正仿宋_GBK" w:hAnsi="方正仿宋_GBK" w:eastAsia="方正仿宋_GBK" w:cs="方正仿宋_GBK"/>
          <w:color w:val="auto"/>
          <w:sz w:val="32"/>
          <w:szCs w:val="32"/>
          <w:shd w:val="clear" w:color="auto" w:fill="FFFFFF"/>
        </w:rPr>
        <w:t>。较年初预算数增加1476.52万元，增长102.84%。主要原因是</w:t>
      </w:r>
      <w:r>
        <w:rPr>
          <w:rFonts w:hint="eastAsia" w:ascii="方正仿宋_GBK" w:hAnsi="方正仿宋_GBK" w:eastAsia="方正仿宋_GBK" w:cs="方正仿宋_GBK"/>
          <w:color w:val="auto"/>
          <w:sz w:val="32"/>
          <w:szCs w:val="32"/>
          <w:shd w:val="clear" w:color="auto" w:fill="FFFFFF"/>
        </w:rPr>
        <w:t>年中追加大量基建及民生项目（主要文号为渝财农〔2023〕33号、渝财农〔2022〕131号、渝财农〔2021〕124号、石水函〔2022〕391号等）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2912.22</w:t>
      </w:r>
      <w:r>
        <w:rPr>
          <w:rFonts w:ascii="方正仿宋_GBK" w:hAnsi="方正仿宋_GBK" w:eastAsia="方正仿宋_GBK" w:cs="方正仿宋_GBK"/>
          <w:sz w:val="32"/>
          <w:szCs w:val="32"/>
          <w:shd w:val="clear" w:color="auto" w:fill="FFFFFF"/>
        </w:rPr>
        <w:t>万元，较上年决算数增加494.12万元，增长20.43%。主要原因是</w:t>
      </w:r>
      <w:r>
        <w:rPr>
          <w:rFonts w:hint="eastAsia" w:ascii="方正仿宋_GBK" w:hAnsi="方正仿宋_GBK" w:eastAsia="方正仿宋_GBK" w:cs="方正仿宋_GBK"/>
          <w:color w:val="auto"/>
          <w:sz w:val="32"/>
          <w:szCs w:val="32"/>
          <w:shd w:val="clear" w:color="auto" w:fill="FFFFFF"/>
        </w:rPr>
        <w:t>基建项目</w:t>
      </w:r>
      <w:r>
        <w:rPr>
          <w:rFonts w:hint="eastAsia" w:ascii="方正仿宋_GBK" w:hAnsi="方正仿宋_GBK" w:eastAsia="方正仿宋_GBK" w:cs="方正仿宋_GBK"/>
          <w:color w:val="auto"/>
          <w:sz w:val="32"/>
          <w:szCs w:val="32"/>
          <w:shd w:val="clear" w:color="auto" w:fill="FFFFFF"/>
          <w:lang w:eastAsia="zh-CN"/>
        </w:rPr>
        <w:t>大幅</w:t>
      </w:r>
      <w:r>
        <w:rPr>
          <w:rFonts w:hint="eastAsia" w:ascii="方正仿宋_GBK" w:hAnsi="方正仿宋_GBK" w:eastAsia="方正仿宋_GBK" w:cs="方正仿宋_GBK"/>
          <w:color w:val="auto"/>
          <w:sz w:val="32"/>
          <w:szCs w:val="32"/>
          <w:shd w:val="clear" w:color="auto" w:fill="FFFFFF"/>
        </w:rPr>
        <w:t>增加</w:t>
      </w:r>
      <w:r>
        <w:rPr>
          <w:rFonts w:hint="eastAsia" w:ascii="方正仿宋_GBK" w:hAnsi="方正仿宋_GBK" w:eastAsia="方正仿宋_GBK" w:cs="方正仿宋_GBK"/>
          <w:color w:val="auto"/>
          <w:sz w:val="32"/>
          <w:szCs w:val="32"/>
          <w:shd w:val="clear" w:color="auto" w:fill="FFFFFF"/>
          <w:lang w:eastAsia="zh-CN"/>
        </w:rPr>
        <w:t>，项目支出增加</w:t>
      </w:r>
      <w:r>
        <w:rPr>
          <w:rFonts w:ascii="方正仿宋_GBK" w:hAnsi="方正仿宋_GBK" w:eastAsia="方正仿宋_GBK" w:cs="方正仿宋_GBK"/>
          <w:color w:val="auto"/>
          <w:sz w:val="32"/>
          <w:szCs w:val="32"/>
          <w:shd w:val="clear" w:color="auto" w:fill="FFFFFF"/>
        </w:rPr>
        <w:t>。较年初预算数增加1476.52万元，增长102.84%。主要原因是</w:t>
      </w:r>
      <w:r>
        <w:rPr>
          <w:rFonts w:hint="eastAsia" w:ascii="方正仿宋_GBK" w:hAnsi="方正仿宋_GBK" w:eastAsia="方正仿宋_GBK" w:cs="方正仿宋_GBK"/>
          <w:color w:val="auto"/>
          <w:sz w:val="32"/>
          <w:szCs w:val="32"/>
          <w:shd w:val="clear" w:color="auto" w:fill="FFFFFF"/>
          <w:lang w:eastAsia="zh-CN"/>
        </w:rPr>
        <w:t>年中追加大量基建及民生项目</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2023年度年末</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一般公共预算财政拨款结转和结余</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721.13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24.76</w:t>
      </w:r>
      <w:r>
        <w:rPr>
          <w:rFonts w:ascii="方正仿宋_GBK" w:hAnsi="方正仿宋_GBK" w:eastAsia="方正仿宋_GBK" w:cs="方正仿宋_GBK"/>
          <w:sz w:val="32"/>
          <w:szCs w:val="32"/>
          <w:shd w:val="clear" w:color="auto" w:fill="FFFFFF"/>
        </w:rPr>
        <w:t>%，较年初预算数增加109.55万元，增长17.91%，主要原因是</w:t>
      </w:r>
      <w:r>
        <w:rPr>
          <w:rFonts w:hint="eastAsia" w:ascii="方正仿宋_GBK" w:hAnsi="方正仿宋_GBK" w:eastAsia="方正仿宋_GBK" w:cs="方正仿宋_GBK"/>
          <w:color w:val="auto"/>
          <w:sz w:val="32"/>
          <w:szCs w:val="32"/>
          <w:shd w:val="clear" w:color="auto" w:fill="FFFFFF"/>
          <w:lang w:eastAsia="zh-CN"/>
        </w:rPr>
        <w:t>年中部分人员经费支出增加（人员工资调标）及商品和服务支出增加。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19.84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0.68</w:t>
      </w:r>
      <w:r>
        <w:rPr>
          <w:rFonts w:ascii="方正仿宋_GBK" w:hAnsi="方正仿宋_GBK" w:eastAsia="方正仿宋_GBK" w:cs="方正仿宋_GBK"/>
          <w:sz w:val="32"/>
          <w:szCs w:val="32"/>
          <w:shd w:val="clear" w:color="auto" w:fill="FFFFFF"/>
        </w:rPr>
        <w:t>%，较年初预算数增加4.21万元，增长26.94%，主要原因是</w:t>
      </w:r>
      <w:r>
        <w:rPr>
          <w:rFonts w:hint="eastAsia" w:ascii="方正仿宋_GBK" w:hAnsi="方正仿宋_GBK" w:eastAsia="方正仿宋_GBK" w:cs="方正仿宋_GBK"/>
          <w:color w:val="auto"/>
          <w:sz w:val="32"/>
          <w:szCs w:val="32"/>
          <w:shd w:val="clear" w:color="auto" w:fill="FFFFFF"/>
        </w:rPr>
        <w:t>人员职级晋升，工资性福利费用支出增加</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388.71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13.35</w:t>
      </w:r>
      <w:r>
        <w:rPr>
          <w:rFonts w:ascii="方正仿宋_GBK" w:hAnsi="方正仿宋_GBK" w:eastAsia="方正仿宋_GBK" w:cs="方正仿宋_GBK"/>
          <w:sz w:val="32"/>
          <w:szCs w:val="32"/>
          <w:shd w:val="clear" w:color="auto" w:fill="FFFFFF"/>
        </w:rPr>
        <w:t>%，较年初预算数增加103.04万元，增长36.07%，主要原因</w:t>
      </w:r>
      <w:r>
        <w:rPr>
          <w:rFonts w:hint="eastAsia" w:ascii="方正仿宋_GBK" w:hAnsi="方正仿宋_GBK" w:eastAsia="方正仿宋_GBK" w:cs="方正仿宋_GBK"/>
          <w:sz w:val="32"/>
          <w:szCs w:val="32"/>
          <w:shd w:val="clear" w:color="auto" w:fill="FFFFFF"/>
          <w:lang w:eastAsia="zh-CN"/>
        </w:rPr>
        <w:t>为：</w:t>
      </w:r>
      <w:r>
        <w:rPr>
          <w:rFonts w:hint="eastAsia" w:ascii="方正仿宋_GBK" w:hAnsi="方正仿宋_GBK" w:eastAsia="方正仿宋_GBK" w:cs="方正仿宋_GBK"/>
          <w:color w:val="auto"/>
          <w:sz w:val="32"/>
          <w:szCs w:val="32"/>
          <w:shd w:val="clear" w:color="auto" w:fill="FFFFFF"/>
        </w:rPr>
        <w:t>一是</w:t>
      </w:r>
      <w:r>
        <w:rPr>
          <w:rFonts w:hint="eastAsia" w:ascii="方正仿宋_GBK" w:hAnsi="方正仿宋_GBK" w:eastAsia="方正仿宋_GBK" w:cs="方正仿宋_GBK"/>
          <w:color w:val="auto"/>
          <w:sz w:val="32"/>
          <w:szCs w:val="32"/>
          <w:shd w:val="clear" w:color="auto" w:fill="FFFFFF"/>
          <w:lang w:eastAsia="zh-CN"/>
        </w:rPr>
        <w:t>年中</w:t>
      </w:r>
      <w:r>
        <w:rPr>
          <w:rFonts w:hint="eastAsia" w:ascii="方正仿宋_GBK" w:hAnsi="方正仿宋_GBK" w:eastAsia="方正仿宋_GBK" w:cs="方正仿宋_GBK"/>
          <w:color w:val="auto"/>
          <w:sz w:val="32"/>
          <w:szCs w:val="32"/>
          <w:shd w:val="clear" w:color="auto" w:fill="FFFFFF"/>
        </w:rPr>
        <w:t>人员职级晋升，工资性福利费用增加；二是2023年单位新增退休人员3名，健康休养费等费用支出增加</w:t>
      </w:r>
      <w:r>
        <w:rPr>
          <w:rFonts w:hint="eastAsia" w:ascii="方正仿宋_GBK" w:hAnsi="方正仿宋_GBK" w:eastAsia="方正仿宋_GBK" w:cs="方正仿宋_GBK"/>
          <w:color w:val="auto"/>
          <w:sz w:val="32"/>
          <w:szCs w:val="32"/>
          <w:shd w:val="clear" w:color="auto" w:fill="FFFFFF"/>
          <w:lang w:eastAsia="zh-CN"/>
        </w:rPr>
        <w:t>；三是准备期职业年金费用增加。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78.44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2.69</w:t>
      </w:r>
      <w:r>
        <w:rPr>
          <w:rFonts w:ascii="方正仿宋_GBK" w:hAnsi="方正仿宋_GBK" w:eastAsia="方正仿宋_GBK" w:cs="方正仿宋_GBK"/>
          <w:sz w:val="32"/>
          <w:szCs w:val="32"/>
          <w:shd w:val="clear" w:color="auto" w:fill="FFFFFF"/>
        </w:rPr>
        <w:t>%，较年初预算数增加23.81万元，增长43.58%，主要原因是</w:t>
      </w:r>
      <w:r>
        <w:rPr>
          <w:rFonts w:hint="eastAsia" w:ascii="方正仿宋_GBK" w:hAnsi="方正仿宋_GBK" w:eastAsia="方正仿宋_GBK" w:cs="方正仿宋_GBK"/>
          <w:color w:val="auto"/>
          <w:sz w:val="32"/>
          <w:szCs w:val="32"/>
          <w:shd w:val="clear" w:color="auto" w:fill="FFFFFF"/>
        </w:rPr>
        <w:t>人员职级晋升，五险费用增加。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%，较年初预算数增加5.88万元，增长100.00%，主要原因是</w:t>
      </w:r>
      <w:r>
        <w:rPr>
          <w:rFonts w:hint="eastAsia" w:ascii="方正仿宋_GBK" w:hAnsi="方正仿宋_GBK" w:eastAsia="方正仿宋_GBK" w:cs="方正仿宋_GBK"/>
          <w:color w:val="auto"/>
          <w:sz w:val="32"/>
          <w:szCs w:val="32"/>
          <w:shd w:val="clear" w:color="auto" w:fill="FFFFFF"/>
        </w:rPr>
        <w:t>年中追加农村生活垃圾分类示范建设项目</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%，较年初预算数增加23.38万元，增长100.00%，主要原因是</w:t>
      </w:r>
      <w:r>
        <w:rPr>
          <w:rFonts w:hint="eastAsia" w:ascii="方正仿宋_GBK" w:hAnsi="方正仿宋_GBK" w:eastAsia="方正仿宋_GBK" w:cs="方正仿宋_GBK"/>
          <w:color w:val="auto"/>
          <w:sz w:val="32"/>
          <w:szCs w:val="32"/>
          <w:shd w:val="clear" w:color="auto" w:fill="FFFFFF"/>
        </w:rPr>
        <w:t>年中追加农村生活垃圾收运项目、乡镇场镇市政管理项目、困难群众燃气泄露报警装置安装等项目经费。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1490.32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51.17</w:t>
      </w:r>
      <w:r>
        <w:rPr>
          <w:rFonts w:ascii="方正仿宋_GBK" w:hAnsi="方正仿宋_GBK" w:eastAsia="方正仿宋_GBK" w:cs="方正仿宋_GBK"/>
          <w:sz w:val="32"/>
          <w:szCs w:val="32"/>
          <w:shd w:val="clear" w:color="auto" w:fill="FFFFFF"/>
        </w:rPr>
        <w:t>%，较年初预算数增加1090.70万元，增长272.93%，主要原因是</w:t>
      </w:r>
      <w:r>
        <w:rPr>
          <w:rFonts w:hint="eastAsia" w:ascii="方正仿宋_GBK" w:hAnsi="方正仿宋_GBK" w:eastAsia="方正仿宋_GBK" w:cs="方正仿宋_GBK"/>
          <w:color w:val="auto"/>
          <w:sz w:val="32"/>
          <w:szCs w:val="32"/>
          <w:shd w:val="clear" w:color="auto" w:fill="FFFFFF"/>
        </w:rPr>
        <w:t>人员职级晋升，工资性福利费用增加；年中追加基建和主管部门安排项目(村级防疫员劳务费项目、农业生产救灾资金、农业产业强镇项目、护林员管护资金、松材线虫病防治专项资金、农村饮水安全保障、辣椒基地示范建设、红薯种植示范建设等)</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97.10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3.33</w:t>
      </w:r>
      <w:r>
        <w:rPr>
          <w:rFonts w:ascii="方正仿宋_GBK" w:hAnsi="方正仿宋_GBK" w:eastAsia="方正仿宋_GBK" w:cs="方正仿宋_GBK"/>
          <w:sz w:val="32"/>
          <w:szCs w:val="32"/>
          <w:shd w:val="clear" w:color="auto" w:fill="FFFFFF"/>
        </w:rPr>
        <w:t>%，较年初预算数增加97.10万元，增长100.00%，主要原因是</w:t>
      </w:r>
      <w:r>
        <w:rPr>
          <w:rFonts w:hint="eastAsia" w:ascii="方正仿宋_GBK" w:hAnsi="方正仿宋_GBK" w:eastAsia="方正仿宋_GBK" w:cs="方正仿宋_GBK"/>
          <w:color w:val="auto"/>
          <w:sz w:val="32"/>
          <w:szCs w:val="32"/>
          <w:shd w:val="clear" w:color="auto" w:fill="FFFFFF"/>
        </w:rPr>
        <w:t>年中主管部门安排追加基建项目，主要有：董家大邱至陈家院子通畅工程、菜子湾至刘家院子通畅工程、阳叉湾至谭家大院子通畅工程、老林村通组公路、永丰村通组公路等</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%，较年初预算数增加10.00万元，增长100.00%，主要原因是</w:t>
      </w:r>
      <w:r>
        <w:rPr>
          <w:rFonts w:hint="eastAsia" w:ascii="方正仿宋_GBK" w:hAnsi="方正仿宋_GBK" w:eastAsia="方正仿宋_GBK" w:cs="方正仿宋_GBK"/>
          <w:color w:val="auto"/>
          <w:sz w:val="32"/>
          <w:szCs w:val="32"/>
          <w:shd w:val="clear" w:color="auto" w:fill="FFFFFF"/>
        </w:rPr>
        <w:t>年中追加农贸市场提升改造项目</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住房保障支出59.15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2.03</w:t>
      </w:r>
      <w:r>
        <w:rPr>
          <w:rFonts w:ascii="方正仿宋_GBK" w:hAnsi="方正仿宋_GBK" w:eastAsia="方正仿宋_GBK" w:cs="方正仿宋_GBK"/>
          <w:sz w:val="32"/>
          <w:szCs w:val="32"/>
          <w:shd w:val="clear" w:color="auto" w:fill="FFFFFF"/>
        </w:rPr>
        <w:t>%，较年初预算数减少9.42万元，下降13.74%，主要原因是</w:t>
      </w:r>
      <w:r>
        <w:rPr>
          <w:rFonts w:hint="eastAsia" w:ascii="方正仿宋_GBK" w:hAnsi="方正仿宋_GBK" w:eastAsia="方正仿宋_GBK" w:cs="方正仿宋_GBK"/>
          <w:color w:val="auto"/>
          <w:sz w:val="32"/>
          <w:szCs w:val="32"/>
          <w:shd w:val="clear" w:color="auto" w:fill="FFFFFF"/>
        </w:rPr>
        <w:t>2023年单位退休3人，相关费用支出减少</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灾害防治及应急管理支出18.28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%，较年初预算数增加18.28万元，增长100.00%，主要原因是</w:t>
      </w:r>
      <w:r>
        <w:rPr>
          <w:rFonts w:hint="eastAsia" w:ascii="方正仿宋_GBK" w:hAnsi="方正仿宋_GBK" w:eastAsia="方正仿宋_GBK" w:cs="方正仿宋_GBK"/>
          <w:color w:val="auto"/>
          <w:sz w:val="32"/>
          <w:szCs w:val="32"/>
          <w:shd w:val="clear" w:color="auto" w:fill="FFFFFF"/>
        </w:rPr>
        <w:t>年中追加冬春生活救助、抗旱临时生活救助等项目</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1190.90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1055.59</w:t>
      </w:r>
      <w:r>
        <w:rPr>
          <w:rFonts w:ascii="方正仿宋_GBK" w:hAnsi="方正仿宋_GBK" w:eastAsia="方正仿宋_GBK" w:cs="方正仿宋_GBK"/>
          <w:sz w:val="32"/>
          <w:szCs w:val="32"/>
          <w:shd w:val="clear" w:color="auto" w:fill="FFFFFF"/>
        </w:rPr>
        <w:t>万元，较上年决算数增加13.43万元，增长1.29%，主要原因是</w:t>
      </w:r>
      <w:r>
        <w:rPr>
          <w:rFonts w:hint="eastAsia" w:ascii="方正仿宋_GBK" w:hAnsi="方正仿宋_GBK" w:eastAsia="方正仿宋_GBK" w:cs="方正仿宋_GBK"/>
          <w:color w:val="auto"/>
          <w:sz w:val="32"/>
          <w:szCs w:val="32"/>
          <w:shd w:val="clear" w:color="auto" w:fill="FFFFFF"/>
        </w:rPr>
        <w:t>人员工资正常晋级调标</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基本工资、绩效工资、社会保障缴费、离退休人员健康休养费等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135.31</w:t>
      </w:r>
      <w:r>
        <w:rPr>
          <w:rFonts w:ascii="方正仿宋_GBK" w:hAnsi="方正仿宋_GBK" w:eastAsia="方正仿宋_GBK" w:cs="方正仿宋_GBK"/>
          <w:color w:val="auto"/>
          <w:sz w:val="32"/>
          <w:szCs w:val="32"/>
          <w:shd w:val="clear" w:color="auto" w:fill="FFFFFF"/>
        </w:rPr>
        <w:t>万元，较上年决算数增加3.95万元，增长3.01%，主要原因是</w:t>
      </w:r>
      <w:r>
        <w:rPr>
          <w:rFonts w:hint="eastAsia" w:ascii="方正仿宋_GBK" w:hAnsi="方正仿宋_GBK" w:eastAsia="方正仿宋_GBK" w:cs="方正仿宋_GBK"/>
          <w:color w:val="auto"/>
          <w:sz w:val="32"/>
          <w:szCs w:val="32"/>
          <w:shd w:val="clear" w:color="auto" w:fill="FFFFFF"/>
        </w:rPr>
        <w:t>物价上涨，各项费用正常上涨</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办公费、水费、电费、邮电费、差旅费、工会经费、劳务费等</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87.08</w:t>
      </w:r>
      <w:r>
        <w:rPr>
          <w:rFonts w:ascii="方正仿宋_GBK" w:hAnsi="方正仿宋_GBK" w:eastAsia="方正仿宋_GBK" w:cs="方正仿宋_GBK"/>
          <w:sz w:val="32"/>
          <w:szCs w:val="32"/>
          <w:shd w:val="clear" w:color="auto" w:fill="FFFFFF"/>
        </w:rPr>
        <w:t>万元，较上年决算数增加76.51万元，增长723.84%，主要原因是</w:t>
      </w:r>
      <w:r>
        <w:rPr>
          <w:rFonts w:hint="eastAsia" w:ascii="方正仿宋_GBK" w:hAnsi="方正仿宋_GBK" w:eastAsia="方正仿宋_GBK" w:cs="方正仿宋_GBK"/>
          <w:color w:val="auto"/>
          <w:sz w:val="32"/>
          <w:szCs w:val="32"/>
          <w:shd w:val="clear" w:color="auto" w:fill="FFFFFF"/>
        </w:rPr>
        <w:t>年中政府性基金预算财政拨款支持石岭人居环境整治等项目</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87.08</w:t>
      </w:r>
      <w:r>
        <w:rPr>
          <w:rFonts w:ascii="方正仿宋_GBK" w:hAnsi="方正仿宋_GBK" w:eastAsia="方正仿宋_GBK" w:cs="方正仿宋_GBK"/>
          <w:color w:val="auto"/>
          <w:sz w:val="32"/>
          <w:szCs w:val="32"/>
          <w:shd w:val="clear" w:color="auto" w:fill="FFFFFF"/>
        </w:rPr>
        <w:t>万元，较上年决算数增加76.51万元，增长723.84%，主要原因是</w:t>
      </w:r>
      <w:r>
        <w:rPr>
          <w:rFonts w:hint="eastAsia" w:ascii="方正仿宋_GBK" w:hAnsi="方正仿宋_GBK" w:eastAsia="方正仿宋_GBK" w:cs="方正仿宋_GBK"/>
          <w:color w:val="auto"/>
          <w:sz w:val="32"/>
          <w:szCs w:val="32"/>
          <w:shd w:val="clear" w:color="auto" w:fill="FFFFFF"/>
        </w:rPr>
        <w:t>2023年增加了石岭人居环境整治等项目，合计追加项目预算765089.49元</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18.86</w:t>
      </w:r>
      <w:r>
        <w:rPr>
          <w:rFonts w:ascii="方正仿宋_GBK" w:hAnsi="方正仿宋_GBK" w:eastAsia="方正仿宋_GBK" w:cs="方正仿宋_GBK"/>
          <w:sz w:val="32"/>
          <w:szCs w:val="32"/>
          <w:shd w:val="clear" w:color="auto" w:fill="FFFFFF"/>
        </w:rPr>
        <w:t>万元，较年初预算数减少11.14万元，下降37.13%，主要原因是</w:t>
      </w:r>
      <w:r>
        <w:rPr>
          <w:rFonts w:hint="eastAsia" w:ascii="方正仿宋_GBK" w:hAnsi="方正仿宋_GBK" w:eastAsia="方正仿宋_GBK" w:cs="方正仿宋_GBK"/>
          <w:color w:val="auto"/>
          <w:sz w:val="32"/>
          <w:szCs w:val="32"/>
          <w:shd w:val="clear" w:color="auto" w:fill="FFFFFF"/>
        </w:rPr>
        <w:t>厉行节约，严格贯彻“过苦日子”要求</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预算执行严格约束，三公费用得到严格控制</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w:t>
      </w:r>
      <w:r>
        <w:rPr>
          <w:rFonts w:hint="eastAsia" w:ascii="方正仿宋_GBK" w:hAnsi="方正仿宋_GBK" w:eastAsia="方正仿宋_GBK" w:cs="方正仿宋_GBK"/>
          <w:sz w:val="32"/>
          <w:szCs w:val="32"/>
          <w:shd w:val="clear" w:color="auto" w:fill="FFFFFF"/>
          <w:lang w:eastAsia="zh-CN"/>
        </w:rPr>
        <w:t>元</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9.03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公务车维修保养费、油费、高速路通行费</w:t>
      </w:r>
      <w:r>
        <w:rPr>
          <w:rFonts w:ascii="方正仿宋_GBK" w:hAnsi="方正仿宋_GBK" w:eastAsia="方正仿宋_GBK" w:cs="方正仿宋_GBK"/>
          <w:color w:val="auto"/>
          <w:sz w:val="32"/>
          <w:szCs w:val="32"/>
          <w:shd w:val="clear" w:color="auto" w:fill="FFFFFF"/>
        </w:rPr>
        <w:t>。费用支出较年初预算数减少5.97万元，下降39.80%，主要原因是</w:t>
      </w:r>
      <w:r>
        <w:rPr>
          <w:rFonts w:hint="eastAsia" w:ascii="方正仿宋_GBK" w:hAnsi="方正仿宋_GBK" w:eastAsia="方正仿宋_GBK" w:cs="方正仿宋_GBK"/>
          <w:color w:val="auto"/>
          <w:sz w:val="32"/>
          <w:szCs w:val="32"/>
          <w:shd w:val="clear" w:color="auto" w:fill="FFFFFF"/>
        </w:rPr>
        <w:t>厉行节约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预算执行严格约束</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9.83</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rPr>
        <w:t>用于公务接待餐费、住宿费、交通费</w:t>
      </w:r>
      <w:r>
        <w:rPr>
          <w:rFonts w:ascii="方正仿宋_GBK" w:hAnsi="方正仿宋_GBK" w:eastAsia="方正仿宋_GBK" w:cs="方正仿宋_GBK"/>
          <w:color w:val="auto"/>
          <w:sz w:val="32"/>
          <w:szCs w:val="32"/>
          <w:shd w:val="clear" w:color="auto" w:fill="FFFFFF"/>
        </w:rPr>
        <w:t>。费用支出较年初预算数减少5.17万元，下降34.47%，主要原因是</w:t>
      </w:r>
      <w:r>
        <w:rPr>
          <w:rFonts w:hint="eastAsia" w:ascii="方正仿宋_GBK" w:hAnsi="方正仿宋_GBK" w:eastAsia="方正仿宋_GBK" w:cs="方正仿宋_GBK"/>
          <w:color w:val="auto"/>
          <w:sz w:val="32"/>
          <w:szCs w:val="32"/>
          <w:shd w:val="clear" w:color="auto" w:fill="FFFFFF"/>
        </w:rPr>
        <w:t>厉行节约，严格贯彻“过苦日子”要求</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预算执行严格约束，严格控制三公费用</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358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2167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45.34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4.52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万元，较上年决算数减少1.05万元，下降100.00%，主要原因是</w:t>
      </w:r>
      <w:r>
        <w:rPr>
          <w:rFonts w:hint="eastAsia" w:ascii="方正仿宋_GBK" w:hAnsi="方正仿宋_GBK" w:eastAsia="方正仿宋_GBK" w:cs="方正仿宋_GBK"/>
          <w:sz w:val="32"/>
          <w:szCs w:val="32"/>
          <w:shd w:val="clear" w:color="auto" w:fill="FFFFFF"/>
        </w:rPr>
        <w:t>单位厉行节约，压缩非必要培训费</w:t>
      </w:r>
      <w:r>
        <w:rPr>
          <w:rFonts w:ascii="方正仿宋_GBK" w:hAnsi="方正仿宋_GBK" w:eastAsia="方正仿宋_GBK" w:cs="方正仿宋_GBK"/>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88.51</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办公费、水费、电费、邮电费、差旅费、工会经费、劳务费</w:t>
      </w:r>
      <w:r>
        <w:rPr>
          <w:rFonts w:ascii="方正仿宋_GBK" w:hAnsi="方正仿宋_GBK" w:eastAsia="方正仿宋_GBK" w:cs="方正仿宋_GBK"/>
          <w:color w:val="auto"/>
          <w:sz w:val="32"/>
          <w:szCs w:val="32"/>
          <w:shd w:val="clear" w:color="auto" w:fill="FFFFFF"/>
        </w:rPr>
        <w:t>。机关运行经费较上年支出数增加5.31万元，增长6.38%，主要原因是</w:t>
      </w:r>
      <w:r>
        <w:rPr>
          <w:rFonts w:hint="eastAsia" w:ascii="方正仿宋_GBK" w:hAnsi="方正仿宋_GBK" w:eastAsia="方正仿宋_GBK" w:cs="方正仿宋_GBK"/>
          <w:color w:val="auto"/>
          <w:sz w:val="32"/>
          <w:szCs w:val="32"/>
          <w:shd w:val="clear" w:color="auto" w:fill="FFFFFF"/>
        </w:rPr>
        <w:t>物价上涨，各项费用正常上涨</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2023年度我单位未发生政府采购事项，无相关经费支出</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highlight w:val="yellow"/>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根据预算绩效管理要求，我单位对部门整体和84个项目开展绩效自评</w:t>
      </w:r>
      <w:r>
        <w:rPr>
          <w:rFonts w:hint="eastAsia" w:ascii="方正仿宋_GBK" w:hAnsi="方正仿宋_GBK" w:eastAsia="方正仿宋_GBK" w:cs="方正仿宋_GBK"/>
          <w:sz w:val="32"/>
          <w:szCs w:val="32"/>
          <w:shd w:val="clear" w:color="auto" w:fill="FFFFFF"/>
          <w:lang w:eastAsia="zh-CN"/>
        </w:rPr>
        <w:t>。其中项目评价</w:t>
      </w:r>
      <w:r>
        <w:rPr>
          <w:rFonts w:hint="eastAsia" w:ascii="方正仿宋_GBK" w:hAnsi="方正仿宋_GBK" w:eastAsia="方正仿宋_GBK" w:cs="方正仿宋_GBK"/>
          <w:sz w:val="32"/>
          <w:szCs w:val="32"/>
          <w:shd w:val="clear" w:color="auto" w:fill="FFFFFF"/>
        </w:rPr>
        <w:t>以填报自评表形式开展自评84项，涉及项目支出资金2016.92万元。从评价情况来看，所有预算项目全部编制项目支出申报表，详细项目概况、项目支出明细、项目实施进度计划、管理措施、绩效目标、项目当年绩效目标、项目中期规划、绩效指标等，综合评分均在85分以上。</w:t>
      </w:r>
      <w:r>
        <w:rPr>
          <w:rFonts w:hint="eastAsia" w:ascii="方正仿宋_GBK" w:hAnsi="方正仿宋_GBK" w:eastAsia="方正仿宋_GBK" w:cs="方正仿宋_GBK"/>
          <w:sz w:val="32"/>
          <w:szCs w:val="32"/>
          <w:shd w:val="clear" w:color="auto" w:fill="FFFFFF"/>
          <w:lang w:eastAsia="zh-CN"/>
        </w:rPr>
        <w:t>部门整体评价涉及财政拨款项目支出</w:t>
      </w:r>
      <w:r>
        <w:rPr>
          <w:rFonts w:hint="eastAsia" w:ascii="方正仿宋_GBK" w:hAnsi="方正仿宋_GBK" w:eastAsia="方正仿宋_GBK" w:cs="方正仿宋_GBK"/>
          <w:sz w:val="32"/>
          <w:szCs w:val="32"/>
          <w:shd w:val="clear" w:color="auto" w:fill="FFFFFF"/>
          <w:lang w:val="en-US" w:eastAsia="zh-CN"/>
        </w:rPr>
        <w:t>2999.3万元，综合评分87.8分。（附部门整体绩效自评表）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龙沙镇长坪村美丽乡村建设项目开展了绩效评价，涉及财政拨款项目资金200万元，评价得分85分，评价等次为良。绩效评价发现了预算执行率不达标这一主要问题，提出下一步工作建议：一是严格按项目计划细化年度预算资金，提高预算执行率；二是规范项目管理，严格控制项目工期。</w:t>
      </w:r>
    </w:p>
    <w:tbl>
      <w:tblPr>
        <w:tblStyle w:val="7"/>
        <w:tblW w:w="7935" w:type="dxa"/>
        <w:tblInd w:w="0" w:type="dxa"/>
        <w:shd w:val="clear" w:color="auto" w:fill="auto"/>
        <w:tblLayout w:type="fixed"/>
        <w:tblCellMar>
          <w:top w:w="0" w:type="dxa"/>
          <w:left w:w="0" w:type="dxa"/>
          <w:bottom w:w="0" w:type="dxa"/>
          <w:right w:w="0" w:type="dxa"/>
        </w:tblCellMar>
      </w:tblPr>
      <w:tblGrid>
        <w:gridCol w:w="435"/>
        <w:gridCol w:w="570"/>
        <w:gridCol w:w="1230"/>
        <w:gridCol w:w="1230"/>
        <w:gridCol w:w="945"/>
        <w:gridCol w:w="1065"/>
        <w:gridCol w:w="630"/>
        <w:gridCol w:w="750"/>
        <w:gridCol w:w="1080"/>
      </w:tblGrid>
      <w:tr>
        <w:tblPrEx>
          <w:tblCellMar>
            <w:top w:w="0" w:type="dxa"/>
            <w:left w:w="0" w:type="dxa"/>
            <w:bottom w:w="0" w:type="dxa"/>
            <w:right w:w="0" w:type="dxa"/>
          </w:tblCellMar>
        </w:tblPrEx>
        <w:trPr>
          <w:trHeight w:val="510" w:hRule="atLeast"/>
        </w:trPr>
        <w:tc>
          <w:tcPr>
            <w:tcW w:w="793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 xml:space="preserve">2022年龙沙镇长坪村美丽乡村建设项目资金绩效自评表 </w:t>
            </w:r>
          </w:p>
        </w:tc>
      </w:tr>
      <w:tr>
        <w:tblPrEx>
          <w:tblCellMar>
            <w:top w:w="0" w:type="dxa"/>
            <w:left w:w="0" w:type="dxa"/>
            <w:bottom w:w="0" w:type="dxa"/>
            <w:right w:w="0" w:type="dxa"/>
          </w:tblCellMar>
        </w:tblPrEx>
        <w:trPr>
          <w:trHeight w:val="270" w:hRule="atLeast"/>
        </w:trPr>
        <w:tc>
          <w:tcPr>
            <w:tcW w:w="7935" w:type="dxa"/>
            <w:gridSpan w:val="9"/>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27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项目资金名称</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基建项目政府投资</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项目实施年度(时期)</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2022-2024年</w:t>
            </w:r>
          </w:p>
        </w:tc>
      </w:tr>
      <w:tr>
        <w:tblPrEx>
          <w:tblCellMar>
            <w:top w:w="0" w:type="dxa"/>
            <w:left w:w="0" w:type="dxa"/>
            <w:bottom w:w="0" w:type="dxa"/>
            <w:right w:w="0" w:type="dxa"/>
          </w:tblCellMar>
        </w:tblPrEx>
        <w:trPr>
          <w:trHeight w:val="27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石柱县农业农村委</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龙沙镇人民政府</w:t>
            </w:r>
          </w:p>
        </w:tc>
      </w:tr>
      <w:tr>
        <w:tblPrEx>
          <w:tblCellMar>
            <w:top w:w="0" w:type="dxa"/>
            <w:left w:w="0" w:type="dxa"/>
            <w:bottom w:w="0" w:type="dxa"/>
            <w:right w:w="0" w:type="dxa"/>
          </w:tblCellMar>
        </w:tblPrEx>
        <w:trPr>
          <w:trHeight w:val="480" w:hRule="atLeast"/>
        </w:trPr>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3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r>
      <w:tr>
        <w:tblPrEx>
          <w:tblCellMar>
            <w:top w:w="0" w:type="dxa"/>
            <w:left w:w="0" w:type="dxa"/>
            <w:bottom w:w="0" w:type="dxa"/>
            <w:right w:w="0" w:type="dxa"/>
          </w:tblCellMar>
        </w:tblPrEx>
        <w:trPr>
          <w:trHeight w:val="27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0" w:type="dxa"/>
            <w:bottom w:w="0" w:type="dxa"/>
            <w:right w:w="0" w:type="dxa"/>
          </w:tblCellMar>
        </w:tblPrEx>
        <w:trPr>
          <w:trHeight w:val="48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其中：财政资金</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0" w:type="dxa"/>
            <w:bottom w:w="0" w:type="dxa"/>
            <w:right w:w="0" w:type="dxa"/>
          </w:tblCellMar>
        </w:tblPrEx>
        <w:trPr>
          <w:trHeight w:val="480" w:hRule="atLeast"/>
        </w:trPr>
        <w:tc>
          <w:tcPr>
            <w:tcW w:w="43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全年目标实际完成情况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自评等级(优良中差)</w:t>
            </w:r>
          </w:p>
        </w:tc>
      </w:tr>
      <w:tr>
        <w:tblPrEx>
          <w:tblCellMar>
            <w:top w:w="0" w:type="dxa"/>
            <w:left w:w="0" w:type="dxa"/>
            <w:bottom w:w="0" w:type="dxa"/>
            <w:right w:w="0" w:type="dxa"/>
          </w:tblCellMar>
        </w:tblPrEx>
        <w:trPr>
          <w:trHeight w:val="820" w:hRule="atLeast"/>
        </w:trPr>
        <w:tc>
          <w:tcPr>
            <w:tcW w:w="4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1.安装LED太阳能庭院夜间照明灯80盏；2.村容村貌提升2个院落；3.解决贫困户人居生活条件。</w:t>
            </w:r>
          </w:p>
        </w:tc>
        <w:tc>
          <w:tcPr>
            <w:tcW w:w="3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1.安装LED太阳能庭院夜间照明灯80盏；2.村容村貌提升2个院落；3.解决贫困户人居生活条件。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w:t>
            </w:r>
          </w:p>
        </w:tc>
      </w:tr>
      <w:tr>
        <w:tblPrEx>
          <w:tblCellMar>
            <w:top w:w="0" w:type="dxa"/>
            <w:left w:w="0" w:type="dxa"/>
            <w:bottom w:w="0" w:type="dxa"/>
            <w:right w:w="0" w:type="dxa"/>
          </w:tblCellMar>
        </w:tblPrEx>
        <w:trPr>
          <w:trHeight w:val="72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及相关说明</w:t>
            </w:r>
          </w:p>
        </w:tc>
      </w:tr>
      <w:tr>
        <w:tblPrEx>
          <w:tblCellMar>
            <w:top w:w="0" w:type="dxa"/>
            <w:left w:w="0" w:type="dxa"/>
            <w:bottom w:w="0" w:type="dxa"/>
            <w:right w:w="0" w:type="dxa"/>
          </w:tblCellMar>
        </w:tblPrEx>
        <w:trPr>
          <w:trHeight w:val="27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村容村貌提升情况</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明显改善</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明显改善</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安装LED太阳能路灯</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可持续发展</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工程设计使用年限</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解决贫困户人居生活条件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财政投资资金总额</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严格按项目计划细化年度预算资金，提高预算执行率；规范项目管理，严格控制项目工期。</w:t>
            </w:r>
          </w:p>
        </w:tc>
      </w:tr>
      <w:tr>
        <w:tblPrEx>
          <w:tblCellMar>
            <w:top w:w="0" w:type="dxa"/>
            <w:left w:w="0" w:type="dxa"/>
            <w:bottom w:w="0" w:type="dxa"/>
            <w:right w:w="0" w:type="dxa"/>
          </w:tblCellMar>
        </w:tblPrEx>
        <w:trPr>
          <w:trHeight w:val="11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69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CellMar>
            <w:top w:w="0" w:type="dxa"/>
            <w:left w:w="0" w:type="dxa"/>
            <w:bottom w:w="0" w:type="dxa"/>
            <w:right w:w="0" w:type="dxa"/>
          </w:tblCellMar>
        </w:tblPrEx>
        <w:trPr>
          <w:trHeight w:val="270" w:hRule="atLeast"/>
        </w:trPr>
        <w:tc>
          <w:tcPr>
            <w:tcW w:w="1005"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审批领导：</w:t>
            </w:r>
          </w:p>
        </w:tc>
        <w:tc>
          <w:tcPr>
            <w:tcW w:w="12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陈春华</w:t>
            </w:r>
          </w:p>
        </w:tc>
        <w:tc>
          <w:tcPr>
            <w:tcW w:w="2175"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填报人：黄航</w:t>
            </w:r>
          </w:p>
        </w:tc>
        <w:tc>
          <w:tcPr>
            <w:tcW w:w="3525" w:type="dxa"/>
            <w:gridSpan w:val="4"/>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填报时间：2024年10月15日</w:t>
            </w:r>
          </w:p>
        </w:tc>
      </w:tr>
    </w:tbl>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市财政局未委托第三方对我部门开展绩效评价</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w:t>
      </w: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023-73385001</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2" w:firstLineChars="200"/>
        <w:textAlignment w:val="auto"/>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重庆市石柱土家族自治县龙沙镇人民政府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bl>
    <w:p>
      <w:pPr>
        <w:spacing w:line="240" w:lineRule="exact"/>
        <w:rPr>
          <w:rFonts w:hint="default" w:cs="宋体"/>
          <w:sz w:val="20"/>
          <w:szCs w:val="20"/>
        </w:rPr>
      </w:pPr>
      <w:r>
        <w:rPr>
          <w:rFonts w:cs="宋体"/>
          <w:sz w:val="20"/>
          <w:szCs w:val="20"/>
        </w:rPr>
        <w:t>备注：本表反映部门本年度的总收支和年末结转结余情况。本部门无相关数据，故本表为空。</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重庆市石柱土家族自治县龙沙镇人民政府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ind w:left="600" w:hanging="600" w:hangingChars="300"/>
        <w:rPr>
          <w:rFonts w:hint="default" w:cs="宋体"/>
          <w:sz w:val="20"/>
          <w:szCs w:val="20"/>
        </w:rPr>
      </w:pPr>
      <w:r>
        <w:rPr>
          <w:rFonts w:cs="宋体"/>
          <w:sz w:val="20"/>
          <w:szCs w:val="20"/>
        </w:rPr>
        <w:t>备注：本表反映部门本年度取得的各项收入情况。本部门无相关数据，故本表为空。</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重庆市石柱土家族自治县龙沙镇人民政府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0"/>
          <w:szCs w:val="20"/>
        </w:rPr>
      </w:pPr>
      <w:r>
        <w:rPr>
          <w:rFonts w:cs="宋体"/>
          <w:sz w:val="20"/>
          <w:szCs w:val="20"/>
        </w:rPr>
        <w:t>备注：本表反映部门本年度各项支出情况。本部门无相关数据，故本表为空。</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重庆市石柱土家族自治县龙沙镇人民政府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备注：本表反映部门本年度一般公共预算财政拨款、政府性基金预算财政拨款及国有资本经营预算财政拨款的总收支和年末结转结余情况。本部门无相关数据，故本表为空。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重庆市石柱土家族自治县龙沙镇人民政府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备注：本表反映部门本年度一般公共预算财政拨款支出情况。本部门无相关数据，故本表为空。</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重庆市石柱土家族自治县龙沙镇人民政府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80" w:lineRule="exact"/>
        <w:rPr>
          <w:rFonts w:hint="default" w:cs="宋体"/>
          <w:sz w:val="20"/>
          <w:szCs w:val="20"/>
        </w:rPr>
      </w:pPr>
      <w:r>
        <w:rPr>
          <w:rFonts w:cs="宋体"/>
          <w:sz w:val="20"/>
          <w:szCs w:val="20"/>
        </w:rPr>
        <w:t>备注：本表反映部门本年度一般公共预算财政拨款基本支出明细情况。本部门无相关数据，故本表为空。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重庆市石柱土家族自治县龙沙镇人民政府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重庆市石柱土家族自治县龙沙镇人民政府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重庆市石柱土家族自治县龙沙镇人民政府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备注：本表反映部门本年度财政拨款“三公”经费支出预决算情况。本部门无相关数据，故本表为空。</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32196C"/>
    <w:rsid w:val="004C12FF"/>
    <w:rsid w:val="00550ABE"/>
    <w:rsid w:val="005B023C"/>
    <w:rsid w:val="00600322"/>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BF306F"/>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9035C9"/>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9452E3"/>
    <w:rsid w:val="36C9128A"/>
    <w:rsid w:val="372E3953"/>
    <w:rsid w:val="37841E99"/>
    <w:rsid w:val="37BF1123"/>
    <w:rsid w:val="383C3F15"/>
    <w:rsid w:val="38BE4696"/>
    <w:rsid w:val="3939115E"/>
    <w:rsid w:val="39561BA0"/>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0A6640"/>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1356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4095</Words>
  <Characters>23348</Characters>
  <Lines>194</Lines>
  <Paragraphs>54</Paragraphs>
  <TotalTime>327</TotalTime>
  <ScaleCrop>false</ScaleCrop>
  <LinksUpToDate>false</LinksUpToDate>
  <CharactersWithSpaces>27389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2024-10-18T09:57:55Z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