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Hlk37239649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Times New Roman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Times New Roman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黄府发〔202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pacing w:val="-23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sz w:val="44"/>
          <w:szCs w:val="44"/>
          <w:lang w:eastAsia="zh-CN"/>
        </w:rPr>
      </w:pPr>
      <w:bookmarkStart w:id="1" w:name="_Toc4151"/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sz w:val="44"/>
          <w:szCs w:val="44"/>
          <w:lang w:eastAsia="zh-CN"/>
        </w:rPr>
        <w:t>黄水镇人民政府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sz w:val="44"/>
          <w:szCs w:val="44"/>
          <w:highlight w:val="none"/>
          <w:lang w:eastAsia="zh-CN"/>
        </w:rPr>
        <w:t>印发《黄水镇2025年废弃农膜回收利用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sz w:val="44"/>
          <w:szCs w:val="44"/>
          <w:highlight w:val="none"/>
          <w:lang w:eastAsia="zh-CN"/>
        </w:rPr>
        <w:t>工作要点》的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rPr>
          <w:rFonts w:hint="default" w:ascii="Times New Roman" w:hAnsi="Times New Roman" w:eastAsia="方正楷体_GBK" w:cs="Times New Roman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各村（居）委，镇级相关部门，相关单位</w:t>
      </w:r>
      <w:r>
        <w:rPr>
          <w:rFonts w:hint="default" w:ascii="Times New Roman" w:hAnsi="Times New Roman" w:eastAsia="方正楷体_GBK" w:cs="Times New Roman"/>
          <w:spacing w:val="12"/>
          <w:kern w:val="2"/>
          <w:sz w:val="32"/>
          <w:szCs w:val="32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88" w:firstLineChars="200"/>
        <w:jc w:val="left"/>
        <w:textAlignment w:val="auto"/>
        <w:rPr>
          <w:rFonts w:hint="default" w:ascii="Times New Roman" w:hAnsi="Times New Roman" w:eastAsia="方正楷体_GBK" w:cs="Times New Roman"/>
          <w:spacing w:val="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pacing w:val="12"/>
          <w:kern w:val="2"/>
          <w:sz w:val="32"/>
          <w:szCs w:val="32"/>
          <w:lang w:val="en-US" w:eastAsia="zh-CN" w:bidi="ar-SA"/>
        </w:rPr>
        <w:t>《黄水镇2025年废弃农膜回收利用工作要点》已经镇政府同意，现印发给你们，请认真贯彻落实。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3"/>
          <w:szCs w:val="33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3"/>
          <w:szCs w:val="33"/>
          <w:highlight w:val="non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楷体_GBK" w:cs="Times New Roman"/>
          <w:color w:val="auto"/>
          <w:sz w:val="33"/>
          <w:szCs w:val="33"/>
          <w:highlight w:val="none"/>
          <w:lang w:eastAsia="zh-CN"/>
        </w:rPr>
        <w:t>黄水镇人民政府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3"/>
          <w:szCs w:val="33"/>
          <w:highlight w:val="none"/>
        </w:rPr>
      </w:pPr>
      <w:r>
        <w:rPr>
          <w:rFonts w:hint="default" w:ascii="Times New Roman" w:hAnsi="Times New Roman" w:eastAsia="方正楷体_GBK" w:cs="Times New Roman"/>
          <w:color w:val="auto"/>
          <w:sz w:val="33"/>
          <w:szCs w:val="33"/>
          <w:highlight w:val="non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color w:val="auto"/>
          <w:sz w:val="33"/>
          <w:szCs w:val="33"/>
          <w:highlight w:val="none"/>
        </w:rPr>
        <w:t>年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color w:val="auto"/>
          <w:sz w:val="33"/>
          <w:szCs w:val="33"/>
          <w:highlight w:val="none"/>
        </w:rPr>
        <w:t>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楷体_GBK" w:cs="Times New Roman"/>
          <w:color w:val="auto"/>
          <w:sz w:val="33"/>
          <w:szCs w:val="33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rPr>
          <w:rFonts w:hint="default" w:ascii="Times New Roman" w:hAnsi="Times New Roman" w:eastAsia="方正小标宋_GBK" w:cs="Times New Roman"/>
          <w:color w:val="auto"/>
          <w:spacing w:val="-11"/>
          <w:sz w:val="44"/>
          <w:szCs w:val="44"/>
          <w:highlight w:val="none"/>
          <w:lang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法定主动公开）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rPr>
          <w:rFonts w:hint="default" w:ascii="Times New Roman" w:hAnsi="Times New Roman" w:eastAsia="方正小标宋_GBK" w:cs="Times New Roman"/>
          <w:color w:val="auto"/>
          <w:spacing w:val="-11"/>
          <w:sz w:val="44"/>
          <w:szCs w:val="44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color w:val="auto"/>
          <w:spacing w:val="-11"/>
          <w:sz w:val="44"/>
          <w:szCs w:val="44"/>
          <w:highlight w:val="none"/>
          <w:lang w:eastAsia="zh-CN"/>
        </w:rPr>
        <w:t>黄水镇202</w:t>
      </w:r>
      <w:r>
        <w:rPr>
          <w:rFonts w:hint="eastAsia" w:ascii="Times New Roman" w:hAnsi="Times New Roman" w:eastAsia="方正小标宋_GBK" w:cs="Times New Roman"/>
          <w:color w:val="auto"/>
          <w:spacing w:val="-11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pacing w:val="-11"/>
          <w:sz w:val="44"/>
          <w:szCs w:val="44"/>
          <w:highlight w:val="none"/>
          <w:lang w:eastAsia="zh-CN"/>
        </w:rPr>
        <w:t>年废弃农膜回收利用工作要点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为深入贯彻落实党中央、国务院生态文明决策部署，全面落实市委、市政府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县委、县政府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深入打好污染防治攻坚战、农村人居环境整治提升行动和美丽重庆建设等有关要求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及镇党委政府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工作安排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，对标对表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扎实推进废弃农膜回收利用工作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高标准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高质量完成废弃农膜、肥料包装物回收利用目标任务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根据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《石柱土家族自治县供销合作社联合社关于印发石柱县2025年废弃农膜回收利用工作要点的通知》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（石供发〔2025〕3号）文件，结合我镇实际，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现提出2025年工作要点如下。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以习近平生态文明思想为指导，认真贯彻落实习近平总书记2024年视察重庆时的重要指示和美丽重庆建设大会精神。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切实履行好废弃农膜回收职能职责，扎实推进田间地头农膜“白色污染”治理。坚持问题导向、目标导向，聚焦重点领域和关键环节，压实镇、村组和回收利用主体责任，加大回收利用闭环监管力度，着力解决痛点难点问题，不断提升废弃农膜回收利用精细化管理水平，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实干实绩实效，助力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全面筑牢长江上游重要生态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屏障，高水平建设山清水秀美丽之地，高质效建设美丽中国先行区，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做出新的更大贡献。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. 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回收废弃农膜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吨以上，回收农用包装物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吨以上。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. 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农膜回收率达到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%以上。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. 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社区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）田间地里无大面积残留废弃农膜。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  <w:t>三、重点工作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2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1"/>
          <w:szCs w:val="31"/>
          <w:lang w:val="en-US" w:eastAsia="zh-CN" w:bidi="ar"/>
        </w:rPr>
        <w:t>（一）对标对表高标准高质量推进废弃农膜回收利用。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bidi="ar"/>
        </w:rPr>
        <w:t>1. 加强日常调度。提前下达目标任务、召开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工作部署会，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bidi="ar"/>
        </w:rPr>
        <w:t>年度任务分解细化到每一季度，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月调度进展，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双月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进行量化评比并通报进展情况。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2. 加大指导力度。镇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产业发展服务中心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不定期对回收网点、回收企业开展业务指导，规范收据、台账填写、账务处理，完善佐证资料和档案管理，交易结算后数据及时登录废弃农膜回收利用管理平台。督促回收网点规范分类、协调转运中心及时转运。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3. 严格落实制度。督促回收网点、回收利用企业严格落实回收交易结算各项制度，严格执行地膜、棚膜收购最低保护价格，坚决杜绝回收废弃生活塑料薄膜充抵废弃农膜和肥料包装物任务量。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2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bidi="ar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bidi="ar"/>
        </w:rPr>
        <w:t>（二）开展农膜和肥料包装物使用量调查。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2025年农膜和肥料包装物使用量调查数据是确定当年农膜回收率和2026年目标任务的主要依据，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产业发展服务中心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bidi="ar"/>
        </w:rPr>
        <w:t>将于7至8月会同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经济发展办公室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、黄水供销社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等部门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bidi="ar"/>
        </w:rPr>
        <w:t>，对我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eastAsia="zh-CN" w:bidi="ar"/>
        </w:rPr>
        <w:t>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bidi="ar"/>
        </w:rPr>
        <w:t>农膜和肥料包装物使用量开展调查，以村（社区）为单位，建立农膜和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肥料包装物使用量台账。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对加厚地膜和全生物降解地膜运用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社区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）要注明加厚地膜与全生物降解地膜使用量数据。确保数据来源客观真实，防止瞒报、虚报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漏报。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（三）持续加大废弃农膜回收利用政策宣传力度。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社区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、镇级相关部门、相关单位要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认真贯彻落实县委、县政府关于生态环境和人居环境建设相关政策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及镇党委政府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工作安排，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充分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运用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电子显示屏、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QQ群、微信群、院坝会等方式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广泛宣传废弃农膜回收政策，不断提升广大群众对废弃农膜回收利用工作的知晓率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产业发展服务中心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将适时开展电话调查，调查结果纳入双月考核运用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（四）努力健全废弃农膜回收网络体系。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配合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对现有回收网点进行整改，对不作为的网点坚决取缔更换，对运行不规范的网点重点进行业务指导和培训，不断提升各回收网点的业务水平和活跃度。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lang w:bidi="ar"/>
        </w:rPr>
      </w:pPr>
      <w:r>
        <w:rPr>
          <w:rFonts w:hint="default" w:ascii="Times New Roman" w:hAnsi="Times New Roman" w:eastAsia="方正黑体_GBK" w:cs="Times New Roman"/>
          <w:kern w:val="0"/>
          <w:sz w:val="31"/>
          <w:szCs w:val="31"/>
          <w:lang w:bidi="ar"/>
        </w:rPr>
        <w:t>四、组织保障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1"/>
          <w:szCs w:val="31"/>
          <w:lang w:bidi="ar"/>
        </w:rPr>
        <w:t>（一）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bidi="ar"/>
        </w:rPr>
        <w:t>加强组织领导。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市委把各区县废弃农膜和肥料包装物回收利用率纳入“885”生态报表季度赛马比拼，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县供销合作社按照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县政府的要求把废弃农膜回收利用工作纳入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“885”生态报表赛马比拼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我镇将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废弃农膜回收利用工作纳入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双月考核。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坚持指标和实效并重，进一步完善工作考核机制，压实村组责任，对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）进行公平公正的考核。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年废弃农膜回收目标任务见附件。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楷体_GBK" w:cs="Times New Roman"/>
          <w:kern w:val="0"/>
          <w:sz w:val="31"/>
          <w:szCs w:val="31"/>
          <w:lang w:bidi="ar"/>
        </w:rPr>
        <w:t>（二）资金政策支持。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回收废弃农膜每公斤补助农户0.9元、补助站点0.8元，回收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肥料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包装物每公斤补助农户和站点各0.4元。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楷体_GBK" w:cs="Times New Roman"/>
          <w:kern w:val="0"/>
          <w:sz w:val="31"/>
          <w:szCs w:val="31"/>
          <w:lang w:bidi="ar"/>
        </w:rPr>
        <w:t>（三）加大监管力度。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社区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）是废弃农膜回收利用工作主体责任单位，应对本辖区回收网点进行监管，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产业发展服务中心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应对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辖区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回收站、网点的规范运营进行指导、培训，不断提升业务水平。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附件：202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年废弃农膜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和肥料包装物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回收目标任务分解表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3200" w:firstLineChars="10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default" w:ascii="Times New Roman" w:hAnsi="Times New Roman" w:eastAsia="方正小标宋_GBK" w:cs="Times New Roman"/>
          <w:snapToGrid w:val="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  <w:t>附件：</w:t>
      </w:r>
    </w:p>
    <w:p>
      <w:pPr>
        <w:snapToGrid w:val="0"/>
        <w:spacing w:line="560" w:lineRule="exact"/>
        <w:ind w:firstLine="630"/>
        <w:jc w:val="center"/>
        <w:rPr>
          <w:rFonts w:hint="default" w:ascii="Times New Roman" w:hAnsi="Times New Roman" w:eastAsia="方正小标宋_GBK" w:cs="Times New Roman"/>
          <w:snapToGrid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</w:rPr>
        <w:t>年废弃农膜</w:t>
      </w: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  <w:lang w:val="en-US" w:eastAsia="zh-CN"/>
        </w:rPr>
        <w:t>和肥料包装物</w:t>
      </w: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</w:rPr>
        <w:t>回收目标</w:t>
      </w:r>
    </w:p>
    <w:p>
      <w:pPr>
        <w:snapToGrid w:val="0"/>
        <w:spacing w:line="560" w:lineRule="exact"/>
        <w:ind w:firstLine="630"/>
        <w:jc w:val="center"/>
        <w:rPr>
          <w:rFonts w:hint="default" w:ascii="Times New Roman" w:hAnsi="Times New Roman" w:cs="Times New Roman"/>
          <w:snapToGrid w:val="0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</w:rPr>
        <w:t>任务分解表</w:t>
      </w:r>
    </w:p>
    <w:p>
      <w:pPr>
        <w:snapToGrid w:val="0"/>
        <w:spacing w:line="400" w:lineRule="exact"/>
        <w:jc w:val="right"/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单位：（吨）</w:t>
      </w:r>
    </w:p>
    <w:tbl>
      <w:tblPr>
        <w:tblStyle w:val="7"/>
        <w:tblW w:w="81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172"/>
        <w:gridCol w:w="1308"/>
        <w:gridCol w:w="1755"/>
        <w:gridCol w:w="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46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1"/>
                <w:szCs w:val="21"/>
              </w:rPr>
              <w:t>村（社区）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1"/>
                <w:szCs w:val="21"/>
              </w:rPr>
              <w:t>名称</w:t>
            </w:r>
          </w:p>
        </w:tc>
        <w:tc>
          <w:tcPr>
            <w:tcW w:w="52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1"/>
                <w:szCs w:val="21"/>
              </w:rPr>
              <w:t>目标任务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方正黑体_GBK" w:cs="Times New Roman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46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黑体_GBK" w:cs="Times New Roman"/>
                <w:b/>
                <w:snapToGrid w:val="0"/>
                <w:sz w:val="21"/>
                <w:szCs w:val="21"/>
              </w:rPr>
            </w:pPr>
          </w:p>
        </w:tc>
        <w:tc>
          <w:tcPr>
            <w:tcW w:w="34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1"/>
                <w:szCs w:val="21"/>
              </w:rPr>
              <w:t>农膜回收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1"/>
                <w:szCs w:val="21"/>
                <w:lang w:val="en-US" w:eastAsia="zh-CN"/>
              </w:rPr>
              <w:t>肥料包装物</w:t>
            </w:r>
            <w:r>
              <w:rPr>
                <w:rFonts w:hint="default" w:ascii="Times New Roman" w:hAnsi="Times New Roman" w:eastAsia="方正黑体_GBK" w:cs="Times New Roman"/>
                <w:snapToGrid w:val="0"/>
                <w:sz w:val="21"/>
                <w:szCs w:val="21"/>
              </w:rPr>
              <w:t>回收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黑体_GBK" w:cs="Times New Roman"/>
                <w:b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046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黑体_GBK" w:cs="Times New Roman"/>
                <w:b/>
                <w:snapToGrid w:val="0"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2"/>
                <w:szCs w:val="22"/>
                <w:lang w:val="en-US" w:eastAsia="zh-CN"/>
              </w:rPr>
              <w:t>地膜</w:t>
            </w:r>
            <w:r>
              <w:rPr>
                <w:rFonts w:hint="default" w:ascii="Times New Roman" w:hAnsi="Times New Roman" w:eastAsia="方正黑体_GBK" w:cs="Times New Roman"/>
                <w:snapToGrid w:val="0"/>
                <w:sz w:val="22"/>
                <w:szCs w:val="22"/>
              </w:rPr>
              <w:t>回收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2"/>
                <w:szCs w:val="22"/>
                <w:lang w:val="en-US" w:eastAsia="zh-CN"/>
              </w:rPr>
              <w:t>棚膜回收</w:t>
            </w:r>
          </w:p>
        </w:tc>
        <w:tc>
          <w:tcPr>
            <w:tcW w:w="17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方正黑体_GBK" w:cs="Times New Roman"/>
                <w:b/>
                <w:snapToGrid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  <w:t>黄水社区</w:t>
            </w:r>
          </w:p>
        </w:tc>
        <w:tc>
          <w:tcPr>
            <w:tcW w:w="21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3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0.03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  <w:t>七龙社区</w:t>
            </w:r>
          </w:p>
        </w:tc>
        <w:tc>
          <w:tcPr>
            <w:tcW w:w="21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3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0.03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  <w:t>黄连社区</w:t>
            </w:r>
          </w:p>
        </w:tc>
        <w:tc>
          <w:tcPr>
            <w:tcW w:w="21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3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0.01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  <w:t>万胜坝社区</w:t>
            </w:r>
          </w:p>
        </w:tc>
        <w:tc>
          <w:tcPr>
            <w:tcW w:w="21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0.05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0.03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  <w:t>大风堡村</w:t>
            </w:r>
          </w:p>
        </w:tc>
        <w:tc>
          <w:tcPr>
            <w:tcW w:w="21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0.04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  <w:t>金花村</w:t>
            </w:r>
          </w:p>
        </w:tc>
        <w:tc>
          <w:tcPr>
            <w:tcW w:w="21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0.05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0.04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  <w:t>洋洞村</w:t>
            </w:r>
          </w:p>
        </w:tc>
        <w:tc>
          <w:tcPr>
            <w:tcW w:w="21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3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0.01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  <w:lang w:eastAsia="zh-CN"/>
              </w:rPr>
              <w:t>清河村</w:t>
            </w:r>
          </w:p>
        </w:tc>
        <w:tc>
          <w:tcPr>
            <w:tcW w:w="21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3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0.01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  <w:t>合  计</w:t>
            </w:r>
          </w:p>
        </w:tc>
        <w:tc>
          <w:tcPr>
            <w:tcW w:w="21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0.9</w:t>
            </w:r>
          </w:p>
        </w:tc>
        <w:tc>
          <w:tcPr>
            <w:tcW w:w="13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0"/>
                <w:szCs w:val="20"/>
              </w:rPr>
            </w:pPr>
          </w:p>
        </w:tc>
      </w:tr>
    </w:tbl>
    <w:p>
      <w:pPr>
        <w:spacing w:line="58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rPr>
          <w:rFonts w:hint="default" w:ascii="Times New Roman" w:hAnsi="Times New Roman" w:eastAsia="方正黑体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黄水镇</w:t>
      </w:r>
      <w:r>
        <w:rPr>
          <w:rFonts w:hint="eastAsia" w:ascii="Times New Roman" w:hAnsi="Times New Roman" w:eastAsia="方正仿宋_GBK" w:cs="Times New Roman"/>
          <w:snapToGrid w:val="0"/>
          <w:sz w:val="28"/>
          <w:szCs w:val="28"/>
          <w:lang w:eastAsia="zh-CN"/>
        </w:rPr>
        <w:t>基层治理综合指挥室</w:t>
      </w:r>
      <w:r>
        <w:rPr>
          <w:rFonts w:hint="eastAsia" w:ascii="Times New Roman" w:hAnsi="Times New Roman" w:eastAsia="方正仿宋_GBK" w:cs="Times New Roman"/>
          <w:snapToGrid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 xml:space="preserve"> 20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年</w:t>
      </w:r>
      <w:r>
        <w:rPr>
          <w:rFonts w:hint="eastAsia" w:ascii="Times New Roman" w:hAnsi="Times New Roman" w:cs="Times New Roman"/>
          <w:snapToGrid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napToGrid w:val="0"/>
          <w:sz w:val="28"/>
          <w:szCs w:val="28"/>
          <w:lang w:val="en-US" w:eastAsia="zh-CN"/>
        </w:rPr>
        <w:t>10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WQ2NDVjYTIzMjFiN2I5NWRjMGI0OGNiNWE0Y2QifQ=="/>
  </w:docVars>
  <w:rsids>
    <w:rsidRoot w:val="48C72C04"/>
    <w:rsid w:val="0002117A"/>
    <w:rsid w:val="00264E69"/>
    <w:rsid w:val="004672B9"/>
    <w:rsid w:val="00D348C5"/>
    <w:rsid w:val="00F9432B"/>
    <w:rsid w:val="01066A48"/>
    <w:rsid w:val="013637D1"/>
    <w:rsid w:val="014557C2"/>
    <w:rsid w:val="01B82438"/>
    <w:rsid w:val="01EB45BC"/>
    <w:rsid w:val="01FA65AD"/>
    <w:rsid w:val="01FF1E15"/>
    <w:rsid w:val="0213766F"/>
    <w:rsid w:val="024B6E08"/>
    <w:rsid w:val="026C4FD1"/>
    <w:rsid w:val="026C6D7F"/>
    <w:rsid w:val="0297204E"/>
    <w:rsid w:val="02987B74"/>
    <w:rsid w:val="029A38EC"/>
    <w:rsid w:val="02C170CB"/>
    <w:rsid w:val="02DA018C"/>
    <w:rsid w:val="02F56D74"/>
    <w:rsid w:val="0332621A"/>
    <w:rsid w:val="03367AB9"/>
    <w:rsid w:val="035241C7"/>
    <w:rsid w:val="0381685A"/>
    <w:rsid w:val="03977E2B"/>
    <w:rsid w:val="03A34A22"/>
    <w:rsid w:val="03AF33C7"/>
    <w:rsid w:val="03D64DF8"/>
    <w:rsid w:val="04040477"/>
    <w:rsid w:val="040E27E3"/>
    <w:rsid w:val="043974F7"/>
    <w:rsid w:val="04763EE5"/>
    <w:rsid w:val="04770389"/>
    <w:rsid w:val="049251C3"/>
    <w:rsid w:val="05096B07"/>
    <w:rsid w:val="054933A7"/>
    <w:rsid w:val="05C25634"/>
    <w:rsid w:val="05CA098C"/>
    <w:rsid w:val="062067FE"/>
    <w:rsid w:val="064C75F3"/>
    <w:rsid w:val="064E6EC7"/>
    <w:rsid w:val="0659586C"/>
    <w:rsid w:val="067D155B"/>
    <w:rsid w:val="068154EF"/>
    <w:rsid w:val="06B036DE"/>
    <w:rsid w:val="06B34F7C"/>
    <w:rsid w:val="06B91DBD"/>
    <w:rsid w:val="07322345"/>
    <w:rsid w:val="07634BF4"/>
    <w:rsid w:val="07A1571D"/>
    <w:rsid w:val="07AC659B"/>
    <w:rsid w:val="07AD5E6F"/>
    <w:rsid w:val="07B05960"/>
    <w:rsid w:val="07B70A9C"/>
    <w:rsid w:val="082A74C0"/>
    <w:rsid w:val="083E11BD"/>
    <w:rsid w:val="085602B5"/>
    <w:rsid w:val="08A54D99"/>
    <w:rsid w:val="08A96637"/>
    <w:rsid w:val="08B82D1E"/>
    <w:rsid w:val="08FA50E4"/>
    <w:rsid w:val="09502F56"/>
    <w:rsid w:val="09694018"/>
    <w:rsid w:val="09AF7539"/>
    <w:rsid w:val="0A110938"/>
    <w:rsid w:val="0A140428"/>
    <w:rsid w:val="0A981059"/>
    <w:rsid w:val="0AA7304A"/>
    <w:rsid w:val="0ACE05D7"/>
    <w:rsid w:val="0ADF0A36"/>
    <w:rsid w:val="0B220922"/>
    <w:rsid w:val="0B4D3BF1"/>
    <w:rsid w:val="0B896BF3"/>
    <w:rsid w:val="0BD51E39"/>
    <w:rsid w:val="0BEF2EFA"/>
    <w:rsid w:val="0BFC73C5"/>
    <w:rsid w:val="0C2F32F7"/>
    <w:rsid w:val="0C3703FE"/>
    <w:rsid w:val="0C3B6140"/>
    <w:rsid w:val="0C48260B"/>
    <w:rsid w:val="0C4C20FB"/>
    <w:rsid w:val="0CF956B3"/>
    <w:rsid w:val="0D1A2F49"/>
    <w:rsid w:val="0D2C5A88"/>
    <w:rsid w:val="0D4728C2"/>
    <w:rsid w:val="0D5F19BA"/>
    <w:rsid w:val="0D692839"/>
    <w:rsid w:val="0D8256A8"/>
    <w:rsid w:val="0D870F11"/>
    <w:rsid w:val="0DAD6BC9"/>
    <w:rsid w:val="0DAE00D1"/>
    <w:rsid w:val="0DB55A7E"/>
    <w:rsid w:val="0DC7755F"/>
    <w:rsid w:val="0E3746E5"/>
    <w:rsid w:val="0EB16245"/>
    <w:rsid w:val="0EDF7256"/>
    <w:rsid w:val="0F002C19"/>
    <w:rsid w:val="0F9C5147"/>
    <w:rsid w:val="0FCE2E27"/>
    <w:rsid w:val="0FE8213B"/>
    <w:rsid w:val="0FF85EDB"/>
    <w:rsid w:val="100F3B6B"/>
    <w:rsid w:val="103A226A"/>
    <w:rsid w:val="10521CAA"/>
    <w:rsid w:val="105A46BB"/>
    <w:rsid w:val="11124F95"/>
    <w:rsid w:val="11292A0B"/>
    <w:rsid w:val="11513D10"/>
    <w:rsid w:val="116752E1"/>
    <w:rsid w:val="11733C86"/>
    <w:rsid w:val="11847C41"/>
    <w:rsid w:val="11C97D4A"/>
    <w:rsid w:val="11CE35B2"/>
    <w:rsid w:val="11D30BC8"/>
    <w:rsid w:val="11DD1A47"/>
    <w:rsid w:val="11E9219A"/>
    <w:rsid w:val="11EE77B0"/>
    <w:rsid w:val="1233080C"/>
    <w:rsid w:val="12704669"/>
    <w:rsid w:val="12745F08"/>
    <w:rsid w:val="12764066"/>
    <w:rsid w:val="127D102A"/>
    <w:rsid w:val="12993BC0"/>
    <w:rsid w:val="12C64289"/>
    <w:rsid w:val="12DC585B"/>
    <w:rsid w:val="12E110C3"/>
    <w:rsid w:val="13117BFA"/>
    <w:rsid w:val="131267C2"/>
    <w:rsid w:val="132A0CBC"/>
    <w:rsid w:val="132A4818"/>
    <w:rsid w:val="13436DD5"/>
    <w:rsid w:val="137361BF"/>
    <w:rsid w:val="13AB1FDE"/>
    <w:rsid w:val="13BF7656"/>
    <w:rsid w:val="13CC3B21"/>
    <w:rsid w:val="13FF7A53"/>
    <w:rsid w:val="14385EE1"/>
    <w:rsid w:val="14664E95"/>
    <w:rsid w:val="14667AD2"/>
    <w:rsid w:val="14AB3737"/>
    <w:rsid w:val="14AE3227"/>
    <w:rsid w:val="14BF71E2"/>
    <w:rsid w:val="14D51331"/>
    <w:rsid w:val="15003A82"/>
    <w:rsid w:val="15033573"/>
    <w:rsid w:val="152B26D6"/>
    <w:rsid w:val="154020D1"/>
    <w:rsid w:val="15785D0F"/>
    <w:rsid w:val="158D108E"/>
    <w:rsid w:val="161672D6"/>
    <w:rsid w:val="16225C7A"/>
    <w:rsid w:val="16612C47"/>
    <w:rsid w:val="16646293"/>
    <w:rsid w:val="1684177D"/>
    <w:rsid w:val="16BA2357"/>
    <w:rsid w:val="16D276A1"/>
    <w:rsid w:val="16D36F75"/>
    <w:rsid w:val="16F56814"/>
    <w:rsid w:val="170F61FF"/>
    <w:rsid w:val="17103D25"/>
    <w:rsid w:val="17555BDC"/>
    <w:rsid w:val="175E0F34"/>
    <w:rsid w:val="1783099B"/>
    <w:rsid w:val="17872239"/>
    <w:rsid w:val="179E3A27"/>
    <w:rsid w:val="180C1EE2"/>
    <w:rsid w:val="184E0FA9"/>
    <w:rsid w:val="18B21538"/>
    <w:rsid w:val="18BB267A"/>
    <w:rsid w:val="18C13529"/>
    <w:rsid w:val="18C64FE3"/>
    <w:rsid w:val="18DA0A8E"/>
    <w:rsid w:val="191C2E55"/>
    <w:rsid w:val="19202945"/>
    <w:rsid w:val="192817FA"/>
    <w:rsid w:val="196071E6"/>
    <w:rsid w:val="19B25567"/>
    <w:rsid w:val="19D92AF4"/>
    <w:rsid w:val="19F45B80"/>
    <w:rsid w:val="1A6920CA"/>
    <w:rsid w:val="1AE31E7C"/>
    <w:rsid w:val="1B9969DF"/>
    <w:rsid w:val="1BA64C58"/>
    <w:rsid w:val="1BD87507"/>
    <w:rsid w:val="1BD96DDB"/>
    <w:rsid w:val="1BE748FD"/>
    <w:rsid w:val="1C1B3898"/>
    <w:rsid w:val="1C206E5F"/>
    <w:rsid w:val="1C3E1334"/>
    <w:rsid w:val="1C512E16"/>
    <w:rsid w:val="1C8651B5"/>
    <w:rsid w:val="1CA36361"/>
    <w:rsid w:val="1CC57360"/>
    <w:rsid w:val="1CD35F20"/>
    <w:rsid w:val="1CF739BD"/>
    <w:rsid w:val="1CF814E3"/>
    <w:rsid w:val="1D091942"/>
    <w:rsid w:val="1D0E51AB"/>
    <w:rsid w:val="1D383FD6"/>
    <w:rsid w:val="1D50131F"/>
    <w:rsid w:val="1D6B7F07"/>
    <w:rsid w:val="1D6E4BC9"/>
    <w:rsid w:val="1D7C3EC2"/>
    <w:rsid w:val="1D8611E5"/>
    <w:rsid w:val="1D9C4564"/>
    <w:rsid w:val="1DA8115B"/>
    <w:rsid w:val="1DBA49EB"/>
    <w:rsid w:val="1DC85359"/>
    <w:rsid w:val="1DFB128B"/>
    <w:rsid w:val="1E262080"/>
    <w:rsid w:val="1E676920"/>
    <w:rsid w:val="1E7352C5"/>
    <w:rsid w:val="1E8C6387"/>
    <w:rsid w:val="1E933BB9"/>
    <w:rsid w:val="1E9D67E6"/>
    <w:rsid w:val="1EFD1033"/>
    <w:rsid w:val="1F0E4FEE"/>
    <w:rsid w:val="1F316F2E"/>
    <w:rsid w:val="1F3507CD"/>
    <w:rsid w:val="1F4E188E"/>
    <w:rsid w:val="1FE83A91"/>
    <w:rsid w:val="204330BE"/>
    <w:rsid w:val="204C2272"/>
    <w:rsid w:val="208732AA"/>
    <w:rsid w:val="20B971DB"/>
    <w:rsid w:val="20EE3329"/>
    <w:rsid w:val="20F070A1"/>
    <w:rsid w:val="210448FA"/>
    <w:rsid w:val="212339B6"/>
    <w:rsid w:val="21240AF9"/>
    <w:rsid w:val="21336F8E"/>
    <w:rsid w:val="214747E7"/>
    <w:rsid w:val="21617F9F"/>
    <w:rsid w:val="219A700D"/>
    <w:rsid w:val="21B225A8"/>
    <w:rsid w:val="21B46321"/>
    <w:rsid w:val="21E169EA"/>
    <w:rsid w:val="21F030D1"/>
    <w:rsid w:val="22250FCC"/>
    <w:rsid w:val="223034CD"/>
    <w:rsid w:val="22765384"/>
    <w:rsid w:val="227C4964"/>
    <w:rsid w:val="229B4DEB"/>
    <w:rsid w:val="22D64075"/>
    <w:rsid w:val="22EF3388"/>
    <w:rsid w:val="22FE5379"/>
    <w:rsid w:val="233D5EA2"/>
    <w:rsid w:val="233F7E6C"/>
    <w:rsid w:val="234A05BF"/>
    <w:rsid w:val="23C640E9"/>
    <w:rsid w:val="23F549CE"/>
    <w:rsid w:val="24747FE9"/>
    <w:rsid w:val="24967F5F"/>
    <w:rsid w:val="249B7324"/>
    <w:rsid w:val="249E0BC2"/>
    <w:rsid w:val="24EE26FA"/>
    <w:rsid w:val="25184E18"/>
    <w:rsid w:val="25205A7B"/>
    <w:rsid w:val="255D282B"/>
    <w:rsid w:val="255D6CCF"/>
    <w:rsid w:val="256040C9"/>
    <w:rsid w:val="259721E1"/>
    <w:rsid w:val="25AB3597"/>
    <w:rsid w:val="25C91C6F"/>
    <w:rsid w:val="25CE54D7"/>
    <w:rsid w:val="25F136F5"/>
    <w:rsid w:val="25F5515A"/>
    <w:rsid w:val="2604714B"/>
    <w:rsid w:val="26795443"/>
    <w:rsid w:val="26AA1AA0"/>
    <w:rsid w:val="26F176CF"/>
    <w:rsid w:val="27003DB6"/>
    <w:rsid w:val="271E248E"/>
    <w:rsid w:val="27764078"/>
    <w:rsid w:val="27912C60"/>
    <w:rsid w:val="27B150B0"/>
    <w:rsid w:val="27F03E2A"/>
    <w:rsid w:val="284F6DA3"/>
    <w:rsid w:val="286E6AFD"/>
    <w:rsid w:val="28902F18"/>
    <w:rsid w:val="28F11C08"/>
    <w:rsid w:val="29001E4B"/>
    <w:rsid w:val="294A1318"/>
    <w:rsid w:val="29543F45"/>
    <w:rsid w:val="29B449E4"/>
    <w:rsid w:val="29CC4423"/>
    <w:rsid w:val="29CF181E"/>
    <w:rsid w:val="29DD3F3B"/>
    <w:rsid w:val="2A16744D"/>
    <w:rsid w:val="2A2102CB"/>
    <w:rsid w:val="2A4144C9"/>
    <w:rsid w:val="2A473AAA"/>
    <w:rsid w:val="2A4F6D47"/>
    <w:rsid w:val="2A581813"/>
    <w:rsid w:val="2A954815"/>
    <w:rsid w:val="2B157704"/>
    <w:rsid w:val="2B276CB6"/>
    <w:rsid w:val="2B2D4A4E"/>
    <w:rsid w:val="2B3202B6"/>
    <w:rsid w:val="2C183950"/>
    <w:rsid w:val="2C6E17C2"/>
    <w:rsid w:val="2C7F752B"/>
    <w:rsid w:val="2CAE6886"/>
    <w:rsid w:val="2CB4362A"/>
    <w:rsid w:val="2CBC252D"/>
    <w:rsid w:val="2D256324"/>
    <w:rsid w:val="2DC856AB"/>
    <w:rsid w:val="2DD307F3"/>
    <w:rsid w:val="2DD35D80"/>
    <w:rsid w:val="2E00644A"/>
    <w:rsid w:val="2E04418C"/>
    <w:rsid w:val="2E100D83"/>
    <w:rsid w:val="2E110D45"/>
    <w:rsid w:val="2E271C28"/>
    <w:rsid w:val="2E4B3B69"/>
    <w:rsid w:val="2E6B5FB9"/>
    <w:rsid w:val="2E7D5CEC"/>
    <w:rsid w:val="2E951288"/>
    <w:rsid w:val="2E9D013C"/>
    <w:rsid w:val="2EB060C2"/>
    <w:rsid w:val="2F2D28E7"/>
    <w:rsid w:val="2F4B7B98"/>
    <w:rsid w:val="2F9652B7"/>
    <w:rsid w:val="2FBC071F"/>
    <w:rsid w:val="2FDB53C0"/>
    <w:rsid w:val="2FE04785"/>
    <w:rsid w:val="2FE85162"/>
    <w:rsid w:val="2FEF6776"/>
    <w:rsid w:val="30202DD3"/>
    <w:rsid w:val="304940D8"/>
    <w:rsid w:val="3050190A"/>
    <w:rsid w:val="30782C0F"/>
    <w:rsid w:val="30A77050"/>
    <w:rsid w:val="30C47C02"/>
    <w:rsid w:val="30D97FE5"/>
    <w:rsid w:val="30ED53AB"/>
    <w:rsid w:val="30FC114A"/>
    <w:rsid w:val="310E0E7D"/>
    <w:rsid w:val="31215055"/>
    <w:rsid w:val="3159659D"/>
    <w:rsid w:val="316513E5"/>
    <w:rsid w:val="31755DD2"/>
    <w:rsid w:val="31774C75"/>
    <w:rsid w:val="319E48F7"/>
    <w:rsid w:val="31CD6F8B"/>
    <w:rsid w:val="31EF0CAF"/>
    <w:rsid w:val="320D1338"/>
    <w:rsid w:val="321B1AA4"/>
    <w:rsid w:val="326E7E26"/>
    <w:rsid w:val="32AB72CC"/>
    <w:rsid w:val="32B53CA7"/>
    <w:rsid w:val="32D63C1D"/>
    <w:rsid w:val="330C5891"/>
    <w:rsid w:val="33114C55"/>
    <w:rsid w:val="3321758E"/>
    <w:rsid w:val="333F17C2"/>
    <w:rsid w:val="336631F3"/>
    <w:rsid w:val="33753436"/>
    <w:rsid w:val="337A6C9E"/>
    <w:rsid w:val="34014CC9"/>
    <w:rsid w:val="341449FD"/>
    <w:rsid w:val="342F1837"/>
    <w:rsid w:val="345D2848"/>
    <w:rsid w:val="34897199"/>
    <w:rsid w:val="349D2C44"/>
    <w:rsid w:val="34AE4E51"/>
    <w:rsid w:val="34EA39B0"/>
    <w:rsid w:val="34F32864"/>
    <w:rsid w:val="350503E9"/>
    <w:rsid w:val="350607E9"/>
    <w:rsid w:val="35352E7D"/>
    <w:rsid w:val="354C6814"/>
    <w:rsid w:val="35645510"/>
    <w:rsid w:val="356E45E1"/>
    <w:rsid w:val="3583008C"/>
    <w:rsid w:val="35926521"/>
    <w:rsid w:val="35B23444"/>
    <w:rsid w:val="35C97A69"/>
    <w:rsid w:val="35CD57AB"/>
    <w:rsid w:val="35CF507F"/>
    <w:rsid w:val="35D42696"/>
    <w:rsid w:val="35F20D6E"/>
    <w:rsid w:val="36105698"/>
    <w:rsid w:val="361231BE"/>
    <w:rsid w:val="362464E4"/>
    <w:rsid w:val="3632560E"/>
    <w:rsid w:val="3652180C"/>
    <w:rsid w:val="36617CA1"/>
    <w:rsid w:val="36987B67"/>
    <w:rsid w:val="369D6F2B"/>
    <w:rsid w:val="36A4650C"/>
    <w:rsid w:val="36D466C5"/>
    <w:rsid w:val="36E20DE2"/>
    <w:rsid w:val="36E44B5A"/>
    <w:rsid w:val="375810A4"/>
    <w:rsid w:val="375D2B5F"/>
    <w:rsid w:val="376143FD"/>
    <w:rsid w:val="37922402"/>
    <w:rsid w:val="37AB38CA"/>
    <w:rsid w:val="37AE6F16"/>
    <w:rsid w:val="37B00EE0"/>
    <w:rsid w:val="37CB1876"/>
    <w:rsid w:val="37F232A7"/>
    <w:rsid w:val="380A4A95"/>
    <w:rsid w:val="384C6E5B"/>
    <w:rsid w:val="386817BB"/>
    <w:rsid w:val="38740160"/>
    <w:rsid w:val="387719FE"/>
    <w:rsid w:val="389820A0"/>
    <w:rsid w:val="38B247E4"/>
    <w:rsid w:val="38CD161E"/>
    <w:rsid w:val="39074B30"/>
    <w:rsid w:val="390E4110"/>
    <w:rsid w:val="39161217"/>
    <w:rsid w:val="39184F8F"/>
    <w:rsid w:val="392B54D9"/>
    <w:rsid w:val="394C5406"/>
    <w:rsid w:val="395A1104"/>
    <w:rsid w:val="396E2E01"/>
    <w:rsid w:val="39B20F40"/>
    <w:rsid w:val="39C80763"/>
    <w:rsid w:val="39E81604"/>
    <w:rsid w:val="39FA71E3"/>
    <w:rsid w:val="3A080B60"/>
    <w:rsid w:val="3A500759"/>
    <w:rsid w:val="3A571AE7"/>
    <w:rsid w:val="3A712BA9"/>
    <w:rsid w:val="3A8A3C6B"/>
    <w:rsid w:val="3ADE3FB6"/>
    <w:rsid w:val="3B1D1724"/>
    <w:rsid w:val="3B331C0C"/>
    <w:rsid w:val="3B820DE6"/>
    <w:rsid w:val="3B954675"/>
    <w:rsid w:val="3BB23479"/>
    <w:rsid w:val="3C101F4E"/>
    <w:rsid w:val="3C1852A6"/>
    <w:rsid w:val="3C1C08F2"/>
    <w:rsid w:val="3CAD59EE"/>
    <w:rsid w:val="3CD45671"/>
    <w:rsid w:val="3CEF6695"/>
    <w:rsid w:val="3CF33D49"/>
    <w:rsid w:val="3D0777F5"/>
    <w:rsid w:val="3D65276D"/>
    <w:rsid w:val="3D711112"/>
    <w:rsid w:val="3DA037A5"/>
    <w:rsid w:val="3DAC188B"/>
    <w:rsid w:val="3DDF42CD"/>
    <w:rsid w:val="3DF80EEB"/>
    <w:rsid w:val="3E4F1453"/>
    <w:rsid w:val="3E6A003B"/>
    <w:rsid w:val="3E7A2248"/>
    <w:rsid w:val="3E8D5AD7"/>
    <w:rsid w:val="3E8F1850"/>
    <w:rsid w:val="3E9735A8"/>
    <w:rsid w:val="3E9C5D1B"/>
    <w:rsid w:val="3EBC63BD"/>
    <w:rsid w:val="3ED951C1"/>
    <w:rsid w:val="3F03223E"/>
    <w:rsid w:val="3F1461F9"/>
    <w:rsid w:val="3F2C3542"/>
    <w:rsid w:val="3F5D7BA0"/>
    <w:rsid w:val="3F9335C1"/>
    <w:rsid w:val="3FB47094"/>
    <w:rsid w:val="400D3374"/>
    <w:rsid w:val="40161AFD"/>
    <w:rsid w:val="402204A1"/>
    <w:rsid w:val="402E5098"/>
    <w:rsid w:val="40526FD9"/>
    <w:rsid w:val="40907B01"/>
    <w:rsid w:val="409A272E"/>
    <w:rsid w:val="409C46F8"/>
    <w:rsid w:val="409F7D44"/>
    <w:rsid w:val="40B82BB4"/>
    <w:rsid w:val="40BE641C"/>
    <w:rsid w:val="40C1415E"/>
    <w:rsid w:val="40D519B8"/>
    <w:rsid w:val="40F57964"/>
    <w:rsid w:val="410B7187"/>
    <w:rsid w:val="41390199"/>
    <w:rsid w:val="41452699"/>
    <w:rsid w:val="41CA2B9F"/>
    <w:rsid w:val="41F67E38"/>
    <w:rsid w:val="4249440B"/>
    <w:rsid w:val="42D261AF"/>
    <w:rsid w:val="42DC0DDB"/>
    <w:rsid w:val="432D1637"/>
    <w:rsid w:val="43811983"/>
    <w:rsid w:val="43BB4E95"/>
    <w:rsid w:val="43D47D05"/>
    <w:rsid w:val="43F839F3"/>
    <w:rsid w:val="43FF1225"/>
    <w:rsid w:val="442A5B77"/>
    <w:rsid w:val="44501A81"/>
    <w:rsid w:val="448259B3"/>
    <w:rsid w:val="448C05DF"/>
    <w:rsid w:val="44E421C9"/>
    <w:rsid w:val="44E977E0"/>
    <w:rsid w:val="45062140"/>
    <w:rsid w:val="450D1720"/>
    <w:rsid w:val="452A0524"/>
    <w:rsid w:val="45372C41"/>
    <w:rsid w:val="45440EBA"/>
    <w:rsid w:val="45476DEF"/>
    <w:rsid w:val="45513D03"/>
    <w:rsid w:val="456A0921"/>
    <w:rsid w:val="456F5F37"/>
    <w:rsid w:val="45837C34"/>
    <w:rsid w:val="459040FF"/>
    <w:rsid w:val="45E76415"/>
    <w:rsid w:val="46252A99"/>
    <w:rsid w:val="46342CDD"/>
    <w:rsid w:val="464253F9"/>
    <w:rsid w:val="465D0485"/>
    <w:rsid w:val="4670640B"/>
    <w:rsid w:val="467852BF"/>
    <w:rsid w:val="46841EB6"/>
    <w:rsid w:val="46CD560B"/>
    <w:rsid w:val="473311E6"/>
    <w:rsid w:val="478B4B7E"/>
    <w:rsid w:val="47AA14A8"/>
    <w:rsid w:val="47BE2E08"/>
    <w:rsid w:val="47C50090"/>
    <w:rsid w:val="480706A9"/>
    <w:rsid w:val="4828061F"/>
    <w:rsid w:val="483D40CA"/>
    <w:rsid w:val="48651873"/>
    <w:rsid w:val="488717E9"/>
    <w:rsid w:val="48AB197C"/>
    <w:rsid w:val="48B325DE"/>
    <w:rsid w:val="48C72C04"/>
    <w:rsid w:val="49373210"/>
    <w:rsid w:val="49ED2FA4"/>
    <w:rsid w:val="49ED38CE"/>
    <w:rsid w:val="49F20EE5"/>
    <w:rsid w:val="4A0D21C2"/>
    <w:rsid w:val="4A301A0D"/>
    <w:rsid w:val="4A77763C"/>
    <w:rsid w:val="4A987CDE"/>
    <w:rsid w:val="4AA76173"/>
    <w:rsid w:val="4AC13A05"/>
    <w:rsid w:val="4ADF590D"/>
    <w:rsid w:val="4B2257F9"/>
    <w:rsid w:val="4B3814C1"/>
    <w:rsid w:val="4B502367"/>
    <w:rsid w:val="4B5C6F5D"/>
    <w:rsid w:val="4B6422B6"/>
    <w:rsid w:val="4B6D116B"/>
    <w:rsid w:val="4BC44B03"/>
    <w:rsid w:val="4BEB208F"/>
    <w:rsid w:val="4BF90C50"/>
    <w:rsid w:val="4BFD4B91"/>
    <w:rsid w:val="4C4D68A6"/>
    <w:rsid w:val="4C7E1155"/>
    <w:rsid w:val="4CB84667"/>
    <w:rsid w:val="4CC0351C"/>
    <w:rsid w:val="4CFF2296"/>
    <w:rsid w:val="4D072EF9"/>
    <w:rsid w:val="4D1833EC"/>
    <w:rsid w:val="4D6E4D26"/>
    <w:rsid w:val="4D752558"/>
    <w:rsid w:val="4D810EAE"/>
    <w:rsid w:val="4D9F3131"/>
    <w:rsid w:val="4DD059E1"/>
    <w:rsid w:val="4DFE60AA"/>
    <w:rsid w:val="4E265601"/>
    <w:rsid w:val="4E3C6BD2"/>
    <w:rsid w:val="4E4D5283"/>
    <w:rsid w:val="4E600B13"/>
    <w:rsid w:val="4E832A53"/>
    <w:rsid w:val="4E8C7B5A"/>
    <w:rsid w:val="4E8F31A6"/>
    <w:rsid w:val="4E984750"/>
    <w:rsid w:val="4E9E5ADF"/>
    <w:rsid w:val="4EA12ED9"/>
    <w:rsid w:val="4EA2732E"/>
    <w:rsid w:val="4EDE34E3"/>
    <w:rsid w:val="4F043B94"/>
    <w:rsid w:val="4F343D4D"/>
    <w:rsid w:val="4F8E493C"/>
    <w:rsid w:val="4F98252E"/>
    <w:rsid w:val="4FC7696F"/>
    <w:rsid w:val="4FDA66A3"/>
    <w:rsid w:val="4FDC241B"/>
    <w:rsid w:val="50306C0B"/>
    <w:rsid w:val="505521CD"/>
    <w:rsid w:val="50577CF3"/>
    <w:rsid w:val="505E1082"/>
    <w:rsid w:val="506A5C79"/>
    <w:rsid w:val="50700DB5"/>
    <w:rsid w:val="507C59AC"/>
    <w:rsid w:val="50947199"/>
    <w:rsid w:val="509C1BAA"/>
    <w:rsid w:val="50C8299F"/>
    <w:rsid w:val="50D17AA6"/>
    <w:rsid w:val="510C31D4"/>
    <w:rsid w:val="51383FC9"/>
    <w:rsid w:val="513E2C61"/>
    <w:rsid w:val="51404C2B"/>
    <w:rsid w:val="515D3A2F"/>
    <w:rsid w:val="5176689F"/>
    <w:rsid w:val="51B11685"/>
    <w:rsid w:val="51B318A1"/>
    <w:rsid w:val="51CB0999"/>
    <w:rsid w:val="51D535C6"/>
    <w:rsid w:val="51DF4444"/>
    <w:rsid w:val="51FF0643"/>
    <w:rsid w:val="520E0886"/>
    <w:rsid w:val="52391DA6"/>
    <w:rsid w:val="52481FEA"/>
    <w:rsid w:val="5253273C"/>
    <w:rsid w:val="52756B57"/>
    <w:rsid w:val="529F5982"/>
    <w:rsid w:val="52B15DE1"/>
    <w:rsid w:val="52BF5CBB"/>
    <w:rsid w:val="52E8557B"/>
    <w:rsid w:val="53487DC7"/>
    <w:rsid w:val="535B3F9E"/>
    <w:rsid w:val="53A662DF"/>
    <w:rsid w:val="53A94D0A"/>
    <w:rsid w:val="53E43CF3"/>
    <w:rsid w:val="53E47AF0"/>
    <w:rsid w:val="53F02939"/>
    <w:rsid w:val="53F046E7"/>
    <w:rsid w:val="545A38BF"/>
    <w:rsid w:val="545A6004"/>
    <w:rsid w:val="54A35BFD"/>
    <w:rsid w:val="54B01AED"/>
    <w:rsid w:val="54C65448"/>
    <w:rsid w:val="54CB6F02"/>
    <w:rsid w:val="54DA0EF3"/>
    <w:rsid w:val="54FC70BB"/>
    <w:rsid w:val="553700F3"/>
    <w:rsid w:val="553E76D4"/>
    <w:rsid w:val="55562C6F"/>
    <w:rsid w:val="55630EE8"/>
    <w:rsid w:val="558275C0"/>
    <w:rsid w:val="55945546"/>
    <w:rsid w:val="5596306C"/>
    <w:rsid w:val="56075D18"/>
    <w:rsid w:val="56242D6E"/>
    <w:rsid w:val="56356D29"/>
    <w:rsid w:val="56382375"/>
    <w:rsid w:val="56444C51"/>
    <w:rsid w:val="564B02FA"/>
    <w:rsid w:val="56755377"/>
    <w:rsid w:val="567F1D52"/>
    <w:rsid w:val="568630E0"/>
    <w:rsid w:val="56ED13B1"/>
    <w:rsid w:val="57390153"/>
    <w:rsid w:val="575925A3"/>
    <w:rsid w:val="575E405D"/>
    <w:rsid w:val="57664CC0"/>
    <w:rsid w:val="576A2A02"/>
    <w:rsid w:val="577949F3"/>
    <w:rsid w:val="5794182D"/>
    <w:rsid w:val="57E74053"/>
    <w:rsid w:val="57F71A4D"/>
    <w:rsid w:val="58346B6C"/>
    <w:rsid w:val="58445001"/>
    <w:rsid w:val="58523BC2"/>
    <w:rsid w:val="586631C9"/>
    <w:rsid w:val="5898534D"/>
    <w:rsid w:val="59831B59"/>
    <w:rsid w:val="5996188C"/>
    <w:rsid w:val="599C2C1B"/>
    <w:rsid w:val="59B937CD"/>
    <w:rsid w:val="59F64A21"/>
    <w:rsid w:val="5A236E98"/>
    <w:rsid w:val="5A504131"/>
    <w:rsid w:val="5A783688"/>
    <w:rsid w:val="5A7F4A16"/>
    <w:rsid w:val="5A951B44"/>
    <w:rsid w:val="5AFA22EF"/>
    <w:rsid w:val="5AFC6067"/>
    <w:rsid w:val="5B2B24A8"/>
    <w:rsid w:val="5B372BFB"/>
    <w:rsid w:val="5B7756EE"/>
    <w:rsid w:val="5B993B5A"/>
    <w:rsid w:val="5B9C5154"/>
    <w:rsid w:val="5BCA3A6F"/>
    <w:rsid w:val="5BEE6129"/>
    <w:rsid w:val="5C133668"/>
    <w:rsid w:val="5C1F68B2"/>
    <w:rsid w:val="5C361105"/>
    <w:rsid w:val="5C9B365E"/>
    <w:rsid w:val="5CD54DC2"/>
    <w:rsid w:val="5CD64696"/>
    <w:rsid w:val="5D301FF8"/>
    <w:rsid w:val="5D4A130C"/>
    <w:rsid w:val="5D635F29"/>
    <w:rsid w:val="5D775E79"/>
    <w:rsid w:val="5D883BE2"/>
    <w:rsid w:val="5D916F3A"/>
    <w:rsid w:val="5DA271A0"/>
    <w:rsid w:val="5DB03139"/>
    <w:rsid w:val="5DB901F0"/>
    <w:rsid w:val="5DBC7D30"/>
    <w:rsid w:val="5DCF1811"/>
    <w:rsid w:val="5DDD2180"/>
    <w:rsid w:val="5DE132F2"/>
    <w:rsid w:val="5DE52DE2"/>
    <w:rsid w:val="5DFE20F6"/>
    <w:rsid w:val="5E74519D"/>
    <w:rsid w:val="5EFB03E4"/>
    <w:rsid w:val="5F096FA4"/>
    <w:rsid w:val="5F1C6CD8"/>
    <w:rsid w:val="5F926F9A"/>
    <w:rsid w:val="5FF11F12"/>
    <w:rsid w:val="600C0AFA"/>
    <w:rsid w:val="60363DC9"/>
    <w:rsid w:val="604D4C6F"/>
    <w:rsid w:val="60730B79"/>
    <w:rsid w:val="60771CEC"/>
    <w:rsid w:val="60A30D33"/>
    <w:rsid w:val="60A9459B"/>
    <w:rsid w:val="60CB2763"/>
    <w:rsid w:val="61221F61"/>
    <w:rsid w:val="616E30EF"/>
    <w:rsid w:val="61946FF9"/>
    <w:rsid w:val="619E1C26"/>
    <w:rsid w:val="619F599E"/>
    <w:rsid w:val="61A74D6C"/>
    <w:rsid w:val="61B01959"/>
    <w:rsid w:val="61B50D1E"/>
    <w:rsid w:val="61B53CEB"/>
    <w:rsid w:val="61BC46E9"/>
    <w:rsid w:val="61F25ACE"/>
    <w:rsid w:val="621912AD"/>
    <w:rsid w:val="62202238"/>
    <w:rsid w:val="622639C9"/>
    <w:rsid w:val="6232236E"/>
    <w:rsid w:val="623B0DD0"/>
    <w:rsid w:val="62A50D92"/>
    <w:rsid w:val="62A66F95"/>
    <w:rsid w:val="62EC4C13"/>
    <w:rsid w:val="62F15D85"/>
    <w:rsid w:val="63021D41"/>
    <w:rsid w:val="630C7063"/>
    <w:rsid w:val="63660521"/>
    <w:rsid w:val="63984453"/>
    <w:rsid w:val="63D062E3"/>
    <w:rsid w:val="63D86F45"/>
    <w:rsid w:val="63E47698"/>
    <w:rsid w:val="64122457"/>
    <w:rsid w:val="641A755E"/>
    <w:rsid w:val="642B3519"/>
    <w:rsid w:val="648D5F82"/>
    <w:rsid w:val="649B244D"/>
    <w:rsid w:val="649C61C5"/>
    <w:rsid w:val="64A86918"/>
    <w:rsid w:val="64C00105"/>
    <w:rsid w:val="64D771FD"/>
    <w:rsid w:val="64D836A1"/>
    <w:rsid w:val="64F16511"/>
    <w:rsid w:val="652A4208"/>
    <w:rsid w:val="654B3E24"/>
    <w:rsid w:val="6562740E"/>
    <w:rsid w:val="65870C23"/>
    <w:rsid w:val="659155FE"/>
    <w:rsid w:val="65A17F37"/>
    <w:rsid w:val="65A75A3F"/>
    <w:rsid w:val="65C07C91"/>
    <w:rsid w:val="65DC2D1D"/>
    <w:rsid w:val="66320B8F"/>
    <w:rsid w:val="663F32AC"/>
    <w:rsid w:val="664A412A"/>
    <w:rsid w:val="665723A3"/>
    <w:rsid w:val="66770DF2"/>
    <w:rsid w:val="66BB6DD6"/>
    <w:rsid w:val="66E77BCB"/>
    <w:rsid w:val="66E8749F"/>
    <w:rsid w:val="67024A05"/>
    <w:rsid w:val="67672ABA"/>
    <w:rsid w:val="67C131D4"/>
    <w:rsid w:val="67C47F0C"/>
    <w:rsid w:val="67D85766"/>
    <w:rsid w:val="681F1B75"/>
    <w:rsid w:val="6821710D"/>
    <w:rsid w:val="682664D1"/>
    <w:rsid w:val="682B7F8C"/>
    <w:rsid w:val="684D7F02"/>
    <w:rsid w:val="68660FC4"/>
    <w:rsid w:val="686B482C"/>
    <w:rsid w:val="688558EE"/>
    <w:rsid w:val="68D64052"/>
    <w:rsid w:val="68E1064A"/>
    <w:rsid w:val="68F6059A"/>
    <w:rsid w:val="68F71C1C"/>
    <w:rsid w:val="68FC5484"/>
    <w:rsid w:val="690305C1"/>
    <w:rsid w:val="690D143F"/>
    <w:rsid w:val="691757EC"/>
    <w:rsid w:val="696E6382"/>
    <w:rsid w:val="69872FA0"/>
    <w:rsid w:val="6990454A"/>
    <w:rsid w:val="69BF6BDD"/>
    <w:rsid w:val="69D16911"/>
    <w:rsid w:val="69D411E4"/>
    <w:rsid w:val="69E93C5A"/>
    <w:rsid w:val="6A222CC8"/>
    <w:rsid w:val="6A372C18"/>
    <w:rsid w:val="6A575068"/>
    <w:rsid w:val="6A627569"/>
    <w:rsid w:val="6ABF6769"/>
    <w:rsid w:val="6ACA583A"/>
    <w:rsid w:val="6B036F9E"/>
    <w:rsid w:val="6B7834E8"/>
    <w:rsid w:val="6B8A4FC9"/>
    <w:rsid w:val="6BA53BB1"/>
    <w:rsid w:val="6BB67B6C"/>
    <w:rsid w:val="6BC8789F"/>
    <w:rsid w:val="6BEC358E"/>
    <w:rsid w:val="6C4433CA"/>
    <w:rsid w:val="6C692E30"/>
    <w:rsid w:val="6C8C6B1F"/>
    <w:rsid w:val="6CD52274"/>
    <w:rsid w:val="6CDA788A"/>
    <w:rsid w:val="6CE34991"/>
    <w:rsid w:val="6D01750D"/>
    <w:rsid w:val="6D056FFD"/>
    <w:rsid w:val="6D7B2E1B"/>
    <w:rsid w:val="6D7E0B5E"/>
    <w:rsid w:val="6DA34120"/>
    <w:rsid w:val="6DF57072"/>
    <w:rsid w:val="6DF606F4"/>
    <w:rsid w:val="6DFA6436"/>
    <w:rsid w:val="6DFB0400"/>
    <w:rsid w:val="6E070B53"/>
    <w:rsid w:val="6E0E3C8F"/>
    <w:rsid w:val="6E2711F5"/>
    <w:rsid w:val="6E501734"/>
    <w:rsid w:val="6E5B2C4D"/>
    <w:rsid w:val="6E5D4C17"/>
    <w:rsid w:val="6E9D5013"/>
    <w:rsid w:val="6EA463A2"/>
    <w:rsid w:val="6F433E0D"/>
    <w:rsid w:val="6F6B6EC0"/>
    <w:rsid w:val="6F6D0E8A"/>
    <w:rsid w:val="6F8F2BAE"/>
    <w:rsid w:val="6FA83C70"/>
    <w:rsid w:val="6FAC7C04"/>
    <w:rsid w:val="6FF73DDB"/>
    <w:rsid w:val="701D640C"/>
    <w:rsid w:val="703D6AAE"/>
    <w:rsid w:val="70871AD7"/>
    <w:rsid w:val="70EC5DDE"/>
    <w:rsid w:val="70FE623D"/>
    <w:rsid w:val="71341C5F"/>
    <w:rsid w:val="713752AB"/>
    <w:rsid w:val="714E0847"/>
    <w:rsid w:val="715C7408"/>
    <w:rsid w:val="718B55F7"/>
    <w:rsid w:val="718D136F"/>
    <w:rsid w:val="719721EE"/>
    <w:rsid w:val="71CA611F"/>
    <w:rsid w:val="71F80EDE"/>
    <w:rsid w:val="722A4E10"/>
    <w:rsid w:val="722C0B88"/>
    <w:rsid w:val="72695938"/>
    <w:rsid w:val="72AC1CC9"/>
    <w:rsid w:val="72F64A73"/>
    <w:rsid w:val="730A3BF2"/>
    <w:rsid w:val="730C2768"/>
    <w:rsid w:val="73337CF4"/>
    <w:rsid w:val="735A7977"/>
    <w:rsid w:val="73E159A2"/>
    <w:rsid w:val="74085625"/>
    <w:rsid w:val="745145DC"/>
    <w:rsid w:val="745B39A7"/>
    <w:rsid w:val="746C5BB4"/>
    <w:rsid w:val="749C67B2"/>
    <w:rsid w:val="74AC7D5E"/>
    <w:rsid w:val="74B530B7"/>
    <w:rsid w:val="74B9247B"/>
    <w:rsid w:val="74C50E20"/>
    <w:rsid w:val="74D6127F"/>
    <w:rsid w:val="754B57C9"/>
    <w:rsid w:val="754D7793"/>
    <w:rsid w:val="756920F3"/>
    <w:rsid w:val="75882579"/>
    <w:rsid w:val="75AD0232"/>
    <w:rsid w:val="75CC3053"/>
    <w:rsid w:val="760F2C9B"/>
    <w:rsid w:val="76285B0A"/>
    <w:rsid w:val="765B5EE0"/>
    <w:rsid w:val="76740D50"/>
    <w:rsid w:val="76832D41"/>
    <w:rsid w:val="76A74C81"/>
    <w:rsid w:val="76CB4EC4"/>
    <w:rsid w:val="76D637B8"/>
    <w:rsid w:val="76E063E5"/>
    <w:rsid w:val="76E23F0B"/>
    <w:rsid w:val="76E9529A"/>
    <w:rsid w:val="775C3CBE"/>
    <w:rsid w:val="77644920"/>
    <w:rsid w:val="77732DB5"/>
    <w:rsid w:val="77882D05"/>
    <w:rsid w:val="77BE6726"/>
    <w:rsid w:val="77C17FC5"/>
    <w:rsid w:val="77E31BB3"/>
    <w:rsid w:val="77EA6925"/>
    <w:rsid w:val="780600CD"/>
    <w:rsid w:val="78191BAF"/>
    <w:rsid w:val="78202F3D"/>
    <w:rsid w:val="78280044"/>
    <w:rsid w:val="7859644F"/>
    <w:rsid w:val="785C7CED"/>
    <w:rsid w:val="78850FF2"/>
    <w:rsid w:val="78A27DF6"/>
    <w:rsid w:val="78A7540C"/>
    <w:rsid w:val="78D41F79"/>
    <w:rsid w:val="78FB7506"/>
    <w:rsid w:val="790B54C9"/>
    <w:rsid w:val="791A3E30"/>
    <w:rsid w:val="7931117A"/>
    <w:rsid w:val="793B7903"/>
    <w:rsid w:val="794A5D98"/>
    <w:rsid w:val="794B7D2E"/>
    <w:rsid w:val="79660E24"/>
    <w:rsid w:val="79667075"/>
    <w:rsid w:val="798412AA"/>
    <w:rsid w:val="799A6D1F"/>
    <w:rsid w:val="79B31B8F"/>
    <w:rsid w:val="79E955B1"/>
    <w:rsid w:val="79F20909"/>
    <w:rsid w:val="7A1545F8"/>
    <w:rsid w:val="7A794B87"/>
    <w:rsid w:val="7AC83418"/>
    <w:rsid w:val="7AD85D51"/>
    <w:rsid w:val="7B0C141B"/>
    <w:rsid w:val="7B1B5C3E"/>
    <w:rsid w:val="7B7B492E"/>
    <w:rsid w:val="7B9D6653"/>
    <w:rsid w:val="7BB3231A"/>
    <w:rsid w:val="7BB37C24"/>
    <w:rsid w:val="7BC57958"/>
    <w:rsid w:val="7BC77B74"/>
    <w:rsid w:val="7BE57F98"/>
    <w:rsid w:val="7BF70459"/>
    <w:rsid w:val="7C06069C"/>
    <w:rsid w:val="7C1C3A1B"/>
    <w:rsid w:val="7C1F175E"/>
    <w:rsid w:val="7C1F52BA"/>
    <w:rsid w:val="7C3A66F1"/>
    <w:rsid w:val="7C5807CC"/>
    <w:rsid w:val="7C63164A"/>
    <w:rsid w:val="7C896BD7"/>
    <w:rsid w:val="7CA53A11"/>
    <w:rsid w:val="7CAA54CB"/>
    <w:rsid w:val="7CBA4FE2"/>
    <w:rsid w:val="7CCD740C"/>
    <w:rsid w:val="7CD24A22"/>
    <w:rsid w:val="7D00333D"/>
    <w:rsid w:val="7D3354C1"/>
    <w:rsid w:val="7DB050F0"/>
    <w:rsid w:val="7DCC76C3"/>
    <w:rsid w:val="7DE60785"/>
    <w:rsid w:val="7E4454AB"/>
    <w:rsid w:val="7E484F9C"/>
    <w:rsid w:val="7E6A3164"/>
    <w:rsid w:val="7E723DC7"/>
    <w:rsid w:val="7E7C2E97"/>
    <w:rsid w:val="7E8458A8"/>
    <w:rsid w:val="7E9E696A"/>
    <w:rsid w:val="7EB4618D"/>
    <w:rsid w:val="7EC133B5"/>
    <w:rsid w:val="7EC65EC0"/>
    <w:rsid w:val="7ECB797B"/>
    <w:rsid w:val="7EE051D4"/>
    <w:rsid w:val="7F0D1E4F"/>
    <w:rsid w:val="7F2350C1"/>
    <w:rsid w:val="7F45772D"/>
    <w:rsid w:val="7F78540D"/>
    <w:rsid w:val="7F9164CE"/>
    <w:rsid w:val="7FCF6FF7"/>
    <w:rsid w:val="7FE42AA2"/>
    <w:rsid w:val="7FF5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 w:val="0"/>
      <w:keepLines w:val="0"/>
      <w:adjustRightInd w:val="0"/>
      <w:spacing w:before="0" w:after="0" w:line="560" w:lineRule="atLeast"/>
      <w:ind w:left="557"/>
      <w:textAlignment w:val="baseline"/>
      <w:outlineLvl w:val="3"/>
    </w:pPr>
    <w:rPr>
      <w:rFonts w:ascii="宋体" w:hAnsi="宋体" w:eastAsia="仿宋_GB2312" w:cs="Times New Roman"/>
      <w:kern w:val="0"/>
      <w:szCs w:val="2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autoRedefine/>
    <w:qFormat/>
    <w:uiPriority w:val="0"/>
    <w:pPr>
      <w:ind w:left="168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3244</Words>
  <Characters>3431</Characters>
  <Lines>0</Lines>
  <Paragraphs>0</Paragraphs>
  <TotalTime>1</TotalTime>
  <ScaleCrop>false</ScaleCrop>
  <LinksUpToDate>false</LinksUpToDate>
  <CharactersWithSpaces>3545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2024-02-28T01:29:00Z</dcterms:created>
  <dc:creator>倪志祥</dc:creator>
  <cp:lastModifiedBy>Administrator</cp:lastModifiedBy>
  <cp:lastPrinted>2024-02-28T09:23:00Z</cp:lastPrinted>
  <dcterms:modified xsi:type="dcterms:W3CDTF">2025-06-24T02:53:21Z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7A4FB36C92E74D818C5AE1A802A68C34_13</vt:lpwstr>
  </property>
  <property fmtid="{D5CDD505-2E9C-101B-9397-08002B2CF9AE}" pid="4" name="KSOTemplateDocerSaveRecord">
    <vt:lpwstr>eyJoZGlkIjoiZWY4Y2VhYzY0ODg4MGNkM2ZhYThhNGYxOWY0MWE2NmQiLCJ1c2VySWQiOiIxMjg1NzM2NzgwIn0=</vt:lpwstr>
  </property>
</Properties>
</file>