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21018">
      <w:pPr>
        <w:spacing w:line="560" w:lineRule="exact"/>
        <w:jc w:val="center"/>
        <w:rPr>
          <w:rFonts w:eastAsia="方正仿宋_GBK"/>
          <w:sz w:val="33"/>
          <w:szCs w:val="33"/>
        </w:rPr>
      </w:pPr>
    </w:p>
    <w:p w14:paraId="6ACDEBCF">
      <w:pPr>
        <w:spacing w:line="560" w:lineRule="exact"/>
        <w:jc w:val="center"/>
        <w:rPr>
          <w:rFonts w:ascii="方正黑体_GBK" w:eastAsia="方正黑体_GBK"/>
          <w:sz w:val="33"/>
          <w:szCs w:val="33"/>
        </w:rPr>
      </w:pPr>
    </w:p>
    <w:p w14:paraId="0C640B80">
      <w:pPr>
        <w:spacing w:line="560" w:lineRule="exact"/>
        <w:rPr>
          <w:rFonts w:eastAsia="方正仿宋_GBK"/>
          <w:sz w:val="33"/>
          <w:szCs w:val="33"/>
        </w:rPr>
      </w:pPr>
      <w:r>
        <w:pict>
          <v:shape id="_x0000_s1026" o:spid="_x0000_s1026" o:spt="136" type="#_x0000_t136" style="position:absolute;left:0pt;margin-left:-5.25pt;margin-top:6.4pt;height:63.4pt;width:444pt;z-index:251659264;mso-width-relative:page;mso-height-relative:page;" fillcolor="#FF0000" filled="t" coordsize="21600,21600">
            <v:path/>
            <v:fill on="t" focussize="0,0"/>
            <v:stroke color="#FF0000"/>
            <v:imagedata o:title=""/>
            <o:lock v:ext="edit"/>
            <v:textpath on="t" fitshape="t" fitpath="t" trim="t" xscale="f" string="中共石柱土家族自治县黄鹤镇委员会文件" style="font-family:华文中宋;font-size:28pt;v-text-align:center;"/>
          </v:shape>
        </w:pict>
      </w:r>
    </w:p>
    <w:p w14:paraId="3F0C8F46">
      <w:pPr>
        <w:spacing w:line="560" w:lineRule="exact"/>
        <w:jc w:val="center"/>
        <w:rPr>
          <w:rFonts w:eastAsia="方正仿宋_GBK"/>
          <w:sz w:val="33"/>
          <w:szCs w:val="33"/>
        </w:rPr>
      </w:pPr>
    </w:p>
    <w:p w14:paraId="4E4409AC">
      <w:pPr>
        <w:spacing w:line="560" w:lineRule="exact"/>
        <w:jc w:val="center"/>
        <w:rPr>
          <w:rFonts w:eastAsia="方正仿宋_GBK"/>
          <w:sz w:val="33"/>
          <w:szCs w:val="33"/>
        </w:rPr>
      </w:pPr>
    </w:p>
    <w:p w14:paraId="12184862">
      <w:pPr>
        <w:spacing w:line="560" w:lineRule="exact"/>
        <w:jc w:val="center"/>
        <w:rPr>
          <w:rFonts w:eastAsia="方正仿宋_GBK"/>
          <w:sz w:val="33"/>
          <w:szCs w:val="33"/>
        </w:rPr>
      </w:pPr>
    </w:p>
    <w:p w14:paraId="3EBEE4F1">
      <w:pPr>
        <w:spacing w:line="560" w:lineRule="exact"/>
        <w:rPr>
          <w:rFonts w:hint="eastAsia" w:eastAsia="方正仿宋_GBK"/>
          <w:sz w:val="33"/>
          <w:szCs w:val="33"/>
        </w:rPr>
      </w:pPr>
    </w:p>
    <w:p w14:paraId="2170F571">
      <w:pPr>
        <w:spacing w:line="560" w:lineRule="exact"/>
        <w:rPr>
          <w:rFonts w:hint="eastAsia" w:eastAsia="方正仿宋_GBK"/>
          <w:sz w:val="33"/>
          <w:szCs w:val="33"/>
        </w:rPr>
      </w:pPr>
    </w:p>
    <w:p w14:paraId="021DA949">
      <w:pPr>
        <w:spacing w:line="560" w:lineRule="exact"/>
        <w:ind w:firstLine="330" w:firstLineChars="100"/>
        <w:rPr>
          <w:rFonts w:hint="eastAsia" w:eastAsia="方正仿宋_GBK"/>
          <w:sz w:val="33"/>
          <w:szCs w:val="33"/>
          <w:lang w:eastAsia="zh-CN"/>
        </w:rPr>
      </w:pPr>
      <w:r>
        <w:rPr>
          <w:rFonts w:hint="default" w:ascii="Times New Roman" w:hAnsi="Times New Roman" w:eastAsia="方正仿宋_GBK" w:cs="Times New Roman"/>
          <w:sz w:val="33"/>
          <w:szCs w:val="33"/>
        </w:rPr>
        <w:t>黄鹤委文〔202</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30</w:t>
      </w:r>
      <w:r>
        <w:rPr>
          <w:rFonts w:hint="default" w:ascii="Times New Roman" w:hAnsi="Times New Roman" w:eastAsia="方正仿宋_GBK" w:cs="Times New Roman"/>
          <w:sz w:val="33"/>
          <w:szCs w:val="33"/>
        </w:rPr>
        <w:t>号</w:t>
      </w:r>
      <w:r>
        <w:rPr>
          <w:rFonts w:eastAsia="方正仿宋_GBK"/>
          <w:sz w:val="33"/>
          <w:szCs w:val="33"/>
        </w:rPr>
        <w:t xml:space="preserve">               </w:t>
      </w:r>
      <w:r>
        <w:rPr>
          <w:rFonts w:hint="eastAsia" w:eastAsia="方正仿宋_GBK"/>
          <w:sz w:val="33"/>
          <w:szCs w:val="33"/>
        </w:rPr>
        <w:t xml:space="preserve"> 签发人：</w:t>
      </w:r>
      <w:r>
        <w:rPr>
          <w:rFonts w:hint="eastAsia" w:eastAsia="方正仿宋_GBK"/>
          <w:sz w:val="33"/>
          <w:szCs w:val="33"/>
          <w:lang w:eastAsia="zh-CN"/>
        </w:rPr>
        <w:t>郭华松</w:t>
      </w:r>
    </w:p>
    <w:p w14:paraId="3D446393">
      <w:pPr>
        <w:adjustRightInd w:val="0"/>
        <w:snapToGrid w:val="0"/>
        <w:spacing w:line="600" w:lineRule="exact"/>
        <w:ind w:firstLine="1680" w:firstLineChars="800"/>
        <w:rPr>
          <w:rFonts w:ascii="方正小标宋简体" w:eastAsia="方正小标宋简体"/>
          <w:b/>
          <w:bCs/>
          <w:color w:val="000000"/>
          <w:spacing w:val="14"/>
          <w:sz w:val="44"/>
          <w:szCs w:val="44"/>
        </w:rPr>
      </w:pPr>
      <w: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127000</wp:posOffset>
                </wp:positionV>
                <wp:extent cx="2536190" cy="0"/>
                <wp:effectExtent l="0" t="13970" r="16510" b="24130"/>
                <wp:wrapNone/>
                <wp:docPr id="2" name="直接连接符 2"/>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10pt;height:0pt;width:199.7pt;z-index:251660288;mso-width-relative:page;mso-height-relative:page;" filled="f" stroked="t" coordsize="21600,21600" o:gfxdata="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BPAHWAAAACQEAAA8AAAAAAAAAAQAgAAAAIgAAAGRycy9kb3ducmV2LnhtbFBL&#10;AQIUABQAAAAIAIdO4kAGmi09+AEAAOUDAAAOAAAAAAAAAAEAIAAAACUBAABkcnMvZTJvRG9jLnht&#10;bFBLBQYAAAAABgAGAFkBAACPBQ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3267075</wp:posOffset>
                </wp:positionH>
                <wp:positionV relativeFrom="paragraph">
                  <wp:posOffset>127000</wp:posOffset>
                </wp:positionV>
                <wp:extent cx="2598420" cy="0"/>
                <wp:effectExtent l="0" t="13970" r="11430" b="24130"/>
                <wp:wrapNone/>
                <wp:docPr id="3" name="直接连接符 3"/>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7.25pt;margin-top:10pt;height:0pt;width:204.6pt;z-index:251661312;mso-width-relative:page;mso-height-relative:page;" filled="f" stroked="t" coordsize="21600,21600" o:gfxdata="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joh1fWAAAACQEAAA8AAAAAAAAAAQAgAAAAIgAAAGRycy9kb3ducmV2LnhtbFBL&#10;AQIUABQAAAAIAIdO4kDngpQp+AEAAOUDAAAOAAAAAAAAAAEAIAAAACUBAABkcnMvZTJvRG9jLnht&#10;bFBLBQYAAAAABgAGAFkBAACPBQAAAAA=&#10;">
                <v:fill on="f" focussize="0,0"/>
                <v:stroke weight="2.25pt" color="#FF0000" joinstyle="round"/>
                <v:imagedata o:title=""/>
                <o:lock v:ext="edit" aspectratio="f"/>
              </v:line>
            </w:pict>
          </mc:Fallback>
        </mc:AlternateContent>
      </w:r>
      <w:r>
        <w:rPr>
          <w:rFonts w:eastAsia="方正小标宋_GBK"/>
          <w:b/>
          <w:color w:val="FF0000"/>
          <w:sz w:val="52"/>
          <w:szCs w:val="52"/>
        </w:rPr>
        <w:t xml:space="preserve">        </w:t>
      </w:r>
      <w:r>
        <w:rPr>
          <w:rFonts w:hint="eastAsia" w:eastAsia="方正小标宋_GBK"/>
          <w:b/>
          <w:color w:val="FF0000"/>
          <w:sz w:val="52"/>
          <w:szCs w:val="52"/>
        </w:rPr>
        <w:t xml:space="preserve">  </w:t>
      </w:r>
      <w:r>
        <w:rPr>
          <w:rFonts w:hint="eastAsia" w:ascii="宋体" w:hAnsi="宋体" w:cs="宋体"/>
          <w:b/>
          <w:color w:val="FF0000"/>
          <w:sz w:val="52"/>
          <w:szCs w:val="52"/>
        </w:rPr>
        <w:t>★</w:t>
      </w:r>
    </w:p>
    <w:p w14:paraId="79C296C0">
      <w:pPr>
        <w:tabs>
          <w:tab w:val="center" w:pos="4153"/>
        </w:tabs>
        <w:spacing w:line="520" w:lineRule="exact"/>
        <w:jc w:val="center"/>
        <w:rPr>
          <w:rFonts w:eastAsia="方正小标宋_GBK"/>
          <w:b/>
          <w:sz w:val="44"/>
          <w:szCs w:val="44"/>
        </w:rPr>
      </w:pPr>
    </w:p>
    <w:p w14:paraId="4F6D34CB">
      <w:pPr>
        <w:spacing w:line="560" w:lineRule="exact"/>
        <w:rPr>
          <w:rFonts w:hint="eastAsia" w:ascii="方正小标宋简体" w:eastAsia="方正小标宋简体"/>
          <w:sz w:val="33"/>
          <w:szCs w:val="33"/>
        </w:rPr>
      </w:pPr>
    </w:p>
    <w:p w14:paraId="1FF56282">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中共石柱土家族自治县黄鹤镇委员会</w:t>
      </w:r>
    </w:p>
    <w:p w14:paraId="1D9A876A">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年法治建设工作情况的报告</w:t>
      </w:r>
    </w:p>
    <w:p w14:paraId="314CD4F0">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880" w:firstLineChars="200"/>
        <w:jc w:val="center"/>
        <w:textAlignment w:val="auto"/>
        <w:rPr>
          <w:rFonts w:hint="default" w:ascii="Times New Roman" w:hAnsi="Times New Roman" w:eastAsia="方正小标宋_GBK" w:cs="Times New Roman"/>
          <w:b w:val="0"/>
          <w:bCs/>
          <w:snapToGrid w:val="0"/>
          <w:color w:val="000000"/>
          <w:sz w:val="44"/>
          <w:szCs w:val="44"/>
          <w:lang w:eastAsia="zh-CN"/>
        </w:rPr>
      </w:pPr>
    </w:p>
    <w:p w14:paraId="34BF5EE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县委依法治县办：</w:t>
      </w:r>
    </w:p>
    <w:p w14:paraId="20C9C9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根据《中共石柱土家族自治县委全面依法治县委员会2024年工作要点》（石委法〔2024〕2号）确定的工作任务，全力做好法治建设各项工作。现将黄鹤镇2024年度法治建设推进落实情况报告如下：</w:t>
      </w:r>
    </w:p>
    <w:p w14:paraId="378EEA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一、2024年工作情况</w:t>
      </w:r>
    </w:p>
    <w:p w14:paraId="24B045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 xml:space="preserve">（一）全面深化习近平法治思想学习宣传贯彻情况 </w:t>
      </w:r>
    </w:p>
    <w:p w14:paraId="33828A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 组织集中学习研讨</w:t>
      </w:r>
    </w:p>
    <w:p w14:paraId="766A0C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黄鹤镇党委中心组将习近平法治思想列为重要学习内容，定期</w:t>
      </w:r>
      <w:r>
        <w:rPr>
          <w:rFonts w:hint="eastAsia" w:ascii="Times New Roman" w:hAnsi="Times New Roman" w:eastAsia="方正仿宋_GBK" w:cs="Times New Roman"/>
          <w:b w:val="0"/>
          <w:bCs/>
          <w:color w:val="auto"/>
          <w:sz w:val="32"/>
          <w:szCs w:val="32"/>
          <w:lang w:val="en-US" w:eastAsia="zh-CN"/>
        </w:rPr>
        <w:t>召开</w:t>
      </w:r>
      <w:r>
        <w:rPr>
          <w:rFonts w:hint="default" w:ascii="Times New Roman" w:hAnsi="Times New Roman" w:eastAsia="方正仿宋_GBK" w:cs="Times New Roman"/>
          <w:b w:val="0"/>
          <w:bCs/>
          <w:color w:val="auto"/>
          <w:sz w:val="32"/>
          <w:szCs w:val="32"/>
          <w:lang w:val="en-US" w:eastAsia="zh-CN"/>
        </w:rPr>
        <w:t>专题学习研讨会议，领导干部带头领学、解读重要论述，并结合工作实际交流心得体会，深刻领会其核心要义、精神实质、丰富内涵和实践要求，今年以来已累计开展集中学习5次。</w:t>
      </w:r>
    </w:p>
    <w:p w14:paraId="5F01CE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各村基层党组织纷纷响应，通过“三会一课”、主题党日等活动，组织广大党员深入学习习近平法治思想，确保学习覆盖到每一个支部、每一名党员，推动党员干部成为法治建设的坚定信仰者、积极传播者和模范实践者。</w:t>
      </w:r>
    </w:p>
    <w:p w14:paraId="5ABF20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2、开展专题培训与讲座</w:t>
      </w:r>
    </w:p>
    <w:p w14:paraId="6C6128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举办习近平法治思想专题培训班，邀请法学专家学者进行授课，对全体公职人员进行系统培训。培训内容涵盖习近平法治思想的历史渊源、理论体系以及在立法、执法、司法、守法等各环节的应用等方面，累计培训人数达到120人次。</w:t>
      </w:r>
    </w:p>
    <w:p w14:paraId="757883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向行政执法人员、司法工作者等重点群体，开展有针对性的业务培训讲座，结合实际案例深入剖析习近平法治思想在具体工作中的指导作用，提升其运用法治思维和法治方式解决问题的能力，共举办此执法培训3场。</w:t>
      </w:r>
    </w:p>
    <w:p w14:paraId="637044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（二）扎实推进“大综合一体化”行政执法体制改革。</w:t>
      </w:r>
    </w:p>
    <w:p w14:paraId="76F6C6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1、整合执法队伍，实现职能融合</w:t>
      </w:r>
    </w:p>
    <w:p w14:paraId="6DE9F2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按照“减少多头执法、重复执法”原则，全面梳理各领域执法职能与机构，整合分散的执法队伍，组建综合行政执法大队，集中行使城市管理、市场监管、生态环境等多领域执法权，统一执法标准与流程，避免“九龙治水”局面，提高执法效率与协调性。</w:t>
      </w:r>
    </w:p>
    <w:p w14:paraId="6C7680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2、完善执法机制，规范执法行为</w:t>
      </w:r>
    </w:p>
    <w:p w14:paraId="57DD01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制定综合行政执法协调配合机制，明确与各业务主管部门信息共享、案件移送等流程，加强部门联动。建立健全执法全过程记录、重大执法决定法制审核等制度，为每位执法人员配备执法记录仪，规范执法文书制作，确保执法透明、公正，今年以来，审核重大执法决定，纠正不规范执法行为0起。</w:t>
      </w:r>
    </w:p>
    <w:p w14:paraId="273C62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3、加强数字赋能，提升执法效能</w:t>
      </w:r>
    </w:p>
    <w:p w14:paraId="729BC4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搭建“大综合一体化”行政执法数字平台，整合各类执法信息系统，实现执法数据一网汇聚、实时共享。推行移动掌上执法 APP，具备在线办案、证据采集、法律查询等功能，让执法人员随时随地</w:t>
      </w:r>
      <w:r>
        <w:rPr>
          <w:rFonts w:hint="eastAsia" w:ascii="Times New Roman" w:hAnsi="Times New Roman" w:eastAsia="方正仿宋_GBK" w:cs="Times New Roman"/>
          <w:b w:val="0"/>
          <w:bCs/>
          <w:color w:val="auto"/>
          <w:sz w:val="32"/>
          <w:szCs w:val="32"/>
          <w:lang w:val="en-US" w:eastAsia="zh-CN"/>
        </w:rPr>
        <w:t>都能</w:t>
      </w:r>
      <w:r>
        <w:rPr>
          <w:rFonts w:hint="default" w:ascii="Times New Roman" w:hAnsi="Times New Roman" w:eastAsia="方正仿宋_GBK" w:cs="Times New Roman"/>
          <w:b w:val="0"/>
          <w:bCs/>
          <w:color w:val="auto"/>
          <w:sz w:val="32"/>
          <w:szCs w:val="32"/>
          <w:lang w:val="en-US" w:eastAsia="zh-CN"/>
        </w:rPr>
        <w:t>开展执法工作。</w:t>
      </w:r>
    </w:p>
    <w:p w14:paraId="6593F48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法治宣传教育方面。</w:t>
      </w:r>
    </w:p>
    <w:p w14:paraId="58E597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通过多种形式开展普法活动。利用“法律六进”活动，发放宣传资料1000余份，覆盖群众3000人次；举办法律知识讲座3场，邀请法律专家为村民解读与生活密切相关的法律法规，如《</w:t>
      </w:r>
      <w:r>
        <w:rPr>
          <w:rFonts w:hint="eastAsia" w:ascii="Times New Roman" w:hAnsi="Times New Roman" w:eastAsia="方正仿宋_GBK" w:cs="Times New Roman"/>
          <w:b w:val="0"/>
          <w:bCs/>
          <w:color w:val="auto"/>
          <w:sz w:val="32"/>
          <w:szCs w:val="32"/>
          <w:lang w:val="en-US" w:eastAsia="zh-CN"/>
        </w:rPr>
        <w:t>中华人民共和国民法典》《中华人民共和国宪法》</w:t>
      </w:r>
      <w:r>
        <w:rPr>
          <w:rFonts w:hint="default" w:ascii="Times New Roman" w:hAnsi="Times New Roman" w:eastAsia="方正仿宋_GBK" w:cs="Times New Roman"/>
          <w:b w:val="0"/>
          <w:bCs/>
          <w:color w:val="auto"/>
          <w:sz w:val="32"/>
          <w:szCs w:val="32"/>
          <w:lang w:val="en-US" w:eastAsia="zh-CN"/>
        </w:rPr>
        <w:t>等，提高村民法律意识。</w:t>
      </w:r>
    </w:p>
    <w:p w14:paraId="3BEFC8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（四）矛盾纠纷化解方面。</w:t>
      </w:r>
    </w:p>
    <w:p w14:paraId="187800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黄鹤镇积极建设基层社会治理工作体系，以建设“贵和工作法”载体，围绕形成矛盾纠纷“发现一研判一处置一回访”工作闭环，做到“一站式受理、一揽子调处、全链条服务”，最大限度地把基层社会各类风险防范在源头、化解在基层、消除在萌芽状态。今年来，黄鹤镇共排查调处各项纠纷、矛盾210余起，依托基层司法人民调解系统，共录入案件120余件，已全部办结，办结率为100%。矛盾纠纷的化解有力地推动了平安乡镇、法治乡村建设，有效维护了社会稳定。</w:t>
      </w:r>
    </w:p>
    <w:p w14:paraId="2FB3FE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五</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综合行政执法处罚具体情况方面</w:t>
      </w:r>
      <w:r>
        <w:rPr>
          <w:rFonts w:hint="default" w:ascii="Times New Roman" w:hAnsi="Times New Roman" w:eastAsia="方正仿宋_GBK" w:cs="Times New Roman"/>
          <w:b w:val="0"/>
          <w:bCs/>
          <w:color w:val="auto"/>
          <w:sz w:val="32"/>
          <w:szCs w:val="32"/>
          <w:lang w:val="en-US" w:eastAsia="zh-CN"/>
        </w:rPr>
        <w:t>。</w:t>
      </w:r>
    </w:p>
    <w:p w14:paraId="32FEE9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黄鹤镇</w:t>
      </w:r>
      <w:r>
        <w:rPr>
          <w:rFonts w:hint="default" w:ascii="Times New Roman" w:hAnsi="Times New Roman" w:eastAsia="方正仿宋_GBK" w:cs="Times New Roman"/>
          <w:b w:val="0"/>
          <w:bCs/>
          <w:color w:val="auto"/>
          <w:sz w:val="32"/>
          <w:szCs w:val="32"/>
          <w:lang w:val="en-US" w:eastAsia="zh-CN"/>
        </w:rPr>
        <w:t>深入开展</w:t>
      </w:r>
      <w:r>
        <w:rPr>
          <w:rFonts w:hint="eastAsia" w:ascii="Times New Roman" w:hAnsi="Times New Roman" w:eastAsia="方正仿宋_GBK" w:cs="Times New Roman"/>
          <w:b w:val="0"/>
          <w:bCs/>
          <w:color w:val="auto"/>
          <w:sz w:val="32"/>
          <w:szCs w:val="32"/>
          <w:lang w:val="en-US" w:eastAsia="zh-CN"/>
        </w:rPr>
        <w:t>行政</w:t>
      </w:r>
      <w:r>
        <w:rPr>
          <w:rFonts w:hint="default" w:ascii="Times New Roman" w:hAnsi="Times New Roman" w:eastAsia="方正仿宋_GBK" w:cs="Times New Roman"/>
          <w:b w:val="0"/>
          <w:bCs/>
          <w:color w:val="auto"/>
          <w:sz w:val="32"/>
          <w:szCs w:val="32"/>
          <w:lang w:val="en-US" w:eastAsia="zh-CN"/>
        </w:rPr>
        <w:t>执法，消除监管盲区，今年以来，警示约谈企业6家次，简易程序办案</w:t>
      </w:r>
      <w:r>
        <w:rPr>
          <w:rFonts w:hint="eastAsia" w:ascii="Times New Roman" w:hAnsi="Times New Roman" w:eastAsia="方正仿宋_GBK" w:cs="Times New Roman"/>
          <w:b w:val="0"/>
          <w:bCs/>
          <w:color w:val="auto"/>
          <w:sz w:val="32"/>
          <w:szCs w:val="32"/>
          <w:lang w:val="en-US" w:eastAsia="zh-CN"/>
        </w:rPr>
        <w:t>11件</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镇综合执法大队</w:t>
      </w:r>
      <w:r>
        <w:rPr>
          <w:rFonts w:hint="default" w:ascii="Times New Roman" w:hAnsi="Times New Roman" w:eastAsia="方正仿宋_GBK" w:cs="Times New Roman"/>
          <w:b w:val="0"/>
          <w:bCs/>
          <w:color w:val="auto"/>
          <w:sz w:val="32"/>
          <w:szCs w:val="32"/>
          <w:lang w:val="en-US" w:eastAsia="zh-CN"/>
        </w:rPr>
        <w:t>累计</w:t>
      </w:r>
      <w:r>
        <w:rPr>
          <w:rFonts w:hint="eastAsia" w:ascii="Times New Roman" w:hAnsi="Times New Roman" w:eastAsia="方正仿宋_GBK" w:cs="Times New Roman"/>
          <w:b w:val="0"/>
          <w:bCs/>
          <w:color w:val="auto"/>
          <w:sz w:val="32"/>
          <w:szCs w:val="32"/>
          <w:lang w:val="en-US" w:eastAsia="zh-CN"/>
        </w:rPr>
        <w:t>日常检查150余</w:t>
      </w:r>
      <w:r>
        <w:rPr>
          <w:rFonts w:hint="default" w:ascii="Times New Roman" w:hAnsi="Times New Roman" w:eastAsia="方正仿宋_GBK" w:cs="Times New Roman"/>
          <w:b w:val="0"/>
          <w:bCs/>
          <w:color w:val="auto"/>
          <w:sz w:val="32"/>
          <w:szCs w:val="32"/>
          <w:lang w:val="en-US" w:eastAsia="zh-CN"/>
        </w:rPr>
        <w:t>次，共计罚金</w:t>
      </w: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auto"/>
          <w:sz w:val="32"/>
          <w:szCs w:val="32"/>
          <w:lang w:val="en-US" w:eastAsia="zh-CN"/>
        </w:rPr>
        <w:t>万余元。在做好日常性执法检查的基础上，</w:t>
      </w:r>
      <w:r>
        <w:rPr>
          <w:rFonts w:hint="eastAsia" w:ascii="Times New Roman" w:hAnsi="Times New Roman" w:eastAsia="方正仿宋_GBK" w:cs="Times New Roman"/>
          <w:b w:val="0"/>
          <w:bCs/>
          <w:color w:val="auto"/>
          <w:sz w:val="32"/>
          <w:szCs w:val="32"/>
          <w:lang w:val="en-US" w:eastAsia="zh-CN"/>
        </w:rPr>
        <w:t>还在国庆</w:t>
      </w:r>
      <w:r>
        <w:rPr>
          <w:rFonts w:hint="default" w:ascii="Times New Roman" w:hAnsi="Times New Roman" w:eastAsia="方正仿宋_GBK" w:cs="Times New Roman"/>
          <w:b w:val="0"/>
          <w:bCs/>
          <w:color w:val="auto"/>
          <w:sz w:val="32"/>
          <w:szCs w:val="32"/>
          <w:lang w:val="en-US" w:eastAsia="zh-CN"/>
        </w:rPr>
        <w:t>、春节、</w:t>
      </w:r>
      <w:r>
        <w:rPr>
          <w:rFonts w:hint="eastAsia" w:ascii="Times New Roman" w:hAnsi="Times New Roman" w:eastAsia="方正仿宋_GBK" w:cs="Times New Roman"/>
          <w:b w:val="0"/>
          <w:bCs/>
          <w:color w:val="auto"/>
          <w:sz w:val="32"/>
          <w:szCs w:val="32"/>
          <w:lang w:val="en-US" w:eastAsia="zh-CN"/>
        </w:rPr>
        <w:t>县</w:t>
      </w:r>
      <w:bookmarkStart w:id="0" w:name="_GoBack"/>
      <w:bookmarkEnd w:id="0"/>
      <w:r>
        <w:rPr>
          <w:rFonts w:hint="eastAsia" w:ascii="Times New Roman" w:hAnsi="Times New Roman" w:eastAsia="方正仿宋_GBK" w:cs="Times New Roman"/>
          <w:b w:val="0"/>
          <w:bCs/>
          <w:color w:val="auto"/>
          <w:sz w:val="32"/>
          <w:szCs w:val="32"/>
          <w:lang w:val="en-US" w:eastAsia="zh-CN"/>
        </w:rPr>
        <w:t>两会</w:t>
      </w:r>
      <w:r>
        <w:rPr>
          <w:rFonts w:hint="default" w:ascii="Times New Roman" w:hAnsi="Times New Roman" w:eastAsia="方正仿宋_GBK" w:cs="Times New Roman"/>
          <w:b w:val="0"/>
          <w:bCs/>
          <w:color w:val="auto"/>
          <w:sz w:val="32"/>
          <w:szCs w:val="32"/>
          <w:lang w:val="en-US" w:eastAsia="zh-CN"/>
        </w:rPr>
        <w:t>等重</w:t>
      </w:r>
      <w:r>
        <w:rPr>
          <w:rFonts w:hint="eastAsia" w:ascii="Times New Roman" w:hAnsi="Times New Roman" w:eastAsia="方正仿宋_GBK" w:cs="Times New Roman"/>
          <w:b w:val="0"/>
          <w:bCs/>
          <w:color w:val="auto"/>
          <w:sz w:val="32"/>
          <w:szCs w:val="32"/>
          <w:lang w:val="en-US" w:eastAsia="zh-CN"/>
        </w:rPr>
        <w:t>要时间节点</w:t>
      </w:r>
      <w:r>
        <w:rPr>
          <w:rFonts w:hint="default" w:ascii="Times New Roman" w:hAnsi="Times New Roman" w:eastAsia="方正仿宋_GBK" w:cs="Times New Roman"/>
          <w:b w:val="0"/>
          <w:bCs/>
          <w:color w:val="auto"/>
          <w:sz w:val="32"/>
          <w:szCs w:val="32"/>
          <w:lang w:val="en-US" w:eastAsia="zh-CN"/>
        </w:rPr>
        <w:t>前后，组织相关部门开展综合性执法检查，</w:t>
      </w:r>
      <w:r>
        <w:rPr>
          <w:rFonts w:hint="eastAsia" w:ascii="Times New Roman" w:hAnsi="Times New Roman" w:eastAsia="方正仿宋_GBK" w:cs="Times New Roman"/>
          <w:b w:val="0"/>
          <w:bCs/>
          <w:color w:val="auto"/>
          <w:sz w:val="32"/>
          <w:szCs w:val="32"/>
          <w:lang w:val="en-US" w:eastAsia="zh-CN"/>
        </w:rPr>
        <w:t>保障了社会安全稳定</w:t>
      </w:r>
      <w:r>
        <w:rPr>
          <w:rFonts w:hint="default" w:ascii="Times New Roman" w:hAnsi="Times New Roman" w:eastAsia="方正仿宋_GBK" w:cs="Times New Roman"/>
          <w:b w:val="0"/>
          <w:bCs/>
          <w:color w:val="auto"/>
          <w:sz w:val="32"/>
          <w:szCs w:val="32"/>
          <w:lang w:val="en-US" w:eastAsia="zh-CN"/>
        </w:rPr>
        <w:t>。</w:t>
      </w:r>
    </w:p>
    <w:p w14:paraId="48B6E3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二、存在问题</w:t>
      </w:r>
    </w:p>
    <w:p w14:paraId="44F9D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 部分群众法治意识仍较薄弱：一些村民对法律知识了解有限，依法办事观念不强，在处理矛盾纠纷时还存在“信访不信法”的现象。</w:t>
      </w:r>
    </w:p>
    <w:p w14:paraId="014EFD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2、法治建设专业人才缺乏：乡镇在法律专业人才培养方面存在不足，难以满足日益增长的法治建设需求，在处理复杂法律事务时面临较大压力。</w:t>
      </w:r>
    </w:p>
    <w:p w14:paraId="0068C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3、法治文化阵地资源短缺：全镇现有规模有影响的普法宣传教育阵地数量稀少，制约了基层法治文化的传播和扎根。</w:t>
      </w:r>
    </w:p>
    <w:p w14:paraId="54289A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 xml:space="preserve">三、2025年主要工作思路和打算 </w:t>
      </w:r>
    </w:p>
    <w:p w14:paraId="43E448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1、紧抓领导干部带头尊法学法守法用法，积极开展专题学法，深入学习习近平法治思想和习近平总书记关于坚持全面依法治国的重要论述，系统把握习近平法治思想的精髓，以高水平法治服务保障高质量发展。</w:t>
      </w:r>
    </w:p>
    <w:p w14:paraId="490870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2、‌加强法治宣传阵地建设。立足本土特色，深挖资源优势，将法律知识与乡村振兴亮点相结合，建设具有地方特色的法治文化阵地。</w:t>
      </w:r>
    </w:p>
    <w:p w14:paraId="312270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3、强化法治人才队伍建设。创新法治人才培养机制，定期组织开展法律素养提升培训班、专业知识培训等，培育兼具深厚法学理论基础与卓越实践能力的法治人才，提升执法人员的办案能力和执法水平。</w:t>
      </w:r>
    </w:p>
    <w:p w14:paraId="24F07E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p>
    <w:p w14:paraId="3ABE92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p>
    <w:p w14:paraId="3095AF0A">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 xml:space="preserve">中共石柱土家族自治县黄鹤镇委员会                        </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2024年11月26日</w:t>
      </w:r>
    </w:p>
    <w:p w14:paraId="160A3622">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14:paraId="50689250">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14:paraId="6BE71F23">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14:paraId="42DA5C7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4114816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2DBB05A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7261E2E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4B9C194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 xml:space="preserve">   （此页无正文）</w:t>
      </w:r>
    </w:p>
    <w:p w14:paraId="6989649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00C7D2C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4F20420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2D7052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780CD24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6EA4D1D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47D2C01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093EDAD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5142DAE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56AA9A7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6FF87F8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1589AE0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330EF84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67CBDDD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49ED0BF4">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6BB1D7E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2C49F45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716A793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color w:val="auto"/>
          <w:sz w:val="32"/>
          <w:szCs w:val="32"/>
          <w:lang w:val="en-US" w:eastAsia="zh-CN"/>
        </w:rPr>
      </w:pPr>
    </w:p>
    <w:p w14:paraId="5FC554D3">
      <w:pPr>
        <w:keepNext w:val="0"/>
        <w:keepLines w:val="0"/>
        <w:pageBreakBefore w:val="0"/>
        <w:widowControl w:val="0"/>
        <w:kinsoku/>
        <w:wordWrap/>
        <w:overflowPunct/>
        <w:topLinePunct w:val="0"/>
        <w:autoSpaceDE/>
        <w:autoSpaceDN/>
        <w:bidi w:val="0"/>
        <w:adjustRightInd/>
        <w:snapToGrid/>
        <w:spacing w:line="600" w:lineRule="exact"/>
        <w:ind w:left="4798" w:leftChars="304" w:hanging="4160" w:hangingChars="1300"/>
        <w:jc w:val="left"/>
        <w:textAlignment w:val="auto"/>
        <w:rPr>
          <w:rFonts w:hint="default" w:ascii="Times New Roman" w:hAnsi="Times New Roman" w:eastAsia="方正仿宋_GBK" w:cs="Times New Roman"/>
          <w:b w:val="0"/>
          <w:bCs/>
          <w:color w:val="auto"/>
          <w:sz w:val="32"/>
          <w:szCs w:val="32"/>
          <w:lang w:val="en-US" w:eastAsia="zh-CN"/>
        </w:rPr>
      </w:pPr>
    </w:p>
    <w:p w14:paraId="594B9CD4">
      <w:pPr>
        <w:pBdr>
          <w:top w:val="single" w:color="auto" w:sz="4" w:space="0"/>
          <w:bottom w:val="single" w:color="auto" w:sz="4" w:space="0"/>
        </w:pBdr>
        <w:ind w:firstLine="280" w:firstLineChars="100"/>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snapToGrid w:val="0"/>
          <w:sz w:val="28"/>
          <w:szCs w:val="28"/>
          <w:lang w:val="en-US" w:eastAsia="zh-CN"/>
        </w:rPr>
        <w:t>黄鹤镇</w:t>
      </w:r>
      <w:r>
        <w:rPr>
          <w:rFonts w:hint="eastAsia" w:ascii="Times New Roman" w:hAnsi="Times New Roman" w:eastAsia="方正仿宋_GBK" w:cs="Times New Roman"/>
          <w:snapToGrid w:val="0"/>
          <w:sz w:val="28"/>
          <w:szCs w:val="28"/>
          <w:lang w:val="en-US" w:eastAsia="zh-CN"/>
        </w:rPr>
        <w:t>基层治理综合指挥室</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lang w:val="en-US" w:eastAsia="zh-CN"/>
        </w:rPr>
        <w:t>日印发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5819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E156A">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7E156A">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64366"/>
    <w:multiLevelType w:val="singleLevel"/>
    <w:tmpl w:val="F296436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7B58541F"/>
    <w:rsid w:val="05152A46"/>
    <w:rsid w:val="067B3A34"/>
    <w:rsid w:val="08D7021C"/>
    <w:rsid w:val="0D317B38"/>
    <w:rsid w:val="0DB10CEB"/>
    <w:rsid w:val="1C204A0A"/>
    <w:rsid w:val="1C485D0F"/>
    <w:rsid w:val="2040567B"/>
    <w:rsid w:val="299470ED"/>
    <w:rsid w:val="29BF55AB"/>
    <w:rsid w:val="2C887DC6"/>
    <w:rsid w:val="2DB50D6C"/>
    <w:rsid w:val="3447002D"/>
    <w:rsid w:val="365516D2"/>
    <w:rsid w:val="3B2714BA"/>
    <w:rsid w:val="3FEFD8DE"/>
    <w:rsid w:val="44DA759D"/>
    <w:rsid w:val="542032D5"/>
    <w:rsid w:val="5939268C"/>
    <w:rsid w:val="5B1433B1"/>
    <w:rsid w:val="637644DD"/>
    <w:rsid w:val="6AB2229E"/>
    <w:rsid w:val="6DDD5884"/>
    <w:rsid w:val="744246C9"/>
    <w:rsid w:val="74EC45FF"/>
    <w:rsid w:val="7B58541F"/>
    <w:rsid w:val="7EA5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Chars="100" w:rightChars="1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1974</Words>
  <Characters>2026</Characters>
  <Lines>0</Lines>
  <Paragraphs>0</Paragraphs>
  <TotalTime>14</TotalTime>
  <ScaleCrop>false</ScaleCrop>
  <LinksUpToDate>false</LinksUpToDate>
  <CharactersWithSpaces>2129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2024-11-22T09:21:00Z</dcterms:created>
  <dc:creator>追梦人</dc:creator>
  <cp:lastModifiedBy>安然弱水</cp:lastModifiedBy>
  <cp:lastPrinted>2024-11-28T10:20:00Z</cp:lastPrinted>
  <dcterms:modified xsi:type="dcterms:W3CDTF">2025-06-25T09:44:37Z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B4448D3CBC8E4A9BA11033DF2B9D2937_13</vt:lpwstr>
  </property>
  <property fmtid="{D5CDD505-2E9C-101B-9397-08002B2CF9AE}" pid="4" name="KSOTemplateDocerSaveRecord">
    <vt:lpwstr>eyJoZGlkIjoiNTY1MGQ5ZDcyMmUwY2NiYWVlNWY0OWY5NDcwMGM5M2MiLCJ1c2VySWQiOiIxMzAwNjA3NzU5In0=</vt:lpwstr>
  </property>
</Properties>
</file>