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500" w:lineRule="exact"/>
        <w:jc w:val="both"/>
        <w:rPr>
          <w:rFonts w:hint="default" w:ascii="方正黑体_GBK" w:eastAsia="方正黑体_GBK"/>
          <w:b w:val="0"/>
          <w:bCs/>
          <w:color w:val="1A1A1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黑体_GBK" w:eastAsia="方正黑体_GBK"/>
          <w:b w:val="0"/>
          <w:bCs/>
          <w:color w:val="1A1A1A"/>
          <w:sz w:val="32"/>
          <w:szCs w:val="32"/>
          <w:shd w:val="clear" w:color="auto" w:fill="FFFFFF"/>
        </w:rPr>
        <w:t>附件1—14</w:t>
      </w:r>
    </w:p>
    <w:p/>
    <w:p>
      <w:pPr>
        <w:pStyle w:val="2"/>
        <w:widowControl/>
        <w:snapToGrid w:val="0"/>
        <w:spacing w:beforeAutospacing="0" w:afterAutospacing="0" w:line="500" w:lineRule="exact"/>
        <w:jc w:val="center"/>
        <w:rPr>
          <w:rFonts w:hint="default" w:ascii="方正小标宋_GBK" w:eastAsia="方正小标宋_GBK"/>
          <w:b w:val="0"/>
          <w:bCs/>
          <w:color w:val="1A1A1A"/>
          <w:sz w:val="36"/>
          <w:szCs w:val="36"/>
        </w:rPr>
      </w:pPr>
      <w:r>
        <w:rPr>
          <w:rFonts w:ascii="方正小标宋_GBK" w:eastAsia="方正小标宋_GBK"/>
          <w:b w:val="0"/>
          <w:bCs/>
          <w:color w:val="1A1A1A"/>
          <w:sz w:val="36"/>
          <w:szCs w:val="36"/>
          <w:shd w:val="clear" w:color="auto" w:fill="FFFFFF"/>
        </w:rPr>
        <w:t>石柱县国有土地上房屋征收与补偿领域政务公开标准目录</w:t>
      </w:r>
    </w:p>
    <w:p/>
    <w:tbl>
      <w:tblPr>
        <w:tblStyle w:val="6"/>
        <w:tblW w:w="139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99"/>
        <w:gridCol w:w="716"/>
        <w:gridCol w:w="840"/>
        <w:gridCol w:w="1837"/>
        <w:gridCol w:w="3810"/>
        <w:gridCol w:w="1110"/>
        <w:gridCol w:w="870"/>
        <w:gridCol w:w="660"/>
        <w:gridCol w:w="645"/>
        <w:gridCol w:w="645"/>
        <w:gridCol w:w="570"/>
        <w:gridCol w:w="585"/>
        <w:gridCol w:w="615"/>
        <w:gridCol w:w="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18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3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事项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3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黑体_GBK" w:hAnsi="新宋体" w:eastAsia="方正黑体_GBK"/>
                <w:sz w:val="24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依申请公开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新宋体" w:eastAsia="方正黑体_GBK"/>
              </w:rPr>
            </w:pPr>
            <w:r>
              <w:rPr>
                <w:rFonts w:hint="eastAsia" w:ascii="方正黑体_GBK" w:hAnsi="新宋体" w:eastAsia="方正黑体_GBK" w:cs="黑体"/>
                <w:color w:val="000000"/>
                <w:kern w:val="0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法规</w:t>
            </w:r>
          </w:p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政策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国家层面法规政策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《政府信息公开条例》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■政府网站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地方层面法规政策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《重庆市国有土地上房屋征收与补偿办法（暂行）》；《石柱县国有土地上房屋征收与补偿办法（暂行）》。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《政府信息公开条例》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■政府网站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3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征收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房屋调查登记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入户调查结果。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《国有土地上房屋征收与补偿条例》；《国有土地上房屋征收评估办法》；《关于推进国有土地上房屋征收与补偿信息公开工作的实施意见》。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■入户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/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在征收范围内向被征收人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65" w:hRule="atLeast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4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房屋征收补偿方案拟订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论证结论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;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征求意见情况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;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根据公众意见修改情况。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个工作日内予以公开；征求意见期限不得少于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30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■其他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5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房屋征收决定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房屋征收决定公告（包括补偿方案和行政复议、行政诉讼权利等事项）。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■政府网站</w:t>
            </w:r>
          </w:p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■入户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/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在征收范围内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6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评估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房地产估价机构确定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房地产估价机构选定或确定通知。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《国有土地上房屋征收与补偿条例》；《国有土地上房屋征收评估办法》；《关于推进国有土地上房屋征收与补偿信息公开工作的实施意见》。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县（区、市）房屋征收部门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■入户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/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在征收范围内向被征收人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7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被征收房屋评估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分户的初步评估结果。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《国有土地上房屋征收与补偿条例》；《国有土地上房屋征收评估办法》；《关于推进国有土地上房屋征收与补偿信息公开工作的实施意见》。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县（区、市）房屋征收部门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■入户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/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color:black;"/>
                <w:kern w:val="0"/>
                <w:sz w:val="22"/>
                <w:szCs w:val="22"/>
              </w:rPr>
              <w:t>8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补偿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房屋征收补偿决定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房屋征收补偿决定公告。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《国有土地上房屋征收与补偿条例》；《关于推进国有土地上房屋征收与补偿信息公开工作的实施意见》。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 w:cstheme="minorEastAsia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信息形成或者变更之日起</w:t>
            </w:r>
            <w:r>
              <w:rPr>
                <w:rFonts w:hint="eastAsia" w:ascii="新宋体" w:hAnsi="新宋体" w:eastAsia="新宋体" w:cstheme="minorEastAsia"/>
                <w:kern w:val="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 w:cstheme="minorEastAsia"/>
                <w:color w:val="000000"/>
                <w:kern w:val="0"/>
                <w:sz w:val="22"/>
                <w:szCs w:val="22"/>
              </w:rPr>
              <w:t>个工作日内予以公开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县（区、市）人民政府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■入户</w:t>
            </w:r>
            <w:r>
              <w:rPr>
                <w:rFonts w:ascii="新宋体" w:hAnsi="新宋体" w:eastAsia="新宋体" w:cs="color:black;"/>
                <w:kern w:val="0"/>
                <w:sz w:val="22"/>
                <w:szCs w:val="22"/>
              </w:rPr>
              <w:t>/</w:t>
            </w: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现场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在征收范围内向被征收人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黑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/>
              </w:rPr>
            </w:pPr>
          </w:p>
        </w:tc>
      </w:tr>
    </w:tbl>
    <w:p/>
    <w:sectPr>
      <w:footerReference r:id="rId3" w:type="default"/>
      <w:footerReference r:id="rId4" w:type="even"/>
      <w:pgSz w:w="16840" w:h="11907" w:orient="landscape"/>
      <w:pgMar w:top="1797" w:right="1440" w:bottom="1797" w:left="1440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color:black;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 w:hAnsiTheme="majorHAnsi"/>
        <w:sz w:val="28"/>
        <w:szCs w:val="28"/>
        <w:lang w:val="zh-CN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 w:hAnsiTheme="majorHAnsi"/>
        <w:sz w:val="28"/>
        <w:szCs w:val="28"/>
        <w:lang w:val="zh-CN"/>
      </w:rPr>
      <w:t>1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 w:hAnsiTheme="majorHAns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 w:hAnsiTheme="majorHAnsi"/>
        <w:sz w:val="28"/>
        <w:szCs w:val="28"/>
        <w:lang w:val="zh-CN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 w:hAnsiTheme="majorHAnsi"/>
        <w:sz w:val="28"/>
        <w:szCs w:val="28"/>
        <w:lang w:val="zh-CN"/>
      </w:rPr>
      <w:t>2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 w:hAnsiTheme="majorHAns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2"/>
    <w:rsid w:val="003D4823"/>
    <w:rsid w:val="00414113"/>
    <w:rsid w:val="0045293B"/>
    <w:rsid w:val="005411F0"/>
    <w:rsid w:val="006317A1"/>
    <w:rsid w:val="00AB7792"/>
    <w:rsid w:val="00DC0C6A"/>
    <w:rsid w:val="00DD6C2B"/>
    <w:rsid w:val="07B14BEF"/>
    <w:rsid w:val="07CB3DE5"/>
    <w:rsid w:val="1610526D"/>
    <w:rsid w:val="1CA73733"/>
    <w:rsid w:val="1F065F20"/>
    <w:rsid w:val="2467418E"/>
    <w:rsid w:val="33091420"/>
    <w:rsid w:val="3FFF158C"/>
    <w:rsid w:val="4D48302F"/>
    <w:rsid w:val="54D2091D"/>
    <w:rsid w:val="604B19F9"/>
    <w:rsid w:val="678A37EC"/>
    <w:rsid w:val="6A8963AF"/>
    <w:rsid w:val="6DA42EF3"/>
    <w:rsid w:val="7171001F"/>
    <w:rsid w:val="787331F4"/>
    <w:rsid w:val="7DBC6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txt_color"/>
    <w:basedOn w:val="7"/>
    <w:qFormat/>
    <w:uiPriority w:val="0"/>
    <w:rPr>
      <w:color w:val="C0C0C0"/>
    </w:rPr>
  </w:style>
  <w:style w:type="character" w:customStyle="1" w:styleId="9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10">
    <w:name w:val="hover8"/>
    <w:basedOn w:val="7"/>
    <w:qFormat/>
    <w:uiPriority w:val="0"/>
    <w:rPr>
      <w:color w:val="FF0000"/>
    </w:rPr>
  </w:style>
  <w:style w:type="character" w:customStyle="1" w:styleId="11">
    <w:name w:val="hover9"/>
    <w:basedOn w:val="7"/>
    <w:qFormat/>
    <w:uiPriority w:val="0"/>
    <w:rPr>
      <w:color w:val="FF0000"/>
    </w:rPr>
  </w:style>
  <w:style w:type="character" w:customStyle="1" w:styleId="12">
    <w:name w:val="first-child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1194</Words>
  <Characters>188</Characters>
  <Lines>1</Lines>
  <Paragraphs>2</Paragraphs>
  <TotalTime>7</TotalTime>
  <ScaleCrop>false</ScaleCrop>
  <LinksUpToDate>false</LinksUpToDate>
  <CharactersWithSpaces>1380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2020-09-18T15:11:00Z</dcterms:created>
  <dc:creator>Administrator</dc:creator>
  <cp:lastModifiedBy>user</cp:lastModifiedBy>
  <cp:lastPrinted>2020-10-26T17:35:00Z</cp:lastPrinted>
  <dcterms:modified xsi:type="dcterms:W3CDTF">2022-12-08T19:30:57Z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