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58A2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石柱土家族自治县环境卫生所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年度决算说明</w:t>
      </w:r>
    </w:p>
    <w:p w14:paraId="64B7A3E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sz w:val="32"/>
          <w:szCs w:val="32"/>
          <w:shd w:val="clear" w:color="auto" w:fill="FFFFFF"/>
        </w:rPr>
        <w:t>一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、单位基本情况</w:t>
      </w:r>
    </w:p>
    <w:p w14:paraId="12B73F0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textAlignment w:val="auto"/>
        <w:rPr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shd w:val="clear" w:color="auto" w:fill="FFFFFF"/>
        </w:rPr>
        <w:t>（一）职能职责</w:t>
      </w:r>
    </w:p>
    <w:p w14:paraId="00A4DC1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主要职责任务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负责城市环境卫生的日常监督、检查工作；负责城市环境卫生设施建设、营运、维护工作；负责城市街道、公园广场的清扫、清运和垃圾处置；负责城市水域环境清漂和保洁、乡镇生活垃圾的收运和处置等工作。</w:t>
      </w:r>
    </w:p>
    <w:p w14:paraId="0442B40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具体职责任务：负责城市环境卫生的日常监督、检查工作；负责城市环境卫生设施建设、运营、维护工作；负责对城市环境卫生的清扫、清运和垃圾处置的日常监督检查工作；负责城市公园、广场的清扫保洁工作；负责城市道路的冲洗保洁工作；负责具体实施城市水域环境及长江主干流域（西沱至沿溪段）及县境内次级河流清漂保洁工作；负责城区内市政公厕的管理工作；负责乡镇生活垃圾的收运和处置；承担城市管理局领导交办的其他工作。</w:t>
      </w:r>
    </w:p>
    <w:p w14:paraId="657AB84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hint="default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情况说明</w:t>
      </w:r>
    </w:p>
    <w:p w14:paraId="482E75F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（一）收入支出决算总体情况说明</w:t>
      </w:r>
    </w:p>
    <w:p w14:paraId="77CDE114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3732.63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收、支与2023年度相比，增加277.82万元，增长8.0%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本年度预算项目增加。</w:t>
      </w:r>
    </w:p>
    <w:p w14:paraId="23C45CFA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3732.63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与2023年度相比，增加277.82万元，增长8.0%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预算项目增加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。其中：财政拨款收入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3732.63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万元。</w:t>
      </w:r>
    </w:p>
    <w:p w14:paraId="2E100E8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3732.63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与2023年度相比，增加277.82万元，增长8.0%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项目支出增加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。其中：基本支出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186.57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5.0%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3546.07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95.0%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万元。</w:t>
      </w:r>
    </w:p>
    <w:p w14:paraId="1656364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Style w:val="8"/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。</w:t>
      </w:r>
    </w:p>
    <w:p w14:paraId="1ED0503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（二）财政拨款收入支出决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算总体情况说明</w:t>
      </w:r>
    </w:p>
    <w:p w14:paraId="17C6027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3732.63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财政拨款收、支总计各增加277.82万元，增长8.0%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本年度项目增加。</w:t>
      </w:r>
    </w:p>
    <w:p w14:paraId="6C4196E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（三）一般公共预算财政拨款收入支出决算情况说明</w:t>
      </w:r>
    </w:p>
    <w:p w14:paraId="60A09A1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b w:val="0"/>
          <w:bCs/>
          <w:color w:val="auto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b w:val="0"/>
          <w:bCs/>
          <w:color w:val="auto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3687.69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与2023年度相比，增加272.88万元，增长8.0%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本年度项目增加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较年初预算数减少95.31万元，下降2.5%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年初预算数未足额批复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。此外，年初财政拨款结转和结余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</w:t>
      </w:r>
    </w:p>
    <w:p w14:paraId="3D8912C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b w:val="0"/>
          <w:bCs/>
          <w:color w:val="auto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b w:val="0"/>
          <w:bCs/>
          <w:color w:val="auto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3687.69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与2023年度相比，增加272.88万元，增长8.0%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本年度项目增加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较年初预算数减少95.31万元，下降2.5%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年初预算数未足额批复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3E4F30C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  <w:t>：</w:t>
      </w:r>
    </w:p>
    <w:p w14:paraId="205C4D6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49.65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1.4%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较年初预算数增加6.89万元，增长16.1%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社保缴费基数上调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7763924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10.64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0.3%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较年初预算数增加0.21万元，增长2.0%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社保缴费基数上调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4F6AC2B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）节能环保支出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1736.07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47.1%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较年初预算数减少1476.32万元，下降46.0%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本年度安排的节能环保支出项目减少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394B583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）城乡社区支出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1884.34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51.1%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较年初预算数增加1373.81万元，增长269.1%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本年度安排的城乡社区支出项目增加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75D10132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7.00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0.2%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较年初预算数增加0.11万元，增长1.6%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公积金缴费基数上调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4B1AD59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b w:val="0"/>
          <w:bCs/>
          <w:color w:val="auto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b w:val="0"/>
          <w:bCs/>
          <w:color w:val="auto"/>
          <w:sz w:val="32"/>
          <w:szCs w:val="32"/>
          <w:shd w:val="clear" w:color="auto" w:fill="FFFFFF"/>
        </w:rPr>
        <w:t>.结转结余情况</w:t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45194FA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（四）一般公共预算财政拨款基本支出决算情况说明</w:t>
      </w:r>
    </w:p>
    <w:p w14:paraId="7FCE1CA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186.57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</w:t>
      </w:r>
    </w:p>
    <w:p w14:paraId="695ABCA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其中：</w:t>
      </w:r>
    </w:p>
    <w:p w14:paraId="613E5CB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164.42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与2023年度相比，减少18.55万元，下降10.1%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本年度减少一名职工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。人员经费用途主要包括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基本工资、津贴补贴、奖金、绩效工资、社会保障缴费、住房公积金、对个人和家庭的补助等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2E4D308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22.15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与2023年度相比，减少3.10万元，下降12.3%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进一步落实政府过“紧日子”的要求，压缩经费支出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公用经费用途主要包括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办公费、水费、电费、邮电费、差旅费、物业管理费、公务用车运行维护费、公务接待费等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6EAEEB3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（五）政府性基金预算收支决算情况说明</w:t>
      </w:r>
    </w:p>
    <w:p w14:paraId="1BB0128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44.94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与2023年度相比，增加4.94万元，增长12.4%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本年度基金预算的项目增加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。本年支出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44.94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与2023年度相比，增加4.94万元，增长12.4%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本年度安排基金支出的项目增加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169239F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（六）国有资本经营预算财政拨款支出决算情况说明</w:t>
      </w:r>
    </w:p>
    <w:p w14:paraId="7BA890C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年度无国有资本经营预算财政拨款支出。</w:t>
      </w:r>
    </w:p>
    <w:p w14:paraId="246B51B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hint="default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“三公”经费情况说明</w:t>
      </w:r>
    </w:p>
    <w:p w14:paraId="493F39C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（一）“三公”经费支出总体情况说明</w:t>
      </w:r>
    </w:p>
    <w:p w14:paraId="37C28A0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进一步落实政府过“紧日子”的要求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主要原因是环卫作业车辆产生的运行维护费调整到其他交通费中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0EC941C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（二）“三公”经费分项支出情况</w:t>
      </w:r>
    </w:p>
    <w:p w14:paraId="3134928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年度本单位因公出国（境）费用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0.00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万元，费用支出较年初预算数无增减，主要原因是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本单位202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年度未发生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因公出国（境）费用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较上年支出数无增减，主要原因是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本单位202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年度未发生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因公出国（境）费用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0B55A25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 公务车购置费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0.00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万元，费用支出较年初预算数无增减，主要原因是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本单位202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年未发生公务车购置费支出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。较上年支出数无增减，主要原因是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本单位202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年未发生公务车购置费支出。</w:t>
      </w:r>
    </w:p>
    <w:p w14:paraId="3C9C57B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 公务车运行维护费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0.00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万元，费用支出较年初预算数无增减，主要原因是环卫作业车辆产生的运行维护费调整到其他交通费中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29EED8F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0.00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万元，费用支出较年初预算数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无增减，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主要原因是严格控制公务接待费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7219C1C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（三）“三公”经费实物量情况</w:t>
      </w:r>
    </w:p>
    <w:p w14:paraId="5B397DF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</w:t>
      </w:r>
    </w:p>
    <w:p w14:paraId="6692EF3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hint="default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四、其他需要说明的事项</w:t>
      </w:r>
    </w:p>
    <w:p w14:paraId="106239A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（一）财政拨款会议费、培训费和差旅费情况说明</w:t>
      </w:r>
    </w:p>
    <w:p w14:paraId="1A19203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本年度未产生会议费支出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。本年度培训费支出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0.34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与2023年度相比，增加0.34万元，增长100.0%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上年度失业人员培训未在财政预算资金中列支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。本年度差旅费支出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13.01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与2023年度相比，减少0.89万元，下降6.4%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进一步落实政府过“紧日子”的要求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2D483F2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（二）机关运行经费情况说明</w:t>
      </w:r>
    </w:p>
    <w:p w14:paraId="7B09149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按照部门决算列报口径，我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不在机关运行经费统计范围之内。</w:t>
      </w:r>
    </w:p>
    <w:p w14:paraId="50B6750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（三）国有资产占用情况说明</w:t>
      </w:r>
    </w:p>
    <w:p w14:paraId="3649805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共有车辆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65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辆，特种专业技术用车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65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台（套）。</w:t>
      </w:r>
    </w:p>
    <w:p w14:paraId="1E1735E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shd w:val="clear" w:color="auto" w:fill="FFFFFF"/>
        </w:rPr>
        <w:t>（四）政府采购支出情况说明</w:t>
      </w:r>
    </w:p>
    <w:p w14:paraId="1CA8D35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政府采购支出总额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149.80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149.80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149.80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149.80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。主要用于采购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长江沿线巡逻快艇。</w:t>
      </w: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2810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5E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3181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AE4048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石柱土家族自治县环境卫生所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65E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45DB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A63CE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CAF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28E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2C88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54CA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8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7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9F2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B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36,876,915.83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8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0C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1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18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9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9E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1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E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96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E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41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F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7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FE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3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F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60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B03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1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496,504.03 </w:t>
            </w:r>
          </w:p>
        </w:tc>
      </w:tr>
      <w:tr w14:paraId="0D83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1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1B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3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9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106,361.96 </w:t>
            </w:r>
          </w:p>
        </w:tc>
      </w:tr>
      <w:tr w14:paraId="7B82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6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3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4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17,360,654.54 </w:t>
            </w:r>
          </w:p>
        </w:tc>
      </w:tr>
      <w:tr w14:paraId="1219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6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8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9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F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18,843,418.14 </w:t>
            </w:r>
          </w:p>
        </w:tc>
      </w:tr>
      <w:tr w14:paraId="68B7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8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DD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4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449,400.00 </w:t>
            </w:r>
          </w:p>
        </w:tc>
      </w:tr>
      <w:tr w14:paraId="39EE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3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A1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3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7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00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A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6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F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33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4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1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5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80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8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2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6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3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F4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1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5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B2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2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9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2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2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C70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8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8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A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69,977.16 </w:t>
            </w:r>
          </w:p>
        </w:tc>
      </w:tr>
      <w:tr w14:paraId="1C6D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6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F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B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F1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B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9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B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C1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6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7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0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8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17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8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8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8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3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82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F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8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9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A9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F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7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CF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8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B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5B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0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37,326,315.83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C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37,326,315.83 </w:t>
            </w:r>
          </w:p>
        </w:tc>
      </w:tr>
      <w:tr w14:paraId="73E4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1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F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85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E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6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B2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D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5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37,326,315.83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37,326,315.83</w:t>
            </w:r>
          </w:p>
        </w:tc>
      </w:tr>
    </w:tbl>
    <w:p w14:paraId="71CC046C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01A031E6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425E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49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4D09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403B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石柱土家族自治县环境卫生所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FB90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4E9EE4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1AF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22A0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4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2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4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C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8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3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6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4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5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1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A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9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D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1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D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7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8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0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B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B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5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E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6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B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E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8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7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B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C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7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0679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5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A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C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37,326,315.83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B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37,326,315.83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B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1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F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09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B73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6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496,504.03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0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496,504.03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2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5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6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D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D8D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019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B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7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496,504.03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496,504.03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8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C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D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4A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0EE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C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286,350.00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C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286,350.00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C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9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A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7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7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74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84E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8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B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140,090.28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2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140,090.28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B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6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B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E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8A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C5D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5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5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70,063.75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5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70,063.75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6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8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2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6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72D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401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0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3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106,361.96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6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106,361.96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E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2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F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C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E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AD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5BD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3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106,361.96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D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106,361.96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A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5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C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E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FEB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C99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A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5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56,661.96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4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56,661.96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E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A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5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B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41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0EC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B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C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2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2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B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A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5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51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6DE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F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9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17,360,654.54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17,360,654.54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0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0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2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29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67A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D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污染防治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A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17,360,654.54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3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17,360,654.54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7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7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90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FC9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2110304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8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固体废弃物与化学品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2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963,868.81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B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963,868.81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9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A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C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2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A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1D5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39F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2110399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4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其他污染防治支出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3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16,396,785.73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2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16,396,785.73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C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A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C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4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6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28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EF0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6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18,843,418.14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3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18,843,418.14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3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0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9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4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C1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ABF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9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A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18,843,418.14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2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18,843,418.14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2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3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8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9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9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5B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DD3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B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7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18,843,418.14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4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18,843,418.14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6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E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9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B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8E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A26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2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6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0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4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4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6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2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7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4D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639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21369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9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国家重大水利工程建设基金安排的支出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1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2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2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4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B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070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D9C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2136902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9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三峡后续工作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1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5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4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7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B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F6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3B4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5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4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B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5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4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7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2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03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DD1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F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E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0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D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2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6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53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15C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A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E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C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0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3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3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4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2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A5AE0D7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6C81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2F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2672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D4B9D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石柱土家族自治县环境卫生所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D57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2D8B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2457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622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57B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32E9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4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4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2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D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4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F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7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8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6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8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C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D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F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D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5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F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D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B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6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C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4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D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5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8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8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E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B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E8F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5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3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0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C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37,326,315.83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C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1,865,661.29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E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35,460,654.54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E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1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6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C7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B77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4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C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496,504.03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D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496,504.03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8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4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E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CC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E68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B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0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496,504.03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0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496,504.03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0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7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B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6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BF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DE5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9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F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286,350.00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2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286,350.00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2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B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C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A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1B9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197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6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4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140,090.28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140,090.28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B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5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0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B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A7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B46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2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1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70,063.75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1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70,063.75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7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A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54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72A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3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106,361.96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7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106,361.96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F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C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65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6C6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A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4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106,361.96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106,361.96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2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E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2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2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9F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181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7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9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56,661.96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2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56,661.96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9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2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EA2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853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0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D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7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0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CB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A30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8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17,360,654.54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0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5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17,360,654.54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E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F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A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129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E3C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污染防治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D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17,360,654.54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F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7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17,360,654.54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F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4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45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A46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2110304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4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固体废弃物与化学品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B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963,868.81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5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B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963,868.81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A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9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7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EA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EF0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2110399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其他污染防治支出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E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16,396,785.73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1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0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16,396,785.73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B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8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3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3F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98E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C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6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18,843,418.14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6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1,192,818.14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3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17,650,600.00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0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287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964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B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9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18,843,418.14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6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1,192,818.14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17,650,600.00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3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7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E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141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CFA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2120501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8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18,843,418.14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2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1,192,818.14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17,650,600.00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5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E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53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039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C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7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1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7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7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D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38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02F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21369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国家重大水利工程建设基金安排的支出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E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A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F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3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E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E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B6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191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2136902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0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三峡后续工作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7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2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0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4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F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0D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2F2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F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A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6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A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3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D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1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DB0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F3C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7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D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F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4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A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D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B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18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97A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E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8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B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C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9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8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E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6CDA173C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05FC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3B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0649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8F420C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石柱土家族自治县环境卫生所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578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6E65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F784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0D0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440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6B02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3394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7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E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6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8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4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5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0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D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B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5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3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A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91C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E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36,876,915.83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3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6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C4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9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0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7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D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C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65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F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E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7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3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7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33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16E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D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F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E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8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5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AE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F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7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6D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B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D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3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8C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D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1A8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C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E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B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F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2F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B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8AB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3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1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B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1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8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13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D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33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F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496,504.03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2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496,504.03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8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0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9A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1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94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3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106,361.96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9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106,361.96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2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9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EF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6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A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17,360,654.54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0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17,360,654.54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8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9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EB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7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C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18,843,418.14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A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18,843,418.14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F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D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A2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4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C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B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4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0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D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B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7C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0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3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3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B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4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C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D1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0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E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1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0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18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0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3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0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E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F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C2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C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0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3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4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3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E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EE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A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A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0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9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B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1C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D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F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6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2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C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26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A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4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2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A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8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2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D6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9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6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B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6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39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5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B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B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D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0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02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6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0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1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D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1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BE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0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F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0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8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2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09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2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E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2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CB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1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1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2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9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C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B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C1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B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B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2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0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A2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0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37,326,315.83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C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37,326,315.83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0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36,876,915.83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8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1E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E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C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1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7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43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2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A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F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CE2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A1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CE6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8BB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A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4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B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9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E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0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6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4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2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7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F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8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3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8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D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9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37,326,315.83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C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37,326,315.83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A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36,876,915.83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7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449,400.00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E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446E58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BA5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72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6DFA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576764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石柱土家族自治县环境卫生所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E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5913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8E39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F74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178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57D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2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E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7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1F6B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A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0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7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3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1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B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C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9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1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248F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1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4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4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9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2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6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2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2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A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4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6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D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C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6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DC4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F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8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9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0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F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0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36,876,915.83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1,865,661.29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35,011,254.54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0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36,876,915.83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3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1,865,661.29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D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35,011,254.54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B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4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A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1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1DC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A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B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7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C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3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496,504.03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C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496,504.03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2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0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496,504.03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C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496,504.03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6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E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6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4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E4A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F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8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6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6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5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D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496,504.03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1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496,504.03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B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A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496,504.03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496,504.03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3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7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8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C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C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FF2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1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5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1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8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3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B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286,350.00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0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286,350.00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4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286,350.00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9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286,350.00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E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2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E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91D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D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5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E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D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2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5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140,090.28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8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140,090.28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B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E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140,090.28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9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140,090.28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F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8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0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C55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6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0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9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4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70,063.75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0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70,063.75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1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9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70,063.75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3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70,063.75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F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5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D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2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B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904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C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7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3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A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0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106,361.96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B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106,361.96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A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7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106,361.96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F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106,361.96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C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5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4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9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143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E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7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6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9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E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106,361.96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8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106,361.96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2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B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106,361.96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1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106,361.96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A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B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0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0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7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D92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0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F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2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F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D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2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56,661.96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6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56,661.96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9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56,661.96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4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56,661.96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B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E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0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F90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2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E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2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9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49,700.00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1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49,700.00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E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6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49,700.00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7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49,700.00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E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4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7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C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83D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5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F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节能环保支出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5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A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5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17,360,654.54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B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3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17,360,654.54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A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17,360,654.54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0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9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17,360,654.54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1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9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9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7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A06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9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21103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3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污染防治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4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9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6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17,360,654.54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7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5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17,360,654.54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1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17,360,654.54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6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17,360,654.54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E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2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F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9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BA9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F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2110304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E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固体废弃物与化学品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C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1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C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3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963,868.81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1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0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963,868.81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963,868.81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5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B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963,868.81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1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5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1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0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E45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2110399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其他污染防治支出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E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7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9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A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16,396,785.73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5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5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16,396,785.73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0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16,396,785.73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0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2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16,396,785.73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F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3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6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5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DCD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8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A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D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3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2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18,843,418.14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E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1,192,818.14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E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17,650,600.00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C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18,843,418.14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3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1,192,818.14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8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17,650,600.00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D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B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1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D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CC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9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C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D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A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0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1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18,843,418.14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1,192,818.14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4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17,650,600.00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D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18,843,418.14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D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1,192,818.14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7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17,650,600.00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0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1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D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CC8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2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2120501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5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4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D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8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18,843,418.14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C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1,192,818.14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B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17,650,600.00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4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18,843,418.14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D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1,192,818.14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17,650,600.00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0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F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C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9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48F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3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9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0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C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69,977.16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6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69,977.16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4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F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69,977.16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E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69,977.16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3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C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A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A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8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309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7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8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B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8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B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69,977.16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0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69,977.16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7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3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69,977.16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4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69,977.16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0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5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B86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1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E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F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C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A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69,977.16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3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69,977.16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8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5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69,977.16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69,977.16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E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5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8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F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08F5179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BFF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92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4E6A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15B04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石柱土家族自治县环境卫生所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F6B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2914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3805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69F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152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74AA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5639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7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A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5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4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F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C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0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0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3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5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8D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56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AF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1,322,823.93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5A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07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58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221,487.36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ED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62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AE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4E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32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C6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DE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339,712.00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31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71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D5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61,903.32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0A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A0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5C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9E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35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7B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CC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44,676.00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AE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4C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F3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52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03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B0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EE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AF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AA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1E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3D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E1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74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EB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9C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74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BD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17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04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4B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78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D0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3F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B9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8E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4A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2F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91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6B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31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579,362.00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FF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B8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80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C0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55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FF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7F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76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EB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5D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140,090.28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06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F6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20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29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09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B6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DC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BE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8F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24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70,063.75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47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E2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4E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C3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34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DD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4D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51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FC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5D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59,533.80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E2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1D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CA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C5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CC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10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FB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6B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D7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CF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08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8C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F0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8,490.80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ED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E7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48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B3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D0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E9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26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4,708.94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94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07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19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41,650.00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D3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D8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39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77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D7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20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41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69,977.16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B3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27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94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06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76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F3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60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7A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AD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15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14,700.00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E0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EB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59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B7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38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9A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53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A9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27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F7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CC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CF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A8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C4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D7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09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A9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35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0D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CF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321,350.00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80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66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4B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A7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95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0B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CD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BB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F0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43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39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B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97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2,618.50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6C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AC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2F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8A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29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86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F4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0A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66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31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26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C9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77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5D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A0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35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99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77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1C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7B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03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87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88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9C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C9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06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ED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54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39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22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3F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A3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53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BA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4E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0D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C5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286,350.00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4D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D4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A5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5C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5C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05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7D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6B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78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3E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C3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13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5E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AB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3E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B5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F2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6A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43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32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FF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CF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AA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CB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A4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9F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B0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E9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29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10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8B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BB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8A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11,487.36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B5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31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1E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54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E7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7E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BC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A0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72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13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D6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B4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E5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AE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AE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16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77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4F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24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32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90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71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66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3C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35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90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B8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E9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45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41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39,249.78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DD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B7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105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31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C6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35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3407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D5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DF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40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64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2C9A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5D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F2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CA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B0AE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6325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5C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25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9B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50,087.60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F7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8822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C3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0D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B6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A42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D5F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01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4C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D0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B1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A4A9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8E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F3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A5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9F71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402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45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15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DE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87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108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E2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58E5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7B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DD59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2931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F3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0C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67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79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7AC8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7C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9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AA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6354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16D3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F0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51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09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3A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780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93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F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74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10D6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2E7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9F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D8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87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06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5B46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DB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5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10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E20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1,644,173.93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92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F8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221,487.36 </w:t>
            </w:r>
          </w:p>
        </w:tc>
      </w:tr>
    </w:tbl>
    <w:p w14:paraId="23E01D3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08B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3D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1E1D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8DE109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石柱土家族自治县环境卫生所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9B5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3289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0765F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95B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70C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6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0955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6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C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0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5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4358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B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F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B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3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0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A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1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9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3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E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B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9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C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1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21DE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5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F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9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6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C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0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F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7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1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8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6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B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0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D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9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2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236E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D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4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7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0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C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9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3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3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D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F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2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2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E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B9C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A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6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4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9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B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0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1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F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2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8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7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5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709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F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21369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F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国家重大水利工程建设基金安排的支出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4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3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1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E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9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5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C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0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C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E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D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2F9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3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2136902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D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三峡后续工作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0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0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B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9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4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B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C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6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449,400.00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F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4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A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655B5E3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7F7E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94A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1AB8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4CC65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石柱土家族自治县环境卫生所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1D5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7AEF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B09B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AF2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A62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0904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09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D1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E2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19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55F7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2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3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5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6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F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6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E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D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4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9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B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E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6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1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9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D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3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0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E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5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D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9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0E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F4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66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D0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A8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81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DE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3F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41B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C3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60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C3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3C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4F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22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42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51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D0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93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97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A3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EC6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C9D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A1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51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E5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79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5D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9B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D0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51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3F252A5D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5A94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5E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7825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75232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石柱土家族自治县环境卫生所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8D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41D7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4CDC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BCE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4F7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C9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D2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741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F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FD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A9B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AD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37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E34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98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8D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AF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F3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5A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B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F19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87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BD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E9A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BA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C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76E7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773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D7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B6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E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53   </w:t>
            </w:r>
          </w:p>
        </w:tc>
      </w:tr>
      <w:tr w14:paraId="6348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B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97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AC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FAF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F1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5D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8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C4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3EF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91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F34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78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73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C1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44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B2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CD6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3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B13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1F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DE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B3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8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320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D4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03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D1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207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53 </w:t>
            </w:r>
          </w:p>
        </w:tc>
      </w:tr>
      <w:tr w14:paraId="7ADA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E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F7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A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B7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94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E4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95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BE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FF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4BB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E8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9A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8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F1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50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A3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14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D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C0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6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6771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4E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A4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6E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B1E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1,498,000.00 </w:t>
            </w:r>
          </w:p>
        </w:tc>
      </w:tr>
      <w:tr w14:paraId="591A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5E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F6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E1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262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1,498,000.00 </w:t>
            </w:r>
          </w:p>
        </w:tc>
      </w:tr>
      <w:tr w14:paraId="63F5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A4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DA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5A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FF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A5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50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F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22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1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D3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FF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E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307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50A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1,498,000.00 </w:t>
            </w:r>
          </w:p>
        </w:tc>
      </w:tr>
      <w:tr w14:paraId="6E89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99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A5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B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14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1,498,000.00 </w:t>
            </w:r>
          </w:p>
        </w:tc>
      </w:tr>
      <w:tr w14:paraId="6400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46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2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A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CD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6D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3D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04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3,447.50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5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25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6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9E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130,123.00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8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375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E3F2074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9FB1AB4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45D8F6C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AB4A786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742BD6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AAD33FF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D6AFFF2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CC3A6F4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8D086E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5796A9E"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5" w:type="default"/>
      <w:footerReference r:id="rId6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CA951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674388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74388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DEC913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CDEC913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68DCE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C6A91F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6A91F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883B09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B883B09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C4600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EC610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E651252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0CA1C98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2319C9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1D419CD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296237"/>
    <w:rsid w:val="6D903FF5"/>
    <w:rsid w:val="6DA955B8"/>
    <w:rsid w:val="6DE346AB"/>
    <w:rsid w:val="6F7F6A2D"/>
    <w:rsid w:val="6FB442D1"/>
    <w:rsid w:val="6FFB2E76"/>
    <w:rsid w:val="70C355DB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8780</Words>
  <Characters>14439</Characters>
  <Lines>161</Lines>
  <Paragraphs>45</Paragraphs>
  <TotalTime>14</TotalTime>
  <ScaleCrop>false</ScaleCrop>
  <LinksUpToDate>false</LinksUpToDate>
  <CharactersWithSpaces>15766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こ彼岸︵妩埖</cp:lastModifiedBy>
  <dcterms:modified xsi:type="dcterms:W3CDTF">2025-10-13T01:19:26Z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eyJoZGlkIjoiNTJkMmUwNjY3N2EzYTE1ZGFlOGRkM2VjODg5MGU0MjMiLCJ1c2VySWQiOiIzMjI1Nzc2NDQifQ==</vt:lpwstr>
  </property>
</Properties>
</file>