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hint="default" w:ascii="Times New Roman" w:hAnsi="Times New Roman" w:eastAsia="方正小标宋简体"/>
          <w:sz w:val="44"/>
          <w:szCs w:val="44"/>
          <w:shd w:val="clear" w:color="auto" w:fill="FFFFFF"/>
        </w:rPr>
      </w:pPr>
      <w:r>
        <w:rPr>
          <w:rFonts w:hint="default" w:ascii="Times New Roman" w:hAnsi="Times New Roman" w:eastAsia="方正小标宋简体"/>
          <w:sz w:val="44"/>
          <w:szCs w:val="44"/>
        </w:rPr>
        <w:t>重庆市石柱土家族自治县住房和城乡建设委员会</w:t>
      </w:r>
      <w:r>
        <w:rPr>
          <w:rFonts w:ascii="Times New Roman" w:hAnsi="Times New Roman" w:eastAsia="方正小标宋简体"/>
          <w:sz w:val="44"/>
          <w:szCs w:val="44"/>
        </w:rPr>
        <w:t>（部门）</w:t>
      </w:r>
      <w:r>
        <w:rPr>
          <w:rFonts w:hint="default" w:ascii="Times New Roman" w:hAnsi="Times New Roman" w:eastAsia="方正小标宋简体"/>
          <w:sz w:val="44"/>
          <w:szCs w:val="44"/>
          <w:shd w:val="clear" w:color="auto" w:fill="FFFFFF"/>
        </w:rPr>
        <w:t>2023年度决算公开说明</w:t>
      </w:r>
    </w:p>
    <w:p>
      <w:pPr>
        <w:pStyle w:val="6"/>
        <w:spacing w:before="0" w:beforeAutospacing="0" w:after="0" w:afterAutospacing="0" w:line="560" w:lineRule="exact"/>
        <w:jc w:val="center"/>
        <w:rPr>
          <w:rFonts w:hint="default" w:ascii="Times New Roman" w:hAnsi="Times New Roman" w:eastAsia="方正小标宋简体"/>
          <w:sz w:val="44"/>
          <w:szCs w:val="44"/>
          <w:shd w:val="clear" w:color="auto" w:fill="FFFFFF"/>
        </w:rPr>
      </w:pPr>
    </w:p>
    <w:p>
      <w:pPr>
        <w:pStyle w:val="6"/>
        <w:shd w:val="clear" w:color="auto" w:fill="FFFFFF"/>
        <w:spacing w:before="0" w:beforeAutospacing="0" w:after="0" w:afterAutospacing="0" w:line="560" w:lineRule="exact"/>
        <w:ind w:firstLine="640" w:firstLineChars="200"/>
        <w:rPr>
          <w:rFonts w:hint="default" w:ascii="Times New Roman" w:hAnsi="Times New Roman" w:eastAsia="方正黑体_GBK"/>
          <w:bCs/>
          <w:sz w:val="32"/>
          <w:szCs w:val="32"/>
        </w:rPr>
      </w:pPr>
      <w:r>
        <w:rPr>
          <w:rStyle w:val="10"/>
          <w:rFonts w:hint="default" w:ascii="Times New Roman" w:hAnsi="Times New Roman" w:eastAsia="方正黑体_GBK"/>
          <w:b w:val="0"/>
          <w:bCs/>
          <w:sz w:val="32"/>
          <w:szCs w:val="32"/>
          <w:shd w:val="clear" w:color="auto" w:fill="FFFFFF"/>
        </w:rPr>
        <w:t>一、部门基本情况</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（一）职能职责</w:t>
      </w:r>
    </w:p>
    <w:p>
      <w:pPr>
        <w:pStyle w:val="6"/>
        <w:spacing w:before="0" w:beforeAutospacing="0" w:after="0" w:afterAutospacing="0" w:line="560" w:lineRule="exact"/>
        <w:ind w:firstLine="640" w:firstLineChars="200"/>
        <w:textAlignment w:val="baseline"/>
        <w:rPr>
          <w:rFonts w:hint="default" w:ascii="Times New Roman" w:hAnsi="Times New Roman" w:eastAsia="微软雅黑"/>
          <w:color w:val="000000"/>
          <w:sz w:val="32"/>
          <w:szCs w:val="32"/>
        </w:rPr>
      </w:pPr>
      <w:r>
        <w:rPr>
          <w:rFonts w:hint="default" w:ascii="Times New Roman" w:hAnsi="Times New Roman" w:eastAsia="方正仿宋_GBK"/>
          <w:color w:val="000000"/>
          <w:sz w:val="32"/>
          <w:szCs w:val="32"/>
        </w:rPr>
        <w:t>1.负责推进住房和城乡建设事业改革发展。贯彻执行住房和城乡建设工作的</w:t>
      </w:r>
      <w:r>
        <w:rPr>
          <w:rFonts w:ascii="Times New Roman" w:hAnsi="Times New Roman" w:eastAsia="方正仿宋_GBK"/>
          <w:color w:val="000000"/>
          <w:sz w:val="32"/>
          <w:szCs w:val="32"/>
        </w:rPr>
        <w:t>法律法规</w:t>
      </w:r>
      <w:r>
        <w:rPr>
          <w:rFonts w:hint="default" w:ascii="Times New Roman" w:hAnsi="Times New Roman" w:eastAsia="方正仿宋_GBK"/>
          <w:color w:val="000000"/>
          <w:sz w:val="32"/>
          <w:szCs w:val="32"/>
        </w:rPr>
        <w:t>、规章和方针政策。负责规范城乡建设管理秩序。负责拟订住房和城乡建设发展中长期规划和年度计划等规范性文件，并组织实施。</w:t>
      </w:r>
    </w:p>
    <w:p>
      <w:pPr>
        <w:pStyle w:val="6"/>
        <w:spacing w:before="0" w:beforeAutospacing="0" w:after="0" w:afterAutospacing="0" w:line="560" w:lineRule="exact"/>
        <w:ind w:firstLine="640" w:firstLineChars="200"/>
        <w:textAlignment w:val="baseline"/>
        <w:rPr>
          <w:rFonts w:hint="default" w:ascii="Times New Roman" w:hAnsi="Times New Roman" w:eastAsia="微软雅黑"/>
          <w:color w:val="000000"/>
          <w:sz w:val="32"/>
          <w:szCs w:val="32"/>
        </w:rPr>
      </w:pPr>
      <w:r>
        <w:rPr>
          <w:rFonts w:hint="default" w:ascii="Times New Roman" w:hAnsi="Times New Roman" w:eastAsia="方正仿宋_GBK"/>
          <w:color w:val="000000"/>
          <w:sz w:val="32"/>
          <w:szCs w:val="32"/>
        </w:rPr>
        <w:t>2.负责住房和城乡建设财政性资金的监督管理。会同财政部门筹集住房和城乡建设财政性资金，编制收支年度计划并下达。监督管理住房和城乡建设财政性资金的使用。指导所属单位的财务、审计、国有资产管理工作。</w:t>
      </w:r>
    </w:p>
    <w:p>
      <w:pPr>
        <w:pStyle w:val="6"/>
        <w:spacing w:before="0" w:beforeAutospacing="0" w:after="0" w:afterAutospacing="0" w:line="560" w:lineRule="exact"/>
        <w:ind w:firstLine="640" w:firstLineChars="200"/>
        <w:textAlignment w:val="baseline"/>
        <w:rPr>
          <w:rFonts w:hint="default" w:ascii="Times New Roman" w:hAnsi="Times New Roman" w:eastAsia="微软雅黑"/>
          <w:color w:val="000000"/>
          <w:sz w:val="32"/>
          <w:szCs w:val="32"/>
        </w:rPr>
      </w:pPr>
      <w:r>
        <w:rPr>
          <w:rFonts w:hint="default" w:ascii="Times New Roman" w:hAnsi="Times New Roman" w:eastAsia="方正仿宋_GBK"/>
          <w:color w:val="000000"/>
          <w:sz w:val="32"/>
          <w:szCs w:val="32"/>
        </w:rPr>
        <w:t>3.负责房地产行业的监督管理。贯彻执行房地产调控政策、行业发展规划，负责规范房地产开发建设市场秩序、房地产交易市场秩序。负责监督执行房屋面积管理、交易管理的规章制度。监督管理房地产开发企业、房地产估价机构资质。监督管理项目资本金、商品房预售资金。</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4.负责建筑行业的监督管理。负责规范建筑市场秩序。负责房屋建筑和市政基础设施工程质量、安全的监督管理，负责或参与工程质量安全事故的调查处理和突发事件应急处置，监督管理建筑企业及从业人员的资质资格。负责新型建筑材料、建筑机械与设备的应用管理。</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5.负责勘察设计行业的监督管理。负责规范勘察设计市场秩序。监督管理建设工程勘察设计及从业人员资质资格。负责房屋建筑和市政基础设施工程建设抗震设防的监督管理。指导城市地下空间综合开发利用和城市雕塑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6.负责住房保障工作。负责贯彻执行住房保障、住房改革政策。负责保障性住房建设的监督管理和协调推进。</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7.统筹推进城市基础设施建设工作。拟订城市道路桥梁隧道及其附属设施等城市基础设施建设规划并监督实施。承担项目的储备、前期工作和协调推进。负责城市建设配套费的征收和管理。统筹协调房屋建筑和市政基础设施县级重点项目建设，参与协调其他县级重点项目建设。负责历史文化名城（镇、村）、街区和传统风貌区的保护建设管理工作。指导历史建筑、传统风貌的修复建设。</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8.负责推进城市提升相关工作。贯彻执行城市提升相关制度、规范、标准。牵头推进城市提升行动计划，统筹推进城市提升相关前期工作和项目协调。</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9.统筹城市人居环境改善工作。负责城市管线的综合管理，建立城市管线综合管理协调机制，统筹城市综合管廊建设与管理。牵头协调推进海绵城市建设，县城区“清水绿岸”治理提升工作。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10.负责城镇排水与污水处理的监督管理。贯彻执行城镇排水与污水处理政策、标准，拟订城镇排水与污水处理规划并监督实施。负责城镇污水处理厂建设运行管理和城镇排水（雨水、污水）管网建设维护管理。负责城镇污水处理费的收缴。负责城镇排水监测的监督管理。牵头负责城市排水防涝工作。指导乡镇污水处理管理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11.负责推进城市修补和有机更新。推进城市老旧功能片区和老旧小区提升工作。统筹推进城市棚户区改造。监督城市既有建筑保留利用、更新改造和国有土地上房屋征收工作。负责房屋使用安全、物业管理活动的监督管理。</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12.指导村镇建设。负责贯彻执行村镇建设政策，拟订村镇建设规划并监督实施。负责指导村镇建设管理工作，组织村镇专项建设示范。指导特色景观旅游名镇名村管理工作。指导农村住房建设和危旧房改造工作。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13.负责建设科技推广应用。推进住房和城乡建设科技研究开发与成果转化。推进住房和城乡建设新技术示范、推广、应用。承担行业信息化、智能化等管理工作。负责监督执行工程建设地方标准。推进建筑产业现代化，负责工程建设标准化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14.负责绿色建筑与建筑节能管理。监督执行绿色建筑与建筑节能政策。承担绿色建筑评价及建筑能效测评与标识管理。推进建筑节能发展。</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15.负责建设工程消防设计审查验收相关工作。贯彻执行建设工程消防设计审查验收政策。</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16.负责住房城乡建设领域综合行政执法工作，具体交由相关行政执法队伍承担，并以部门名义统一执法。</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17.负责住房和城乡建设档案管理工作。负责行业人才队伍建设，会同有关部门开展建筑工程专业技术资格评审有关工作。开展相关领域对外交流合作。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18.负责机关、所属事业单位和所主管的社会组织党建工作。</w:t>
      </w:r>
    </w:p>
    <w:p>
      <w:pPr>
        <w:pStyle w:val="6"/>
        <w:spacing w:before="0" w:beforeAutospacing="0" w:after="0" w:afterAutospacing="0" w:line="560" w:lineRule="exact"/>
        <w:ind w:firstLine="640" w:firstLineChars="200"/>
        <w:textAlignment w:val="baseline"/>
        <w:rPr>
          <w:rStyle w:val="10"/>
          <w:rFonts w:hint="default" w:ascii="Times New Roman" w:hAnsi="Times New Roman" w:eastAsia="方正仿宋_GBK"/>
          <w:sz w:val="32"/>
          <w:szCs w:val="32"/>
          <w:shd w:val="clear" w:color="auto" w:fill="FFFFFF"/>
        </w:rPr>
      </w:pPr>
      <w:r>
        <w:rPr>
          <w:rFonts w:hint="default" w:ascii="Times New Roman" w:hAnsi="Times New Roman" w:eastAsia="方正仿宋_GBK"/>
          <w:color w:val="000000"/>
          <w:sz w:val="32"/>
          <w:szCs w:val="32"/>
        </w:rPr>
        <w:t>19.完成县委和县政府交办的其他任务。</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（二）机构设置</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石柱土家族自治县住房和城乡建设委员会是县政府工作部门，为正科级；机关行政编制13名，设主任1名，副主任3名，科长（室主任）职数8名。</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下列内设机构：</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1.办公室（财务科）。负责机关日常运转工作。承担文电、会务、机要、保密、党内法规、档案、后勤等工作。承担政务督办、政务公开、政务信息、电子政务、绩效考核等工作。承担综合性文稿起草。负责综合统计及分析工作。统筹人大代表建议、政协提案办理等工作。负责编制部门预算，实施预算绩效管理。监督直属单位财务、预算及国有资产管理工作。组织实施内部审计工作。负责拟订住房和城乡建设中长期发展规划并监督实施。</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2.行政许可服务科。承担牵头推进住房和城乡建设领域审批制度改革的相关工作，监督管理本系统行政审批和公共服务事项。负责建筑企业资质类、房地产开发建设企业资质类、物业管理类等行政审批服务事项。负责房屋建筑和市政基础设施工程项目施工、城镇排水、商品房预售等行政许可服务事项。负责城市建设配套费及城镇污水处理费等行政征收服务事项。负责建设工程消防验收、建设工程竣工验收备案、建设工程监理合同备案、房地产开发建设方案备案、中标确认备案等其他服务事项。</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3.建筑管理科（安全法规科、消防验收科）。负责规范建筑市场秩序，推进行业诚信体系建设。监督管理建筑施工企业、工程监理企业、工程质量检测机构、工程造价咨询单位及从业人员资质资格。负责施工现场专业人员岗位资格管理工作，指导行业从业人员教育培训，建立人才数据库。指导农村建筑工匠培训。监督实施房屋建筑和市政基础设施工程施工质量、安全生产规章制度。负责房屋和市政基础设施工程质量、安全及文明施工等监管工作，协调处理建筑施工质量安全事故。监督管理工程监理、工程保险、工程担保等工作。承担行业信息化、智能化等管理工作，牵头建立智能建设管理系统。负责推进建筑产业现代化发展，推广装配式建筑。负责房屋主体使用安全、房屋安全鉴定和白蚁防治的监督管理工作。负责建设工程消防验收的相关工作。负责有关规范性文件、行政执法案件的合法性审查。承担行政应诉、行政复议、行政赔偿等法律事务有关工作。负责本系统普法工作的实施和法制宣传教育工作。负责本系统信访稳定、社会治安综合治理以及内保工作。负责城乡建设法制宣传、法律服务。负责指导、监督住房和城乡建设综合行政执法工作。指导住房和城建档案工作。承担县清理建设领域拖欠工程款工作协调小组办公室日常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4.基础设施建设科。统筹推进城市基础设施建设工作，拟订城市道路桥梁隧道及其附属设施、公共停车场等城市基础设施建设规划并监督实施。承担城市人居环境改善工作，统筹推进城市提升相关前期工作和项目协调。承担牵头协调和推进海绵城市建设、县城区“清水绿岸”治理提升工作。负责城市管线综合管理工作，统筹城市综合管廊建设与管理。参与县城防汛、地质灾害防治和城市基础设施建设项目的综合协调。负责城镇污水处理厂建设运行管理，以及城镇排水（雨水、污水）管网建设维护管理。承担城市排水防涝牵头工作。指导乡镇污水处理管理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5.村镇建设科。贯彻执行村镇建设发展战略、政策。拟订村镇建设发展规划和年度计划并监督实施。贯彻执行村镇建设技术标准和图集。负责指导村镇建设管理工作。组织村镇建设专项建设示范。承担历史文化名镇、名村和村镇传统风貌区的保护建设管理工作，指导村镇历史建筑、传统风貌建筑的修复建设，指导特色景观旅游名镇名村建设管理。牵头推进传统村落保护发展。指导农房建设和农村危房改造，推广农房建设适用技术。承担村镇人居环境改善工作。</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6.房地产开发建设科。负责房地产开发年度规划（计划）和中长期发展规划的编制、实施等工作。负责培育和规范房地产开发建设市场，监督管理房地产开发建设行为，推进行业信用体系建设。承担房地产开发企业资质管理。承担房地产开发建设方案备案、项目资本金监管、新建商品住宅交付使用规定等制度的监督执行职责。指导房地产开发项目转让及联合建设备案管理。指导和监督全县国有土地上房屋征收与补偿工作。统筹推进城市棚户区改造，拟订城市棚户区改造计划并组织实施。</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7.房地产市场科（住房保障科）。贯彻执行房地产调控政策。负责执行房地产交易市场监管政策。规范房地产交易市场秩序，监督房地产中介机构和租赁企业市场行为。监督管理房地产估价机构资质。承担商品房销售管理，负责商品房预售资金监管。承担房屋面积管理相关工作。贯彻执行住房制度改革、住房保障（含廉租房和公共租赁住房）的相关政策。拟订住房保障发展规划、计划并监督实施。贯彻执行物业管理政策，负责物业管理活动的监督管理。监督商品房物业维修资金和其他房屋维修资金的管理。指导城市既有建筑保留利用和更新改造、老旧功能片区和老旧小区改造提升工作。组织协调处理物业管理中重大矛盾纠纷。</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8.设计与绿色建筑发展科（消防设计科、县抗震办公室）。贯彻执行勘察设计行业发展、绿色建筑及建筑节能政策、规划。负责勘察设计市场的监督管理和工程勘察设计企业及从业人员的资质资格管理。负责房屋建筑和市政基础设施工程初步设计和施工图审查管理。负责房屋建筑和市政基础设施工程建设抗震设防的监督管理。负责指导城市地下空间综合开发利用和城市雕塑工作。承担建设工程消防设计审查的相关工作。负责历史文化名城、街区和城市传统风貌区的保护建设管理。承担绿色建筑、绿色住宅生态小区和绿色建材评价及建筑能效测评标识管理。负责既有建筑节能改造和可再生能源建筑应用工作。推进建设领域新技术示范、推广、应用。</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机关党支部。负责机关及直属单位党群工作。</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（三）单位构成</w:t>
      </w:r>
    </w:p>
    <w:p>
      <w:pPr>
        <w:pStyle w:val="6"/>
        <w:spacing w:before="0" w:beforeAutospacing="0" w:after="0" w:afterAutospacing="0" w:line="560" w:lineRule="exact"/>
        <w:ind w:firstLine="640" w:firstLineChars="200"/>
        <w:textAlignment w:val="baseline"/>
        <w:rPr>
          <w:rFonts w:hint="default" w:ascii="Times New Roman" w:hAnsi="Times New Roman" w:eastAsia="方正仿宋_GBK"/>
          <w:color w:val="000000"/>
          <w:sz w:val="32"/>
          <w:szCs w:val="32"/>
        </w:rPr>
      </w:pPr>
      <w:r>
        <w:rPr>
          <w:rFonts w:hint="default" w:ascii="Times New Roman" w:hAnsi="Times New Roman" w:eastAsia="方正仿宋_GBK"/>
          <w:color w:val="000000"/>
          <w:sz w:val="32"/>
          <w:szCs w:val="32"/>
        </w:rPr>
        <w:t>从预算单位构成看，纳入本部门2023年度决算编制的二级预算单位主要包括石柱土家族自治县住房和城乡建设委员会（本级）、石柱土家族自治县城乡建设信息中心、石柱土家族自治县建设工程质量监督站、石柱土家族自治县征收拆迁补偿事务中心、石柱土家族自治县建设工程安全生产监督站、石柱土家族自治县城市建设档案馆、石柱土家族自治县保障性住房事务中心、石柱土家族自治县物业事务中心、石柱土家族自治县排水站、石柱土家族自治县村镇建设事务中心和石柱土家族自治县住房和城乡建设行政执法支队。</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二、部门决算情况说明</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（一）收入支出决算总体情况说明。</w:t>
      </w:r>
    </w:p>
    <w:p>
      <w:pPr>
        <w:pStyle w:val="6"/>
        <w:shd w:val="clear" w:color="auto" w:fill="FFFFFF"/>
        <w:spacing w:before="0" w:beforeAutospacing="0" w:after="0" w:afterAutospacing="0" w:line="560" w:lineRule="exact"/>
        <w:ind w:firstLine="640" w:firstLineChars="200"/>
        <w:rPr>
          <w:rFonts w:hint="default" w:ascii="Times New Roman" w:hAnsi="Times New Roman" w:eastAsia="方正仿宋_GBK"/>
          <w:sz w:val="32"/>
          <w:szCs w:val="32"/>
        </w:rPr>
      </w:pPr>
      <w:r>
        <w:rPr>
          <w:rFonts w:ascii="Times New Roman" w:hAnsi="Times New Roman" w:eastAsia="方正仿宋_GBK"/>
          <w:sz w:val="32"/>
          <w:szCs w:val="32"/>
          <w:shd w:val="clear" w:color="auto" w:fill="FFFFFF"/>
        </w:rPr>
        <w:t>1.</w:t>
      </w:r>
      <w:r>
        <w:rPr>
          <w:rStyle w:val="10"/>
          <w:rFonts w:ascii="方正仿宋_GBK" w:hAnsi="方正仿宋_GBK" w:eastAsia="方正仿宋_GBK" w:cs="方正仿宋_GBK"/>
          <w:b w:val="0"/>
          <w:bCs/>
          <w:sz w:val="32"/>
          <w:szCs w:val="32"/>
          <w:shd w:val="clear" w:color="auto" w:fill="FFFFFF"/>
        </w:rPr>
        <w:t>总体情况。</w:t>
      </w:r>
      <w:r>
        <w:rPr>
          <w:rFonts w:hint="default" w:ascii="Times New Roman" w:hAnsi="Times New Roman" w:eastAsia="方正仿宋_GBK"/>
          <w:sz w:val="32"/>
          <w:szCs w:val="32"/>
          <w:shd w:val="clear" w:color="auto" w:fill="FFFFFF"/>
        </w:rPr>
        <w:t>2023年度收入总计62027.07万元，支出总计</w:t>
      </w:r>
      <w:r>
        <w:rPr>
          <w:rFonts w:hint="default" w:ascii="Times New Roman" w:hAnsi="Times New Roman" w:eastAsia="方正仿宋_GBK"/>
          <w:sz w:val="32"/>
          <w:szCs w:val="32"/>
        </w:rPr>
        <w:t>62027.07</w:t>
      </w:r>
      <w:r>
        <w:rPr>
          <w:rFonts w:hint="default" w:ascii="Times New Roman" w:hAnsi="Times New Roman" w:eastAsia="方正仿宋_GBK"/>
          <w:sz w:val="32"/>
          <w:szCs w:val="32"/>
          <w:shd w:val="clear" w:color="auto" w:fill="FFFFFF"/>
        </w:rPr>
        <w:t>万元。收支较上年决算数增加27959.89万元，增长82.07%，主要原因是本年度项目增加。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bCs/>
          <w:sz w:val="32"/>
          <w:szCs w:val="32"/>
          <w:shd w:val="clear" w:color="auto" w:fill="FFFFFF"/>
        </w:rPr>
        <w:t>2.收入情况。</w:t>
      </w:r>
      <w:r>
        <w:rPr>
          <w:rFonts w:hint="default" w:ascii="Times New Roman" w:hAnsi="Times New Roman" w:eastAsia="方正仿宋_GBK"/>
          <w:sz w:val="32"/>
          <w:szCs w:val="32"/>
          <w:shd w:val="clear" w:color="auto" w:fill="FFFFFF"/>
        </w:rPr>
        <w:t>2023年度收入合计62027.07万元，较上年决算数增加27959.89万元，增长82.07%，主要原因是本年度项目增加。其中：财政拨款收入</w:t>
      </w:r>
      <w:r>
        <w:rPr>
          <w:rFonts w:hint="default" w:ascii="Times New Roman" w:hAnsi="Times New Roman" w:eastAsia="方正仿宋_GBK"/>
          <w:sz w:val="32"/>
          <w:szCs w:val="32"/>
        </w:rPr>
        <w:t>62027.07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万元，占0.00%；经营收入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万元，占0.00%；其他收入</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万元，占0.00%。此外，使用非财政拨款结余和专用结余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bCs/>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62027.07</w:t>
      </w:r>
      <w:r>
        <w:rPr>
          <w:rFonts w:hint="default" w:ascii="Times New Roman" w:hAnsi="Times New Roman" w:eastAsia="方正仿宋_GBK"/>
          <w:sz w:val="32"/>
          <w:szCs w:val="32"/>
          <w:shd w:val="clear" w:color="auto" w:fill="FFFFFF"/>
        </w:rPr>
        <w:t>万元，较上年决算数增加27959.89万元，增长82.07%，主要原因是本年度项目增加。其中：基本支出</w:t>
      </w:r>
      <w:r>
        <w:rPr>
          <w:rFonts w:hint="default" w:ascii="Times New Roman" w:hAnsi="Times New Roman" w:eastAsia="方正仿宋_GBK"/>
          <w:sz w:val="32"/>
          <w:szCs w:val="32"/>
        </w:rPr>
        <w:t>2230.41</w:t>
      </w:r>
      <w:r>
        <w:rPr>
          <w:rFonts w:hint="default" w:ascii="Times New Roman" w:hAnsi="Times New Roman" w:eastAsia="方正仿宋_GBK"/>
          <w:sz w:val="32"/>
          <w:szCs w:val="32"/>
          <w:shd w:val="clear" w:color="auto" w:fill="FFFFFF"/>
        </w:rPr>
        <w:t>万元，占3.60%；项目支出</w:t>
      </w:r>
      <w:r>
        <w:rPr>
          <w:rFonts w:hint="default" w:ascii="Times New Roman" w:hAnsi="Times New Roman" w:eastAsia="方正仿宋_GBK"/>
          <w:sz w:val="32"/>
          <w:szCs w:val="32"/>
        </w:rPr>
        <w:t>59796.65</w:t>
      </w:r>
      <w:r>
        <w:rPr>
          <w:rFonts w:hint="default" w:ascii="Times New Roman" w:hAnsi="Times New Roman" w:eastAsia="方正仿宋_GBK"/>
          <w:sz w:val="32"/>
          <w:szCs w:val="32"/>
          <w:shd w:val="clear" w:color="auto" w:fill="FFFFFF"/>
        </w:rPr>
        <w:t>万元，占96.40%；经营支出</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万元，占0.00%。此外，结余分配</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bCs/>
          <w:sz w:val="32"/>
          <w:szCs w:val="32"/>
          <w:shd w:val="clear" w:color="auto" w:fill="FFFFFF"/>
        </w:rPr>
        <w:t>4.结转结余情况</w:t>
      </w:r>
      <w:r>
        <w:rPr>
          <w:rStyle w:val="10"/>
          <w:rFonts w:hint="default"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万元，较上年决算数增加0.00万元，增长%。</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（二）财政拨款收入支出决算总体情况说明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2023年度财政拨款收、支总计62027.07万元。与2022年相比，财政拨款收、支总计各增加27959.89万元，增长82.07%。主要原因是本年度项目增加。</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（三）一般公共预算财政拨款收入支出决算情况说明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仿宋_GBK"/>
          <w:b w:val="0"/>
          <w:bCs/>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10938.46</w:t>
      </w:r>
      <w:r>
        <w:rPr>
          <w:rFonts w:hint="default" w:ascii="Times New Roman" w:hAnsi="Times New Roman" w:eastAsia="方正仿宋_GBK"/>
          <w:sz w:val="32"/>
          <w:szCs w:val="32"/>
          <w:shd w:val="clear" w:color="auto" w:fill="FFFFFF"/>
        </w:rPr>
        <w:t>万元，较上年决算数减少1962.42万元，下降15.21%。主要原因是本年度项目较上年规模小金额少。较年初预算数增加5414.71万元，增长98.03%。主要原因是本年度项目增加。此外，年初财政拨款结转和结余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bCs/>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10938.46</w:t>
      </w:r>
      <w:r>
        <w:rPr>
          <w:rFonts w:hint="default" w:ascii="Times New Roman" w:hAnsi="Times New Roman" w:eastAsia="方正仿宋_GBK"/>
          <w:sz w:val="32"/>
          <w:szCs w:val="32"/>
          <w:shd w:val="clear" w:color="auto" w:fill="FFFFFF"/>
        </w:rPr>
        <w:t>万元，较上年决算数减少1962.42万元，下降15.21%。主要原因是本年度项目较上年规模小金额少。较年初预算数增加5414.71万元，增长98.03%。主要原因是本年度项目增加。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Style w:val="10"/>
          <w:rFonts w:hint="default" w:ascii="Times New Roman" w:hAnsi="Times New Roman" w:eastAsia="方正仿宋_GBK"/>
          <w:b w:val="0"/>
          <w:bCs/>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highlight w:val="cyan"/>
          <w:shd w:val="clear" w:color="auto" w:fill="FFFFFF"/>
        </w:rPr>
      </w:pPr>
      <w:r>
        <w:rPr>
          <w:rStyle w:val="10"/>
          <w:rFonts w:hint="default" w:ascii="Times New Roman" w:hAnsi="Times New Roman" w:eastAsia="方正仿宋_GBK"/>
          <w:b w:val="0"/>
          <w:bCs/>
          <w:sz w:val="32"/>
          <w:szCs w:val="32"/>
          <w:shd w:val="clear" w:color="auto" w:fill="FFFFFF"/>
        </w:rPr>
        <w:t xml:space="preserve"> 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92.57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0.85</w:t>
      </w:r>
      <w:r>
        <w:rPr>
          <w:rFonts w:hint="default" w:ascii="Times New Roman" w:hAnsi="Times New Roman" w:eastAsia="方正仿宋_GBK"/>
          <w:sz w:val="32"/>
          <w:szCs w:val="32"/>
          <w:shd w:val="clear" w:color="auto" w:fill="FFFFFF"/>
        </w:rPr>
        <w:t>%，较年初预算数增加92.57万元，增长100.00%，主要原因是项目支出增加。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（2）社会保障与就业支出</w:t>
      </w:r>
      <w:r>
        <w:rPr>
          <w:rFonts w:hint="default" w:ascii="Times New Roman" w:hAnsi="Times New Roman" w:eastAsia="方正仿宋_GBK"/>
          <w:sz w:val="32"/>
          <w:szCs w:val="32"/>
        </w:rPr>
        <w:t>490.50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4.48</w:t>
      </w:r>
      <w:r>
        <w:rPr>
          <w:rFonts w:hint="default" w:ascii="Times New Roman" w:hAnsi="Times New Roman" w:eastAsia="方正仿宋_GBK"/>
          <w:sz w:val="32"/>
          <w:szCs w:val="32"/>
          <w:shd w:val="clear" w:color="auto" w:fill="FFFFFF"/>
        </w:rPr>
        <w:t>%，较年初预算数增加232.40万元，增长90.04%，主要原因是工</w:t>
      </w:r>
      <w:r>
        <w:rPr>
          <w:rFonts w:ascii="Times New Roman" w:hAnsi="Times New Roman" w:eastAsia="方正仿宋_GBK"/>
          <w:sz w:val="32"/>
          <w:szCs w:val="32"/>
          <w:shd w:val="clear" w:color="auto" w:fill="FFFFFF"/>
        </w:rPr>
        <w:t>资</w:t>
      </w:r>
      <w:r>
        <w:rPr>
          <w:rFonts w:hint="default" w:ascii="Times New Roman" w:hAnsi="Times New Roman" w:eastAsia="方正仿宋_GBK"/>
          <w:sz w:val="32"/>
          <w:szCs w:val="32"/>
          <w:shd w:val="clear" w:color="auto" w:fill="FFFFFF"/>
        </w:rPr>
        <w:t>变动导致增长。</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95.22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0.87</w:t>
      </w:r>
      <w:r>
        <w:rPr>
          <w:rFonts w:hint="default" w:ascii="Times New Roman" w:hAnsi="Times New Roman" w:eastAsia="方正仿宋_GBK"/>
          <w:sz w:val="32"/>
          <w:szCs w:val="32"/>
          <w:shd w:val="clear" w:color="auto" w:fill="FFFFFF"/>
        </w:rPr>
        <w:t>%，较年初预算数增加2.07万元，增长2.22%，主要原因是工</w:t>
      </w:r>
      <w:r>
        <w:rPr>
          <w:rFonts w:ascii="Times New Roman" w:hAnsi="Times New Roman" w:eastAsia="方正仿宋_GBK"/>
          <w:sz w:val="32"/>
          <w:szCs w:val="32"/>
          <w:shd w:val="clear" w:color="auto" w:fill="FFFFFF"/>
        </w:rPr>
        <w:t>资</w:t>
      </w:r>
      <w:r>
        <w:rPr>
          <w:rFonts w:hint="default" w:ascii="Times New Roman" w:hAnsi="Times New Roman" w:eastAsia="方正仿宋_GBK"/>
          <w:sz w:val="32"/>
          <w:szCs w:val="32"/>
          <w:shd w:val="clear" w:color="auto" w:fill="FFFFFF"/>
        </w:rPr>
        <w:t>变动导致增长。</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（4）节能环保支出</w:t>
      </w:r>
      <w:r>
        <w:rPr>
          <w:rFonts w:hint="default" w:ascii="Times New Roman" w:hAnsi="Times New Roman" w:eastAsia="方正仿宋_GBK"/>
          <w:sz w:val="32"/>
          <w:szCs w:val="32"/>
        </w:rPr>
        <w:t>3807.16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34.81</w:t>
      </w:r>
      <w:r>
        <w:rPr>
          <w:rFonts w:hint="default" w:ascii="Times New Roman" w:hAnsi="Times New Roman" w:eastAsia="方正仿宋_GBK"/>
          <w:sz w:val="32"/>
          <w:szCs w:val="32"/>
          <w:shd w:val="clear" w:color="auto" w:fill="FFFFFF"/>
        </w:rPr>
        <w:t>%，较年初预算数增加3107.16万元，增长443.88%，主要原因是项目支出增加。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（5）城乡社区支出</w:t>
      </w:r>
      <w:r>
        <w:rPr>
          <w:rFonts w:hint="default" w:ascii="Times New Roman" w:hAnsi="Times New Roman" w:eastAsia="方正仿宋_GBK"/>
          <w:sz w:val="32"/>
          <w:szCs w:val="32"/>
        </w:rPr>
        <w:t>1882.37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17.21</w:t>
      </w:r>
      <w:r>
        <w:rPr>
          <w:rFonts w:hint="default" w:ascii="Times New Roman" w:hAnsi="Times New Roman" w:eastAsia="方正仿宋_GBK"/>
          <w:sz w:val="32"/>
          <w:szCs w:val="32"/>
          <w:shd w:val="clear" w:color="auto" w:fill="FFFFFF"/>
        </w:rPr>
        <w:t>%，较年初预算数减少650.17万元，下降25.67%，主要原因是项目支出增加。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（6）农林水支出</w:t>
      </w:r>
      <w:r>
        <w:rPr>
          <w:rFonts w:hint="default" w:ascii="Times New Roman" w:hAnsi="Times New Roman" w:eastAsia="方正仿宋_GBK"/>
          <w:sz w:val="32"/>
          <w:szCs w:val="32"/>
        </w:rPr>
        <w:t>41.08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0.38</w:t>
      </w:r>
      <w:r>
        <w:rPr>
          <w:rFonts w:hint="default" w:ascii="Times New Roman" w:hAnsi="Times New Roman" w:eastAsia="方正仿宋_GBK"/>
          <w:sz w:val="32"/>
          <w:szCs w:val="32"/>
          <w:shd w:val="clear" w:color="auto" w:fill="FFFFFF"/>
        </w:rPr>
        <w:t>%，较年初预算数增加41.08万元，增长100.00%，主要原因是项目支出增加。</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w:t>
      </w:r>
      <w:r>
        <w:rPr>
          <w:rFonts w:hint="default" w:ascii="Times New Roman" w:hAnsi="Times New Roman" w:eastAsia="方正仿宋_GBK"/>
          <w:sz w:val="32"/>
          <w:szCs w:val="32"/>
        </w:rPr>
        <w:t>住房保障支出4529.56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41.41</w:t>
      </w:r>
      <w:r>
        <w:rPr>
          <w:rFonts w:hint="default" w:ascii="Times New Roman" w:hAnsi="Times New Roman" w:eastAsia="方正仿宋_GBK"/>
          <w:sz w:val="32"/>
          <w:szCs w:val="32"/>
          <w:shd w:val="clear" w:color="auto" w:fill="FFFFFF"/>
        </w:rPr>
        <w:t>%，较年初预算数增加2589.59万元，增长133.49%，主要原因是项目支出增加。</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（四）一般公共预算财政拨款基本支出决算情况说明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2230.41</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1889.92</w:t>
      </w:r>
      <w:r>
        <w:rPr>
          <w:rFonts w:hint="default" w:ascii="Times New Roman" w:hAnsi="Times New Roman" w:eastAsia="方正仿宋_GBK"/>
          <w:sz w:val="32"/>
          <w:szCs w:val="32"/>
          <w:shd w:val="clear" w:color="auto" w:fill="FFFFFF"/>
        </w:rPr>
        <w:t>万元，较上年决算数增加70.20万元，增长3.86%，主要原因一是职工养老保险和职业年金基数上调，机关事业单位基本养老保险缴费和职业年金缴费支出增加；二是退休职工死亡3人，抚恤金支出增加。人员经费用途主要包括基本工资、津贴补贴、奖金、绩效工资、社会保障缴费、住房公积金、对个人和家庭的补助等。公用经费</w:t>
      </w:r>
      <w:r>
        <w:rPr>
          <w:rFonts w:hint="default" w:ascii="Times New Roman" w:hAnsi="Times New Roman" w:eastAsia="方正仿宋_GBK"/>
          <w:sz w:val="32"/>
          <w:szCs w:val="32"/>
        </w:rPr>
        <w:t>340.49</w:t>
      </w:r>
      <w:r>
        <w:rPr>
          <w:rFonts w:hint="default" w:ascii="Times New Roman" w:hAnsi="Times New Roman" w:eastAsia="方正仿宋_GBK"/>
          <w:sz w:val="32"/>
          <w:szCs w:val="32"/>
          <w:shd w:val="clear" w:color="auto" w:fill="FFFFFF"/>
        </w:rPr>
        <w:t>万元，较上年决算数增加15.23万元，增长4.68%，主要原因是上年度财政追减公用经费，本年度正常预算公用经费。公用经费用途主要包括办公费、水费、电费、邮电费、差旅费、物业管理费、公务用车运行维护费、公务接待费等。</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（五）政府性基金预算收支决算情况说明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万元。本年收入</w:t>
      </w:r>
      <w:r>
        <w:rPr>
          <w:rFonts w:hint="default" w:ascii="Times New Roman" w:hAnsi="Times New Roman" w:eastAsia="方正仿宋_GBK"/>
          <w:sz w:val="32"/>
          <w:szCs w:val="32"/>
        </w:rPr>
        <w:t>51088.61</w:t>
      </w:r>
      <w:r>
        <w:rPr>
          <w:rFonts w:hint="default" w:ascii="Times New Roman" w:hAnsi="Times New Roman" w:eastAsia="方正仿宋_GBK"/>
          <w:sz w:val="32"/>
          <w:szCs w:val="32"/>
          <w:shd w:val="clear" w:color="auto" w:fill="FFFFFF"/>
        </w:rPr>
        <w:t>万元，较上年决算数增加29922.31万元，增长141.37%，主要原因是项目增加。本年支出</w:t>
      </w:r>
      <w:r>
        <w:rPr>
          <w:rFonts w:hint="default" w:ascii="Times New Roman" w:hAnsi="Times New Roman" w:eastAsia="方正仿宋_GBK"/>
          <w:sz w:val="32"/>
          <w:szCs w:val="32"/>
        </w:rPr>
        <w:t>51088.61</w:t>
      </w:r>
      <w:r>
        <w:rPr>
          <w:rFonts w:hint="default" w:ascii="Times New Roman" w:hAnsi="Times New Roman" w:eastAsia="方正仿宋_GBK"/>
          <w:sz w:val="32"/>
          <w:szCs w:val="32"/>
          <w:shd w:val="clear" w:color="auto" w:fill="FFFFFF"/>
        </w:rPr>
        <w:t>万元，较上年决算数增加29922.31万元，增长141.37%，主要原因是项目增加。</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（六）国有资本经营预算财政拨款支出决算情况说明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本部门2023年度无国有资本经营预算财政拨款支出。</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三、“三公”经费情况说明</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 xml:space="preserve"> （一）“三公”经费支出总体情况说明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22.09</w:t>
      </w:r>
      <w:r>
        <w:rPr>
          <w:rFonts w:hint="default" w:ascii="Times New Roman" w:hAnsi="Times New Roman" w:eastAsia="方正仿宋_GBK"/>
          <w:sz w:val="32"/>
          <w:szCs w:val="32"/>
          <w:shd w:val="clear" w:color="auto" w:fill="FFFFFF"/>
        </w:rPr>
        <w:t>万元，较年初预算数减少0.37万元，下降1.65%，主要原因是认真贯彻落实中央八项规定精神和厉行节约要求，按照只减不增的要求从严控制三公经费。较上年支出数增加3.88万元，增长21.31%，主要原因是上年度因疫情隔离期间公务接待较少，本年度正常进行工作接待。</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（二）“三公”经费分项支出情况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2023年度本部门因公出国（境）费用</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万元，主要是本部门2023年度未发生因公出国（境）费用。较上年支出数无增减，主要原因是本部门2023年度未发生因公出国（境）费用。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公务车购置费</w:t>
      </w:r>
      <w:r>
        <w:rPr>
          <w:rFonts w:hint="default" w:ascii="Times New Roman" w:hAnsi="Times New Roman" w:eastAsia="方正仿宋_GBK"/>
          <w:sz w:val="32"/>
          <w:szCs w:val="32"/>
        </w:rPr>
        <w:t>0.00</w:t>
      </w:r>
      <w:r>
        <w:rPr>
          <w:rFonts w:hint="default" w:ascii="Times New Roman" w:hAnsi="Times New Roman" w:eastAsia="方正仿宋_GBK"/>
          <w:sz w:val="32"/>
          <w:szCs w:val="32"/>
          <w:shd w:val="clear" w:color="auto" w:fill="FFFFFF"/>
        </w:rPr>
        <w:t>万元，主要原因是本部门2023年未发生公务车购置费支出。较上年支出数无增减，主要原因是本部门2023年未发生公务车购置费支出。</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公务车运行维护费</w:t>
      </w:r>
      <w:r>
        <w:rPr>
          <w:rFonts w:hint="default" w:ascii="Times New Roman" w:hAnsi="Times New Roman" w:eastAsia="方正仿宋_GBK"/>
          <w:sz w:val="32"/>
          <w:szCs w:val="32"/>
        </w:rPr>
        <w:t>18.80</w:t>
      </w:r>
      <w:r>
        <w:rPr>
          <w:rFonts w:hint="default" w:ascii="Times New Roman" w:hAnsi="Times New Roman" w:eastAsia="方正仿宋_GBK"/>
          <w:sz w:val="32"/>
          <w:szCs w:val="32"/>
          <w:shd w:val="clear" w:color="auto" w:fill="FFFFFF"/>
        </w:rPr>
        <w:t>万元，主要用于机要文件交换、市内因公出行、督查等工作所需车辆的油费、过路费、维修（保养）费、保险费等。费用支出较年初预算数减少0.20万元，下降1.05%，主要原因是公务用车严格落实公车使用规定，严格控制公车运行维护成本。较上年支出数增加2.90万元，增长18.24%，主要原因是上年度因疫情隔离期间公车使用减少，本年度正常使用。</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公务接待费</w:t>
      </w:r>
      <w:r>
        <w:rPr>
          <w:rFonts w:hint="default" w:ascii="Times New Roman" w:hAnsi="Times New Roman" w:eastAsia="方正仿宋_GBK"/>
          <w:sz w:val="32"/>
          <w:szCs w:val="32"/>
        </w:rPr>
        <w:t>3.29</w:t>
      </w:r>
      <w:r>
        <w:rPr>
          <w:rFonts w:hint="default" w:ascii="Times New Roman" w:hAnsi="Times New Roman" w:eastAsia="方正仿宋_GBK"/>
          <w:sz w:val="32"/>
          <w:szCs w:val="32"/>
          <w:shd w:val="clear" w:color="auto" w:fill="FFFFFF"/>
        </w:rPr>
        <w:t>万元，主要用于接待市级以及区县交叉检查等到我县检查指导工作时发生的接待开支。费用支出较年初预算数减少0.17万元，下降4.91%，主要原因是强化公务接待支出管理，严格遵守公务接待开支范围和开支标准。较上年支出数增加0.98万元，增长42.42%，主要原因是上年度因疫情隔离期间公务接待较少，本年度正常进行工作接待。</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（三）“三公”经费实物量情况</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6</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34</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280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117.62</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3.13</w:t>
      </w:r>
      <w:r>
        <w:rPr>
          <w:rFonts w:hint="default" w:ascii="Times New Roman" w:hAnsi="Times New Roman" w:eastAsia="方正仿宋_GBK"/>
          <w:sz w:val="32"/>
          <w:szCs w:val="32"/>
          <w:shd w:val="clear" w:color="auto" w:fill="FFFFFF"/>
        </w:rPr>
        <w:t>万元。</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四、其他需要说明的事项</w:t>
      </w:r>
    </w:p>
    <w:p>
      <w:pPr>
        <w:pStyle w:val="11"/>
        <w:autoSpaceDE w:val="0"/>
        <w:spacing w:line="56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 xml:space="preserve">  </w:t>
      </w:r>
      <w:r>
        <w:rPr>
          <w:rStyle w:val="10"/>
          <w:rFonts w:ascii="Times New Roman" w:hAnsi="Times New Roman" w:eastAsia="方正楷体_GBK"/>
          <w:b w:val="0"/>
          <w:bCs/>
          <w:sz w:val="32"/>
          <w:szCs w:val="32"/>
          <w:shd w:val="clear" w:color="auto" w:fill="FFFFFF"/>
        </w:rPr>
        <w:t>（一）财政拨款会议费和培训费情况说明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本年度会议费支出</w:t>
      </w:r>
      <w:r>
        <w:rPr>
          <w:rFonts w:hint="default" w:ascii="Times New Roman" w:hAnsi="Times New Roman" w:eastAsia="方正仿宋_GBK"/>
          <w:sz w:val="32"/>
          <w:szCs w:val="32"/>
        </w:rPr>
        <w:t>1.55</w:t>
      </w:r>
      <w:r>
        <w:rPr>
          <w:rFonts w:hint="default" w:ascii="Times New Roman" w:hAnsi="Times New Roman" w:eastAsia="方正仿宋_GBK"/>
          <w:sz w:val="32"/>
          <w:szCs w:val="32"/>
          <w:shd w:val="clear" w:color="auto" w:fill="FFFFFF"/>
        </w:rPr>
        <w:t>万元，较上年决算数减少6.05万元，下降79.61%，主要原因是从制度上、行动上严格按照预算支出、控制经费支出。本年度培训费支出</w:t>
      </w:r>
      <w:r>
        <w:rPr>
          <w:rFonts w:hint="default" w:ascii="Times New Roman" w:hAnsi="Times New Roman" w:eastAsia="方正仿宋_GBK"/>
          <w:sz w:val="32"/>
          <w:szCs w:val="32"/>
        </w:rPr>
        <w:t>1.79</w:t>
      </w:r>
      <w:r>
        <w:rPr>
          <w:rFonts w:hint="default" w:ascii="Times New Roman" w:hAnsi="Times New Roman" w:eastAsia="方正仿宋_GBK"/>
          <w:sz w:val="32"/>
          <w:szCs w:val="32"/>
          <w:shd w:val="clear" w:color="auto" w:fill="FFFFFF"/>
        </w:rPr>
        <w:t>万元，较上年决算数减少1.49万元，下降45.43%，主要原因是从制度上、行动上严格按照预算支出、控制经费支出。</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（二）机关运行经费情况说明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2023年度本部门机关运行经费支出</w:t>
      </w:r>
      <w:r>
        <w:rPr>
          <w:rFonts w:hint="default" w:ascii="Times New Roman" w:hAnsi="Times New Roman" w:eastAsia="方正仿宋_GBK"/>
          <w:sz w:val="32"/>
          <w:szCs w:val="32"/>
        </w:rPr>
        <w:t>111.04</w:t>
      </w:r>
      <w:r>
        <w:rPr>
          <w:rFonts w:hint="default" w:ascii="Times New Roman" w:hAnsi="Times New Roman" w:eastAsia="方正仿宋_GBK"/>
          <w:sz w:val="32"/>
          <w:szCs w:val="32"/>
          <w:shd w:val="clear" w:color="auto" w:fill="FFFFFF"/>
        </w:rPr>
        <w:t>万元，机关运行经费主要用于开支办公费、水费、电费、邮电费、差旅费、培训费、公务用车运行维护费、公务接待费等。机关运行经费较上年支出数增加11.55万元，增长11.61%，主要原因是上年度财政追减公用经费，本年度正常预算公用经费。</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（三）国有资产占用情况说明</w:t>
      </w:r>
    </w:p>
    <w:p>
      <w:pPr>
        <w:pStyle w:val="6"/>
        <w:snapToGrid w:val="0"/>
        <w:spacing w:before="0" w:beforeAutospacing="0" w:after="0" w:afterAutospacing="0" w:line="56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截至2023年12月31日，本部门共有车辆</w:t>
      </w:r>
      <w:r>
        <w:rPr>
          <w:rFonts w:hint="default" w:ascii="Times New Roman" w:hAnsi="Times New Roman" w:eastAsia="方正仿宋_GBK"/>
          <w:sz w:val="32"/>
          <w:szCs w:val="32"/>
        </w:rPr>
        <w:t>6</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6</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（四）政府采购支出情况说明</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Fonts w:hint="default" w:ascii="Times New Roman" w:hAnsi="Times New Roman" w:eastAsia="方正仿宋_GBK"/>
          <w:sz w:val="32"/>
          <w:szCs w:val="32"/>
          <w:shd w:val="clear" w:color="auto" w:fill="FFFFFF"/>
        </w:rPr>
        <w:t>  2023年度本部门政府采购支出总额</w:t>
      </w:r>
      <w:r>
        <w:rPr>
          <w:rFonts w:hint="default" w:ascii="Times New Roman" w:hAnsi="Times New Roman" w:eastAsia="方正仿宋_GBK"/>
          <w:sz w:val="32"/>
          <w:szCs w:val="32"/>
        </w:rPr>
        <w:t>14528.56</w:t>
      </w:r>
      <w:r>
        <w:rPr>
          <w:rFonts w:hint="default" w:ascii="Times New Roman" w:hAnsi="Times New Roman" w:eastAsia="方正仿宋_GBK"/>
          <w:sz w:val="32"/>
          <w:szCs w:val="32"/>
          <w:shd w:val="clear" w:color="auto" w:fill="FFFFFF"/>
        </w:rPr>
        <w:t>万元，其中：政府采购货物支出</w:t>
      </w:r>
      <w:r>
        <w:rPr>
          <w:rFonts w:hint="default" w:ascii="Times New Roman" w:hAnsi="Times New Roman" w:eastAsia="方正仿宋_GBK"/>
          <w:sz w:val="32"/>
          <w:szCs w:val="32"/>
        </w:rPr>
        <w:t>7.82</w:t>
      </w:r>
      <w:r>
        <w:rPr>
          <w:rFonts w:hint="default" w:ascii="Times New Roman" w:hAnsi="Times New Roman" w:eastAsia="方正仿宋_GBK"/>
          <w:sz w:val="32"/>
          <w:szCs w:val="32"/>
          <w:shd w:val="clear" w:color="auto" w:fill="FFFFFF"/>
        </w:rPr>
        <w:t>万元、政府采购工程支出</w:t>
      </w:r>
      <w:r>
        <w:rPr>
          <w:rFonts w:hint="default" w:ascii="Times New Roman" w:hAnsi="Times New Roman" w:eastAsia="方正仿宋_GBK"/>
          <w:sz w:val="32"/>
          <w:szCs w:val="32"/>
        </w:rPr>
        <w:t>14115.58</w:t>
      </w:r>
      <w:r>
        <w:rPr>
          <w:rFonts w:hint="default" w:ascii="Times New Roman" w:hAnsi="Times New Roman" w:eastAsia="方正仿宋_GBK"/>
          <w:sz w:val="32"/>
          <w:szCs w:val="32"/>
          <w:shd w:val="clear" w:color="auto" w:fill="FFFFFF"/>
        </w:rPr>
        <w:t>万元、政府采购服务支出</w:t>
      </w:r>
      <w:r>
        <w:rPr>
          <w:rFonts w:hint="default" w:ascii="Times New Roman" w:hAnsi="Times New Roman" w:eastAsia="方正仿宋_GBK"/>
          <w:sz w:val="32"/>
          <w:szCs w:val="32"/>
        </w:rPr>
        <w:t>405.15</w:t>
      </w:r>
      <w:r>
        <w:rPr>
          <w:rFonts w:hint="default" w:ascii="Times New Roman" w:hAnsi="Times New Roman" w:eastAsia="方正仿宋_GBK"/>
          <w:sz w:val="32"/>
          <w:szCs w:val="32"/>
          <w:shd w:val="clear" w:color="auto" w:fill="FFFFFF"/>
        </w:rPr>
        <w:t>万元。授予中小企业合同金额</w:t>
      </w:r>
      <w:r>
        <w:rPr>
          <w:rFonts w:hint="default" w:ascii="Times New Roman" w:hAnsi="Times New Roman" w:eastAsia="方正仿宋_GBK"/>
          <w:sz w:val="32"/>
          <w:szCs w:val="32"/>
        </w:rPr>
        <w:t>14233.21万</w:t>
      </w:r>
      <w:r>
        <w:rPr>
          <w:rFonts w:hint="default" w:ascii="Times New Roman" w:hAnsi="Times New Roman" w:eastAsia="方正仿宋_GBK"/>
          <w:sz w:val="32"/>
          <w:szCs w:val="32"/>
          <w:shd w:val="clear" w:color="auto" w:fill="FFFFFF"/>
        </w:rPr>
        <w:t>元，占政府采购支出总额的</w:t>
      </w:r>
      <w:r>
        <w:rPr>
          <w:rFonts w:hint="default" w:ascii="Times New Roman" w:hAnsi="Times New Roman" w:eastAsia="方正仿宋_GBK"/>
          <w:sz w:val="32"/>
          <w:szCs w:val="32"/>
        </w:rPr>
        <w:t>97.97</w:t>
      </w:r>
      <w:r>
        <w:rPr>
          <w:rFonts w:hint="default" w:ascii="Times New Roman" w:hAnsi="Times New Roman" w:eastAsia="方正仿宋_GBK"/>
          <w:sz w:val="32"/>
          <w:szCs w:val="32"/>
          <w:shd w:val="clear" w:color="auto" w:fill="FFFFFF"/>
        </w:rPr>
        <w:t>%，其中：授予小微企业合同金额</w:t>
      </w:r>
      <w:r>
        <w:rPr>
          <w:rFonts w:hint="default" w:ascii="Times New Roman" w:hAnsi="Times New Roman" w:eastAsia="方正仿宋_GBK"/>
          <w:sz w:val="32"/>
          <w:szCs w:val="32"/>
        </w:rPr>
        <w:t>14227.74</w:t>
      </w:r>
      <w:r>
        <w:rPr>
          <w:rFonts w:hint="default" w:ascii="Times New Roman" w:hAnsi="Times New Roman" w:eastAsia="方正仿宋_GBK"/>
          <w:sz w:val="32"/>
          <w:szCs w:val="32"/>
          <w:shd w:val="clear" w:color="auto" w:fill="FFFFFF"/>
        </w:rPr>
        <w:t>万元，占政府采购支出总额的</w:t>
      </w:r>
      <w:r>
        <w:rPr>
          <w:rFonts w:hint="default" w:ascii="Times New Roman" w:hAnsi="Times New Roman" w:eastAsia="方正仿宋_GBK"/>
          <w:sz w:val="32"/>
          <w:szCs w:val="32"/>
        </w:rPr>
        <w:t>97.93</w:t>
      </w:r>
      <w:r>
        <w:rPr>
          <w:rFonts w:hint="default" w:ascii="Times New Roman" w:hAnsi="Times New Roman" w:eastAsia="方正仿宋_GBK"/>
          <w:sz w:val="32"/>
          <w:szCs w:val="32"/>
          <w:shd w:val="clear" w:color="auto" w:fill="FFFFFF"/>
        </w:rPr>
        <w:t xml:space="preserve"> %。主要用于采购工程支出。</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五、预算绩效管理情况说明</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楷体_GBK"/>
          <w:b w:val="0"/>
          <w:bCs/>
          <w:sz w:val="32"/>
          <w:szCs w:val="32"/>
          <w:shd w:val="clear" w:color="auto" w:fill="FFFFFF"/>
        </w:rPr>
      </w:pPr>
      <w:r>
        <w:rPr>
          <w:rStyle w:val="10"/>
          <w:rFonts w:hint="default" w:ascii="Times New Roman" w:hAnsi="Times New Roman" w:eastAsia="方正楷体_GBK"/>
          <w:b w:val="0"/>
          <w:bCs/>
          <w:sz w:val="32"/>
          <w:szCs w:val="32"/>
          <w:shd w:val="clear" w:color="auto" w:fill="FFFFFF"/>
        </w:rPr>
        <w:t>（一）预算绩效管理工作开展情况</w:t>
      </w:r>
    </w:p>
    <w:p>
      <w:pPr>
        <w:pStyle w:val="6"/>
        <w:shd w:val="clear" w:color="auto" w:fill="FFFFFF"/>
        <w:spacing w:before="0" w:beforeAutospacing="0" w:after="0" w:afterAutospacing="0" w:line="560" w:lineRule="exact"/>
        <w:ind w:firstLine="640" w:firstLineChars="200"/>
        <w:rPr>
          <w:rFonts w:hint="default" w:ascii="Times New Roman" w:hAnsi="Times New Roman" w:eastAsia="楷体"/>
          <w:b/>
          <w:bCs/>
          <w:sz w:val="32"/>
          <w:szCs w:val="32"/>
          <w:shd w:val="clear" w:color="auto" w:fill="FFFFFF"/>
        </w:rPr>
      </w:pPr>
      <w:r>
        <w:rPr>
          <w:rStyle w:val="10"/>
          <w:rFonts w:hint="default" w:ascii="Times New Roman" w:hAnsi="Times New Roman" w:eastAsia="方正仿宋_GBK"/>
          <w:b w:val="0"/>
          <w:bCs/>
          <w:sz w:val="32"/>
          <w:szCs w:val="32"/>
          <w:shd w:val="clear" w:color="auto" w:fill="FFFFFF"/>
        </w:rPr>
        <w:t>根据预算绩效管理要求，我委对部门整体和56个项目开展了绩效自评，其中，以填报自评表形式开展自评56项，涉及资金26746.24万元；以委托第三方出具报告的方式开展绩效评价0项，涉及资金0万元。</w:t>
      </w:r>
    </w:p>
    <w:p>
      <w:pPr>
        <w:pStyle w:val="11"/>
        <w:numPr>
          <w:ilvl w:val="0"/>
          <w:numId w:val="1"/>
        </w:numPr>
        <w:autoSpaceDE w:val="0"/>
        <w:spacing w:line="560" w:lineRule="exact"/>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绩效自评价情况</w:t>
      </w:r>
    </w:p>
    <w:p>
      <w:pPr>
        <w:pStyle w:val="11"/>
        <w:autoSpaceDE w:val="0"/>
        <w:spacing w:line="56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1.绩效目标自评表</w:t>
      </w:r>
    </w:p>
    <w:tbl>
      <w:tblPr>
        <w:tblStyle w:val="7"/>
        <w:tblW w:w="9740" w:type="dxa"/>
        <w:jc w:val="center"/>
        <w:tblLayout w:type="autofit"/>
        <w:tblCellMar>
          <w:top w:w="0" w:type="dxa"/>
          <w:left w:w="0" w:type="dxa"/>
          <w:bottom w:w="0" w:type="dxa"/>
          <w:right w:w="0" w:type="dxa"/>
        </w:tblCellMar>
      </w:tblPr>
      <w:tblGrid>
        <w:gridCol w:w="484"/>
        <w:gridCol w:w="484"/>
        <w:gridCol w:w="704"/>
        <w:gridCol w:w="1774"/>
        <w:gridCol w:w="881"/>
        <w:gridCol w:w="1896"/>
        <w:gridCol w:w="687"/>
        <w:gridCol w:w="1774"/>
        <w:gridCol w:w="687"/>
        <w:gridCol w:w="1129"/>
        <w:gridCol w:w="1346"/>
      </w:tblGrid>
      <w:tr>
        <w:tblPrEx>
          <w:tblCellMar>
            <w:top w:w="0" w:type="dxa"/>
            <w:left w:w="0" w:type="dxa"/>
            <w:bottom w:w="0" w:type="dxa"/>
            <w:right w:w="0" w:type="dxa"/>
          </w:tblCellMar>
        </w:tblPrEx>
        <w:trPr>
          <w:trHeight w:val="725" w:hRule="atLeast"/>
          <w:jc w:val="center"/>
        </w:trPr>
        <w:tc>
          <w:tcPr>
            <w:tcW w:w="974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000000"/>
                <w:sz w:val="40"/>
                <w:szCs w:val="40"/>
              </w:rPr>
            </w:pPr>
            <w:r>
              <w:rPr>
                <w:rFonts w:hint="default" w:ascii="Times New Roman" w:hAnsi="Times New Roman" w:eastAsia="微软雅黑"/>
                <w:b/>
                <w:color w:val="000000"/>
                <w:sz w:val="40"/>
                <w:szCs w:val="40"/>
              </w:rPr>
              <w:t>2023年度部门整体绩效自评表</w:t>
            </w:r>
          </w:p>
        </w:tc>
      </w:tr>
      <w:tr>
        <w:tblPrEx>
          <w:tblCellMar>
            <w:top w:w="0" w:type="dxa"/>
            <w:left w:w="0" w:type="dxa"/>
            <w:bottom w:w="0" w:type="dxa"/>
            <w:right w:w="0" w:type="dxa"/>
          </w:tblCellMar>
        </w:tblPrEx>
        <w:trPr>
          <w:trHeight w:val="39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b/>
                <w:color w:val="DA3232"/>
                <w:sz w:val="22"/>
                <w:szCs w:val="22"/>
              </w:rPr>
            </w:pPr>
            <w:r>
              <w:rPr>
                <w:rFonts w:hint="default" w:ascii="Times New Roman" w:hAnsi="Times New Roman"/>
                <w:b/>
                <w:sz w:val="22"/>
                <w:szCs w:val="22"/>
              </w:rPr>
              <w:t>状态：绩效审核已审</w:t>
            </w:r>
          </w:p>
        </w:tc>
      </w:tr>
      <w:tr>
        <w:tblPrEx>
          <w:tblCellMar>
            <w:top w:w="0" w:type="dxa"/>
            <w:left w:w="0" w:type="dxa"/>
            <w:bottom w:w="0" w:type="dxa"/>
            <w:right w:w="0" w:type="dxa"/>
          </w:tblCellMar>
        </w:tblPrEx>
        <w:trPr>
          <w:trHeight w:val="1772"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项目名称：</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石柱土家族自治县住房和城乡建设委员会整体自评</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项目编码：</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50024000023P000039</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自评总分：</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99.58</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b/>
                <w:color w:val="000000"/>
                <w:sz w:val="22"/>
                <w:szCs w:val="22"/>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560"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项目主管部门：</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064-石柱土家族自治县住房和城乡建设委员会</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财政归口处室：</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508-经济建设和产业发展科</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部门联系人：</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刘xx</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联系电话：</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13xxxxxxxx</w:t>
            </w:r>
          </w:p>
        </w:tc>
      </w:tr>
      <w:tr>
        <w:tblPrEx>
          <w:tblCellMar>
            <w:top w:w="0" w:type="dxa"/>
            <w:left w:w="0" w:type="dxa"/>
            <w:bottom w:w="0" w:type="dxa"/>
            <w:right w:w="0" w:type="dxa"/>
          </w:tblCellMar>
        </w:tblPrEx>
        <w:trPr>
          <w:trHeight w:val="888"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资金情况</w:t>
            </w:r>
          </w:p>
        </w:tc>
      </w:tr>
      <w:tr>
        <w:tblPrEx>
          <w:tblCellMar>
            <w:top w:w="0" w:type="dxa"/>
            <w:left w:w="0" w:type="dxa"/>
            <w:bottom w:w="0" w:type="dxa"/>
            <w:right w:w="0" w:type="dxa"/>
          </w:tblCellMar>
        </w:tblPrEx>
        <w:trPr>
          <w:trHeight w:val="864"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Times New Roman" w:hAnsi="Times New Roman"/>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执行率权重</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执行率得分</w:t>
            </w:r>
          </w:p>
        </w:tc>
      </w:tr>
      <w:tr>
        <w:tblPrEx>
          <w:tblCellMar>
            <w:top w:w="0" w:type="dxa"/>
            <w:left w:w="0" w:type="dxa"/>
            <w:bottom w:w="0" w:type="dxa"/>
            <w:right w:w="0" w:type="dxa"/>
          </w:tblCellMar>
        </w:tblPrEx>
        <w:trPr>
          <w:trHeight w:val="725" w:hRule="atLeast"/>
          <w:jc w:val="center"/>
        </w:trPr>
        <w:tc>
          <w:tcPr>
            <w:tcW w:w="51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141,249,711.30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46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833,904,358.72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799,270,658.38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725" w:hRule="atLeast"/>
          <w:jc w:val="center"/>
        </w:trPr>
        <w:tc>
          <w:tcPr>
            <w:tcW w:w="51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141,249,711.30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46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833,904,358.72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799,270,658.38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9.58 </w:t>
            </w:r>
          </w:p>
        </w:tc>
      </w:tr>
      <w:tr>
        <w:tblPrEx>
          <w:tblCellMar>
            <w:top w:w="0" w:type="dxa"/>
            <w:left w:w="0" w:type="dxa"/>
            <w:bottom w:w="0" w:type="dxa"/>
            <w:right w:w="0" w:type="dxa"/>
          </w:tblCellMar>
        </w:tblPrEx>
        <w:trPr>
          <w:trHeight w:val="834" w:hRule="atLeast"/>
          <w:jc w:val="center"/>
        </w:trPr>
        <w:tc>
          <w:tcPr>
            <w:tcW w:w="511"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55,253,071.62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46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206,037,513.39 </w:t>
            </w:r>
          </w:p>
        </w:tc>
        <w:tc>
          <w:tcPr>
            <w:tcW w:w="0" w:type="auto"/>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189,514,600.39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489"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绩效目标</w:t>
            </w:r>
          </w:p>
        </w:tc>
      </w:tr>
      <w:tr>
        <w:tblPrEx>
          <w:tblCellMar>
            <w:top w:w="0" w:type="dxa"/>
            <w:left w:w="0" w:type="dxa"/>
            <w:bottom w:w="0" w:type="dxa"/>
            <w:right w:w="0" w:type="dxa"/>
          </w:tblCellMar>
        </w:tblPrEx>
        <w:trPr>
          <w:trHeight w:val="39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全年目标实际完成情况</w:t>
            </w:r>
          </w:p>
        </w:tc>
      </w:tr>
      <w:tr>
        <w:tblPrEx>
          <w:tblCellMar>
            <w:top w:w="0" w:type="dxa"/>
            <w:left w:w="0" w:type="dxa"/>
            <w:bottom w:w="0" w:type="dxa"/>
            <w:right w:w="0" w:type="dxa"/>
          </w:tblCellMar>
        </w:tblPrEx>
        <w:trPr>
          <w:trHeight w:val="2558" w:hRule="atLeast"/>
          <w:jc w:val="center"/>
        </w:trPr>
        <w:tc>
          <w:tcPr>
            <w:tcW w:w="3106"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完成本单位正常工作和县委、县政府下达的2023年房地产行业、建筑行业、勘察设计行业的各项指标，推进2023年的重点项目建设以及2022年项目的收尾工作，办好民生实事，加强行业监管，推进住房和城乡建设事业改革发展，确保本年度支出不超出预算收入。</w:t>
            </w:r>
          </w:p>
        </w:tc>
        <w:tc>
          <w:tcPr>
            <w:tcW w:w="405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rPr>
                <w:rFonts w:hint="default" w:ascii="Times New Roman" w:hAnsi="Times New Roman"/>
                <w:color w:val="000000"/>
                <w:sz w:val="22"/>
                <w:szCs w:val="22"/>
              </w:rPr>
            </w:pPr>
          </w:p>
        </w:tc>
        <w:tc>
          <w:tcPr>
            <w:tcW w:w="2582"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完成本单位正常工作和县委、县政府下达的2023年房地产行业、建筑行业、勘察设计行业的各项指标，推进2023年的重点项目建设以及2022年项目的收尾工作，办好民生实事，加强行业监管，推进住房和城乡建设事业改革发展，确保本年度支出不超出预算收入。</w:t>
            </w:r>
          </w:p>
        </w:tc>
      </w:tr>
      <w:tr>
        <w:tblPrEx>
          <w:tblCellMar>
            <w:top w:w="0" w:type="dxa"/>
            <w:left w:w="0" w:type="dxa"/>
            <w:bottom w:w="0" w:type="dxa"/>
            <w:right w:w="0" w:type="dxa"/>
          </w:tblCellMar>
        </w:tblPrEx>
        <w:trPr>
          <w:trHeight w:val="489"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绩效指标</w:t>
            </w:r>
          </w:p>
        </w:tc>
      </w:tr>
      <w:tr>
        <w:tblPrEx>
          <w:tblCellMar>
            <w:top w:w="0" w:type="dxa"/>
            <w:left w:w="0" w:type="dxa"/>
            <w:bottom w:w="0" w:type="dxa"/>
            <w:right w:w="0" w:type="dxa"/>
          </w:tblCellMar>
        </w:tblPrEx>
        <w:trPr>
          <w:trHeight w:val="864"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指标名称</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计量单位</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指标性质</w:t>
            </w:r>
          </w:p>
        </w:tc>
        <w:tc>
          <w:tcPr>
            <w:tcW w:w="15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指标值</w:t>
            </w:r>
          </w:p>
        </w:tc>
        <w:tc>
          <w:tcPr>
            <w:tcW w:w="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全年完成值</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偏离度（%）</w:t>
            </w:r>
          </w:p>
        </w:tc>
        <w:tc>
          <w:tcPr>
            <w:tcW w:w="5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得分系数（%）</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指标权重</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指标得分</w:t>
            </w:r>
          </w:p>
        </w:tc>
        <w:tc>
          <w:tcPr>
            <w:tcW w:w="9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是否核心指标</w:t>
            </w: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说明</w:t>
            </w:r>
          </w:p>
        </w:tc>
      </w:tr>
      <w:tr>
        <w:tblPrEx>
          <w:tblCellMar>
            <w:top w:w="0" w:type="dxa"/>
            <w:left w:w="0" w:type="dxa"/>
            <w:bottom w:w="0" w:type="dxa"/>
            <w:right w:w="0" w:type="dxa"/>
          </w:tblCellMar>
        </w:tblPrEx>
        <w:trPr>
          <w:trHeight w:val="143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完成城市基础设施配套费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43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完成建设领域罚没收入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43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完成廉租住房租金收入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197"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完成污水处理费收入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197"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确保城市污水处理率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197"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改造项目当年开工率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261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办事程序公开透明，完善工作制度，提高办事效率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2141"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通过建筑扬尘治理净化空气，保护环境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197"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职责范围内投诉率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676"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本年度支出不超出预算收入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bl>
    <w:p>
      <w:pPr>
        <w:pStyle w:val="11"/>
        <w:autoSpaceDE w:val="0"/>
        <w:ind w:firstLine="0" w:firstLineChars="0"/>
        <w:rPr>
          <w:rFonts w:ascii="Times New Roman" w:hAnsi="Times New Roman" w:eastAsia="楷体"/>
          <w:b/>
          <w:bCs/>
          <w:sz w:val="32"/>
          <w:szCs w:val="32"/>
          <w:shd w:val="clear" w:color="auto" w:fill="FFFFFF"/>
        </w:rPr>
      </w:pPr>
    </w:p>
    <w:tbl>
      <w:tblPr>
        <w:tblStyle w:val="7"/>
        <w:tblW w:w="10320" w:type="dxa"/>
        <w:jc w:val="center"/>
        <w:tblLayout w:type="fixed"/>
        <w:tblCellMar>
          <w:top w:w="0" w:type="dxa"/>
          <w:left w:w="0" w:type="dxa"/>
          <w:bottom w:w="0" w:type="dxa"/>
          <w:right w:w="0" w:type="dxa"/>
        </w:tblCellMar>
      </w:tblPr>
      <w:tblGrid>
        <w:gridCol w:w="534"/>
        <w:gridCol w:w="534"/>
        <w:gridCol w:w="707"/>
        <w:gridCol w:w="570"/>
        <w:gridCol w:w="790"/>
        <w:gridCol w:w="1927"/>
        <w:gridCol w:w="717"/>
        <w:gridCol w:w="1420"/>
        <w:gridCol w:w="758"/>
        <w:gridCol w:w="1180"/>
        <w:gridCol w:w="1183"/>
      </w:tblGrid>
      <w:tr>
        <w:tblPrEx>
          <w:tblCellMar>
            <w:top w:w="0" w:type="dxa"/>
            <w:left w:w="0" w:type="dxa"/>
            <w:bottom w:w="0" w:type="dxa"/>
            <w:right w:w="0" w:type="dxa"/>
          </w:tblCellMar>
        </w:tblPrEx>
        <w:trPr>
          <w:trHeight w:val="1036"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000000"/>
                <w:sz w:val="40"/>
                <w:szCs w:val="40"/>
              </w:rPr>
            </w:pPr>
            <w:r>
              <w:rPr>
                <w:rFonts w:hint="default" w:ascii="Times New Roman" w:hAnsi="Times New Roman" w:eastAsia="微软雅黑"/>
                <w:b/>
                <w:color w:val="000000"/>
                <w:sz w:val="40"/>
                <w:szCs w:val="40"/>
              </w:rPr>
              <w:t>2023年度二级项目绩效自评表</w:t>
            </w:r>
          </w:p>
        </w:tc>
      </w:tr>
      <w:tr>
        <w:tblPrEx>
          <w:tblCellMar>
            <w:top w:w="0" w:type="dxa"/>
            <w:left w:w="0" w:type="dxa"/>
            <w:bottom w:w="0" w:type="dxa"/>
            <w:right w:w="0" w:type="dxa"/>
          </w:tblCellMar>
        </w:tblPrEx>
        <w:trPr>
          <w:trHeight w:val="470"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b/>
                <w:color w:val="DA3232"/>
                <w:sz w:val="22"/>
                <w:szCs w:val="22"/>
              </w:rPr>
            </w:pPr>
            <w:r>
              <w:rPr>
                <w:rFonts w:hint="default" w:ascii="Times New Roman" w:hAnsi="Times New Roman"/>
                <w:bCs/>
                <w:sz w:val="22"/>
                <w:szCs w:val="22"/>
              </w:rPr>
              <w:t>状态：绩效审核已审</w:t>
            </w:r>
          </w:p>
        </w:tc>
      </w:tr>
      <w:tr>
        <w:tblPrEx>
          <w:tblCellMar>
            <w:top w:w="0" w:type="dxa"/>
            <w:left w:w="0" w:type="dxa"/>
            <w:bottom w:w="0" w:type="dxa"/>
            <w:right w:w="0" w:type="dxa"/>
          </w:tblCellMar>
        </w:tblPrEx>
        <w:trPr>
          <w:trHeight w:val="3041"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项目名称：</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石柱县2022年城镇老旧小区改造和提升项目（玉带河以北老城片区）</w:t>
            </w:r>
            <w:bookmarkStart w:id="0" w:name="_GoBack"/>
            <w:bookmarkEnd w:id="0"/>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项目编码：</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50024023T000003731816</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自评总分：</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100.00</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b/>
                <w:color w:val="000000"/>
                <w:sz w:val="22"/>
                <w:szCs w:val="22"/>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204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项目主管部门：</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064-石柱土家族自治县住房和城乡建设委员会</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财政归口处室：</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508-经济建设和产业发展科</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部门联系人：</w:t>
            </w:r>
          </w:p>
        </w:tc>
        <w:tc>
          <w:tcPr>
            <w:tcW w:w="217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孙xx</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b/>
                <w:color w:val="000000"/>
                <w:sz w:val="22"/>
                <w:szCs w:val="22"/>
              </w:rPr>
            </w:pPr>
            <w:r>
              <w:rPr>
                <w:rFonts w:hint="default" w:ascii="Times New Roman" w:hAnsi="Times New Roman"/>
                <w:b/>
                <w:color w:val="000000"/>
                <w:sz w:val="22"/>
                <w:szCs w:val="22"/>
              </w:rPr>
              <w:t>联系电话：</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15xxxxxxxx</w:t>
            </w:r>
          </w:p>
        </w:tc>
      </w:tr>
      <w:tr>
        <w:tblPrEx>
          <w:tblCellMar>
            <w:top w:w="0" w:type="dxa"/>
            <w:left w:w="0" w:type="dxa"/>
            <w:bottom w:w="0" w:type="dxa"/>
            <w:right w:w="0" w:type="dxa"/>
          </w:tblCellMar>
        </w:tblPrEx>
        <w:trPr>
          <w:trHeight w:val="698"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资金情况</w:t>
            </w:r>
          </w:p>
        </w:tc>
      </w:tr>
      <w:tr>
        <w:tblPrEx>
          <w:tblCellMar>
            <w:top w:w="0" w:type="dxa"/>
            <w:left w:w="0" w:type="dxa"/>
            <w:bottom w:w="0" w:type="dxa"/>
            <w:right w:w="0" w:type="dxa"/>
          </w:tblCellMar>
        </w:tblPrEx>
        <w:trPr>
          <w:trHeight w:val="470" w:hRule="atLeast"/>
          <w:jc w:val="center"/>
        </w:trPr>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color w:val="000000"/>
                <w:sz w:val="22"/>
                <w:szCs w:val="22"/>
              </w:rPr>
            </w:pPr>
          </w:p>
        </w:tc>
        <w:tc>
          <w:tcPr>
            <w:tcW w:w="127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年初预算数</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全年（调整）预算数</w:t>
            </w:r>
          </w:p>
        </w:tc>
        <w:tc>
          <w:tcPr>
            <w:tcW w:w="213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全年执行数</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执行率权重</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执行率得分</w:t>
            </w:r>
          </w:p>
        </w:tc>
      </w:tr>
      <w:tr>
        <w:tblPrEx>
          <w:tblCellMar>
            <w:top w:w="0" w:type="dxa"/>
            <w:left w:w="0" w:type="dxa"/>
            <w:bottom w:w="0" w:type="dxa"/>
            <w:right w:w="0" w:type="dxa"/>
          </w:tblCellMar>
        </w:tblPrEx>
        <w:trPr>
          <w:trHeight w:val="1224" w:hRule="atLeast"/>
          <w:jc w:val="center"/>
        </w:trPr>
        <w:tc>
          <w:tcPr>
            <w:tcW w:w="53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年度总金额</w:t>
            </w:r>
          </w:p>
        </w:tc>
        <w:tc>
          <w:tcPr>
            <w:tcW w:w="53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7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5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9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9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7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4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1822" w:hRule="atLeast"/>
          <w:jc w:val="center"/>
        </w:trPr>
        <w:tc>
          <w:tcPr>
            <w:tcW w:w="53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其中：财政拨款</w:t>
            </w:r>
          </w:p>
        </w:tc>
        <w:tc>
          <w:tcPr>
            <w:tcW w:w="53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7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5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9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9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7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4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30,000,000.00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10.00</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10.00 </w:t>
            </w:r>
          </w:p>
        </w:tc>
      </w:tr>
      <w:tr>
        <w:tblPrEx>
          <w:tblCellMar>
            <w:top w:w="0" w:type="dxa"/>
            <w:left w:w="0" w:type="dxa"/>
            <w:bottom w:w="0" w:type="dxa"/>
            <w:right w:w="0" w:type="dxa"/>
          </w:tblCellMar>
        </w:tblPrEx>
        <w:trPr>
          <w:trHeight w:val="1172" w:hRule="atLeast"/>
          <w:jc w:val="center"/>
        </w:trPr>
        <w:tc>
          <w:tcPr>
            <w:tcW w:w="534"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textAlignment w:val="center"/>
              <w:rPr>
                <w:rFonts w:hint="default" w:ascii="Times New Roman" w:hAnsi="Times New Roman"/>
                <w:color w:val="000000"/>
                <w:sz w:val="22"/>
                <w:szCs w:val="22"/>
              </w:rPr>
            </w:pPr>
            <w:r>
              <w:rPr>
                <w:rFonts w:hint="default" w:ascii="Times New Roman" w:hAnsi="Times New Roman"/>
                <w:color w:val="000000"/>
                <w:sz w:val="22"/>
                <w:szCs w:val="22"/>
              </w:rPr>
              <w:t>一般公共预算</w:t>
            </w:r>
          </w:p>
        </w:tc>
        <w:tc>
          <w:tcPr>
            <w:tcW w:w="53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7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5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9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92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1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4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 xml:space="preserve">0.00 </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default" w:ascii="Times New Roman" w:hAnsi="Times New Roman"/>
                <w:color w:val="000000"/>
                <w:sz w:val="22"/>
                <w:szCs w:val="22"/>
              </w:rPr>
            </w:pPr>
          </w:p>
        </w:tc>
      </w:tr>
      <w:tr>
        <w:tblPrEx>
          <w:tblCellMar>
            <w:top w:w="0" w:type="dxa"/>
            <w:left w:w="0" w:type="dxa"/>
            <w:bottom w:w="0" w:type="dxa"/>
            <w:right w:w="0" w:type="dxa"/>
          </w:tblCellMar>
        </w:tblPrEx>
        <w:trPr>
          <w:trHeight w:val="698"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绩效目标</w:t>
            </w:r>
          </w:p>
        </w:tc>
      </w:tr>
      <w:tr>
        <w:tblPrEx>
          <w:tblCellMar>
            <w:top w:w="0" w:type="dxa"/>
            <w:left w:w="0" w:type="dxa"/>
            <w:bottom w:w="0" w:type="dxa"/>
            <w:right w:w="0" w:type="dxa"/>
          </w:tblCellMar>
        </w:tblPrEx>
        <w:trPr>
          <w:trHeight w:val="470" w:hRule="atLeast"/>
          <w:jc w:val="center"/>
        </w:trPr>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年初绩效目标</w:t>
            </w:r>
          </w:p>
        </w:tc>
        <w:tc>
          <w:tcPr>
            <w:tcW w:w="485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全年（调整）绩效目标</w:t>
            </w:r>
          </w:p>
        </w:tc>
        <w:tc>
          <w:tcPr>
            <w:tcW w:w="31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全年目标实际完成情况</w:t>
            </w:r>
          </w:p>
        </w:tc>
      </w:tr>
      <w:tr>
        <w:tblPrEx>
          <w:tblCellMar>
            <w:top w:w="0" w:type="dxa"/>
            <w:left w:w="0" w:type="dxa"/>
            <w:bottom w:w="0" w:type="dxa"/>
            <w:right w:w="0" w:type="dxa"/>
          </w:tblCellMar>
        </w:tblPrEx>
        <w:trPr>
          <w:trHeight w:val="1412" w:hRule="atLeast"/>
          <w:jc w:val="center"/>
        </w:trPr>
        <w:tc>
          <w:tcPr>
            <w:tcW w:w="2345"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消除老旧房屋安全隐患，改善人民群众居住条件。</w:t>
            </w:r>
          </w:p>
        </w:tc>
        <w:tc>
          <w:tcPr>
            <w:tcW w:w="485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消除老旧房屋安全隐患，改善人民群众居住条件。</w:t>
            </w:r>
          </w:p>
        </w:tc>
        <w:tc>
          <w:tcPr>
            <w:tcW w:w="3121"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textAlignment w:val="top"/>
              <w:rPr>
                <w:rFonts w:hint="default" w:ascii="Times New Roman" w:hAnsi="Times New Roman"/>
                <w:color w:val="000000"/>
                <w:sz w:val="22"/>
                <w:szCs w:val="22"/>
              </w:rPr>
            </w:pPr>
            <w:r>
              <w:rPr>
                <w:rFonts w:hint="default" w:ascii="Times New Roman" w:hAnsi="Times New Roman"/>
                <w:color w:val="000000"/>
                <w:sz w:val="22"/>
                <w:szCs w:val="22"/>
              </w:rPr>
              <w:t>消除老旧房屋安全隐患，改善人民群众居住条件。</w:t>
            </w:r>
          </w:p>
        </w:tc>
      </w:tr>
      <w:tr>
        <w:tblPrEx>
          <w:tblCellMar>
            <w:top w:w="0" w:type="dxa"/>
            <w:left w:w="0" w:type="dxa"/>
            <w:bottom w:w="0" w:type="dxa"/>
            <w:right w:w="0" w:type="dxa"/>
          </w:tblCellMar>
        </w:tblPrEx>
        <w:trPr>
          <w:trHeight w:val="698" w:hRule="atLeast"/>
          <w:jc w:val="center"/>
        </w:trPr>
        <w:tc>
          <w:tcPr>
            <w:tcW w:w="10320"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textAlignment w:val="center"/>
              <w:rPr>
                <w:rFonts w:hint="default" w:ascii="Times New Roman" w:hAnsi="Times New Roman" w:eastAsia="微软雅黑"/>
                <w:b/>
                <w:color w:val="808080"/>
                <w:sz w:val="28"/>
                <w:szCs w:val="28"/>
              </w:rPr>
            </w:pPr>
            <w:r>
              <w:rPr>
                <w:rFonts w:hint="default" w:ascii="Times New Roman" w:hAnsi="Times New Roman" w:eastAsia="微软雅黑"/>
                <w:b/>
                <w:color w:val="808080"/>
                <w:sz w:val="28"/>
                <w:szCs w:val="28"/>
              </w:rPr>
              <w:t>绩效指标</w:t>
            </w:r>
          </w:p>
        </w:tc>
      </w:tr>
      <w:tr>
        <w:tblPrEx>
          <w:tblCellMar>
            <w:top w:w="0" w:type="dxa"/>
            <w:left w:w="0" w:type="dxa"/>
            <w:bottom w:w="0" w:type="dxa"/>
            <w:right w:w="0" w:type="dxa"/>
          </w:tblCellMar>
        </w:tblPrEx>
        <w:trPr>
          <w:trHeight w:val="154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指标名称</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计量单位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指标性质</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指标值</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全年完成值</w:t>
            </w:r>
          </w:p>
        </w:tc>
        <w:tc>
          <w:tcPr>
            <w:tcW w:w="19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偏离度（%）</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得分系数（%）</w:t>
            </w:r>
          </w:p>
        </w:tc>
        <w:tc>
          <w:tcPr>
            <w:tcW w:w="14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指标权重</w:t>
            </w:r>
          </w:p>
        </w:tc>
        <w:tc>
          <w:tcPr>
            <w:tcW w:w="7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指标得分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是否核心指标</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Times New Roman" w:hAnsi="Times New Roman"/>
                <w:b/>
                <w:color w:val="000000"/>
                <w:sz w:val="22"/>
                <w:szCs w:val="22"/>
              </w:rPr>
            </w:pPr>
            <w:r>
              <w:rPr>
                <w:rFonts w:hint="default" w:ascii="Times New Roman" w:hAnsi="Times New Roman"/>
                <w:b/>
                <w:color w:val="000000"/>
                <w:sz w:val="22"/>
                <w:szCs w:val="22"/>
              </w:rPr>
              <w:t>说明</w:t>
            </w:r>
          </w:p>
        </w:tc>
      </w:tr>
      <w:tr>
        <w:tblPrEx>
          <w:tblCellMar>
            <w:top w:w="0" w:type="dxa"/>
            <w:left w:w="0" w:type="dxa"/>
            <w:bottom w:w="0" w:type="dxa"/>
            <w:right w:w="0" w:type="dxa"/>
          </w:tblCellMar>
        </w:tblPrEx>
        <w:trPr>
          <w:trHeight w:val="1538"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改造提升小区</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个</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43</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41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验收合格率</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292"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资金到位率</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238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促进社会发展，社会和谐稳定</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Times New Roman" w:hAnsi="Times New Roman"/>
                <w:color w:val="000000"/>
                <w:sz w:val="22"/>
                <w:szCs w:val="22"/>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定性</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明显改善</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656"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当地群众满意度</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95</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r>
        <w:tblPrEx>
          <w:tblCellMar>
            <w:top w:w="0" w:type="dxa"/>
            <w:left w:w="0" w:type="dxa"/>
            <w:bottom w:w="0" w:type="dxa"/>
            <w:right w:w="0" w:type="dxa"/>
          </w:tblCellMar>
        </w:tblPrEx>
        <w:trPr>
          <w:trHeight w:val="1665" w:hRule="atLeast"/>
          <w:jc w:val="center"/>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超概算项目比例</w:t>
            </w:r>
          </w:p>
        </w:tc>
        <w:tc>
          <w:tcPr>
            <w:tcW w:w="53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textAlignment w:val="center"/>
              <w:rPr>
                <w:rFonts w:hint="default" w:ascii="Times New Roman" w:hAnsi="Times New Roman"/>
                <w:color w:val="000000"/>
                <w:sz w:val="22"/>
                <w:szCs w:val="22"/>
              </w:rPr>
            </w:pPr>
            <w:r>
              <w:rPr>
                <w:rFonts w:hint="default" w:ascii="Times New Roman" w:hAnsi="Times New Roman"/>
                <w:color w:val="000000"/>
                <w:sz w:val="22"/>
                <w:szCs w:val="22"/>
              </w:rPr>
              <w:t>＝</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192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0</w:t>
            </w:r>
          </w:p>
        </w:tc>
        <w:tc>
          <w:tcPr>
            <w:tcW w:w="71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100</w:t>
            </w:r>
          </w:p>
        </w:tc>
        <w:tc>
          <w:tcPr>
            <w:tcW w:w="14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ind w:firstLine="220" w:firstLineChars="100"/>
              <w:jc w:val="right"/>
              <w:textAlignment w:val="center"/>
              <w:rPr>
                <w:rFonts w:hint="default" w:ascii="Times New Roman" w:hAnsi="Times New Roman"/>
                <w:color w:val="000000"/>
                <w:sz w:val="22"/>
                <w:szCs w:val="22"/>
              </w:rPr>
            </w:pPr>
            <w:r>
              <w:rPr>
                <w:rFonts w:hint="default" w:ascii="Times New Roman" w:hAnsi="Times New Roman"/>
                <w:color w:val="000000"/>
                <w:sz w:val="22"/>
                <w:szCs w:val="22"/>
              </w:rPr>
              <w:t>20</w:t>
            </w:r>
          </w:p>
        </w:tc>
        <w:tc>
          <w:tcPr>
            <w:tcW w:w="118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color w:val="000000"/>
                <w:sz w:val="22"/>
                <w:szCs w:val="22"/>
              </w:rPr>
            </w:pPr>
          </w:p>
        </w:tc>
      </w:tr>
    </w:tbl>
    <w:p>
      <w:pPr>
        <w:pStyle w:val="6"/>
        <w:shd w:val="clear" w:color="auto" w:fill="FFFFFF"/>
        <w:spacing w:line="560" w:lineRule="exact"/>
        <w:rPr>
          <w:rStyle w:val="10"/>
          <w:rFonts w:hint="default" w:ascii="Times New Roman" w:hAnsi="Times New Roman" w:eastAsia="方正楷体_GBK"/>
          <w:sz w:val="32"/>
          <w:szCs w:val="32"/>
          <w:shd w:val="clear" w:color="auto" w:fill="FFFFFF"/>
        </w:rPr>
        <w:sectPr>
          <w:footerReference r:id="rId3" w:type="default"/>
          <w:pgSz w:w="11915" w:h="16840"/>
          <w:pgMar w:top="2098" w:right="1474" w:bottom="1984" w:left="1587" w:header="851" w:footer="992" w:gutter="0"/>
          <w:pgNumType w:fmt="numberInDash"/>
          <w:cols w:space="720" w:num="1"/>
          <w:docGrid w:type="lines" w:linePitch="312" w:charSpace="0"/>
        </w:sectPr>
      </w:pPr>
    </w:p>
    <w:p>
      <w:pPr>
        <w:pStyle w:val="11"/>
        <w:autoSpaceDE w:val="0"/>
        <w:ind w:firstLine="0" w:firstLineChars="0"/>
        <w:rPr>
          <w:rFonts w:ascii="Times New Roman" w:hAnsi="Times New Roman" w:eastAsia="楷体"/>
          <w:b/>
          <w:bCs/>
          <w:sz w:val="32"/>
          <w:szCs w:val="32"/>
          <w:shd w:val="clear" w:color="auto" w:fill="FFFFFF"/>
        </w:rPr>
      </w:pP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2.绩效自评报告或案例</w:t>
      </w: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无。</w:t>
      </w: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3.关于绩效自评结果的说明</w:t>
      </w:r>
    </w:p>
    <w:p>
      <w:pPr>
        <w:pStyle w:val="12"/>
        <w:autoSpaceDE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无。</w:t>
      </w:r>
    </w:p>
    <w:p>
      <w:pPr>
        <w:pStyle w:val="11"/>
        <w:numPr>
          <w:ilvl w:val="0"/>
          <w:numId w:val="2"/>
        </w:numPr>
        <w:autoSpaceDE w:val="0"/>
        <w:ind w:firstLine="640"/>
        <w:rPr>
          <w:rStyle w:val="10"/>
          <w:rFonts w:ascii="Times New Roman" w:hAnsi="Times New Roman" w:eastAsia="方正楷体_GBK"/>
          <w:b w:val="0"/>
          <w:bCs/>
          <w:sz w:val="32"/>
          <w:szCs w:val="32"/>
          <w:shd w:val="clear" w:color="auto" w:fill="FFFFFF"/>
        </w:rPr>
      </w:pPr>
      <w:r>
        <w:rPr>
          <w:rStyle w:val="10"/>
          <w:rFonts w:ascii="Times New Roman" w:hAnsi="Times New Roman" w:eastAsia="方正楷体_GBK"/>
          <w:b w:val="0"/>
          <w:bCs/>
          <w:sz w:val="32"/>
          <w:szCs w:val="32"/>
          <w:shd w:val="clear" w:color="auto" w:fill="FFFFFF"/>
        </w:rPr>
        <w:t>财政绩效评价情况</w:t>
      </w:r>
    </w:p>
    <w:p>
      <w:pPr>
        <w:pStyle w:val="11"/>
        <w:autoSpaceDE w:val="0"/>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市财政局未委托第三方对我部门开展绩效评价。</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  六、专业名词解释</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（一）财政拨款收入：</w:t>
      </w:r>
      <w:r>
        <w:rPr>
          <w:rFonts w:hint="default" w:ascii="Times New Roman" w:hAnsi="Times New Roman" w:eastAsia="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（二）事业收入：</w:t>
      </w:r>
      <w:r>
        <w:rPr>
          <w:rFonts w:hint="default"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（三）经营收入：</w:t>
      </w:r>
      <w:r>
        <w:rPr>
          <w:rFonts w:hint="default" w:ascii="Times New Roman" w:hAnsi="Times New Roman" w:eastAsia="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（四）其他收入：</w:t>
      </w:r>
      <w:r>
        <w:rPr>
          <w:rFonts w:hint="default" w:ascii="Times New Roman"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（五）使用非财政拨款结余：</w:t>
      </w:r>
      <w:r>
        <w:rPr>
          <w:rFonts w:hint="default" w:ascii="Times New Roman"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（六）年初结转和结余：</w:t>
      </w:r>
      <w:r>
        <w:rPr>
          <w:rFonts w:hint="default" w:ascii="Times New Roman" w:hAnsi="Times New Roman" w:eastAsia="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（九）基本支出：</w:t>
      </w:r>
      <w:r>
        <w:rPr>
          <w:rFonts w:hint="default" w:ascii="Times New Roman"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Style w:val="10"/>
          <w:rFonts w:hint="default" w:ascii="Times New Roman" w:hAnsi="Times New Roman" w:eastAsia="方正楷体_GBK"/>
          <w:b w:val="0"/>
          <w:bCs/>
          <w:sz w:val="32"/>
          <w:szCs w:val="32"/>
          <w:shd w:val="clear" w:color="auto" w:fill="FFFFFF"/>
        </w:rPr>
        <w:t> （十四）工资福利支出（支出经济分类科目类级）：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楷体"/>
          <w:sz w:val="32"/>
          <w:szCs w:val="32"/>
          <w:shd w:val="clear" w:color="auto" w:fill="FFFFFF"/>
        </w:rPr>
        <w:t> </w:t>
      </w:r>
      <w:r>
        <w:rPr>
          <w:rStyle w:val="10"/>
          <w:rFonts w:hint="default" w:ascii="Times New Roman" w:hAnsi="Times New Roman" w:eastAsia="方正楷体_GBK"/>
          <w:b w:val="0"/>
          <w:bCs/>
          <w:sz w:val="32"/>
          <w:szCs w:val="32"/>
          <w:shd w:val="clear" w:color="auto" w:fill="FFFFFF"/>
        </w:rPr>
        <w:t>（十六）对个人和家庭的补助（支出经济分类科目类级）：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Times New Roman" w:hAnsi="Times New Roman" w:eastAsia="方正仿宋_GBK"/>
          <w:sz w:val="32"/>
          <w:szCs w:val="32"/>
        </w:rPr>
      </w:pPr>
      <w:r>
        <w:rPr>
          <w:rStyle w:val="10"/>
          <w:rFonts w:hint="default" w:ascii="Times New Roman" w:hAnsi="Times New Roman" w:eastAsia="方正仿宋_GBK"/>
          <w:sz w:val="32"/>
          <w:szCs w:val="32"/>
          <w:shd w:val="clear" w:color="auto" w:fill="FFFFFF"/>
        </w:rPr>
        <w:t> </w:t>
      </w:r>
      <w:r>
        <w:rPr>
          <w:rStyle w:val="10"/>
          <w:rFonts w:hint="default" w:ascii="Times New Roman" w:hAnsi="Times New Roman" w:eastAsia="方正楷体_GBK"/>
          <w:b w:val="0"/>
          <w:bCs/>
          <w:sz w:val="32"/>
          <w:szCs w:val="32"/>
          <w:shd w:val="clear" w:color="auto" w:fill="FFFFFF"/>
        </w:rPr>
        <w:t>（十七）其他资本性支出（支出经济分类科目类级）：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60" w:lineRule="exact"/>
        <w:ind w:firstLine="640" w:firstLineChars="200"/>
        <w:rPr>
          <w:rStyle w:val="10"/>
          <w:rFonts w:hint="default" w:ascii="Times New Roman" w:hAnsi="Times New Roman" w:eastAsia="方正黑体_GBK"/>
          <w:b w:val="0"/>
          <w:bCs/>
          <w:sz w:val="32"/>
          <w:szCs w:val="32"/>
          <w:shd w:val="clear" w:color="auto" w:fill="FFFFFF"/>
        </w:rPr>
      </w:pPr>
      <w:r>
        <w:rPr>
          <w:rStyle w:val="10"/>
          <w:rFonts w:hint="default" w:ascii="Times New Roman" w:hAnsi="Times New Roman" w:eastAsia="方正黑体_GBK"/>
          <w:b w:val="0"/>
          <w:bCs/>
          <w:sz w:val="32"/>
          <w:szCs w:val="32"/>
          <w:shd w:val="clear" w:color="auto" w:fill="FFFFFF"/>
        </w:rPr>
        <w:t>  七、决算公开联系方式及信息反馈渠道</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Style w:val="10"/>
          <w:rFonts w:hint="default" w:ascii="Times New Roman" w:hAnsi="Times New Roman" w:eastAsia="方正仿宋_GBK"/>
          <w:sz w:val="32"/>
          <w:szCs w:val="32"/>
          <w:shd w:val="clear" w:color="auto" w:fill="FFFF00"/>
        </w:rPr>
      </w:pPr>
      <w:r>
        <w:rPr>
          <w:rFonts w:hint="default" w:ascii="Times New Roman" w:hAnsi="Times New Roman" w:eastAsia="方正仿宋_GBK"/>
          <w:sz w:val="32"/>
          <w:szCs w:val="32"/>
          <w:shd w:val="clear" w:color="auto" w:fill="FFFFFF"/>
        </w:rPr>
        <w:t>冉佳运 023-81501800</w:t>
      </w:r>
    </w:p>
    <w:p>
      <w:pPr>
        <w:pStyle w:val="11"/>
        <w:autoSpaceDE w:val="0"/>
        <w:ind w:firstLine="0" w:firstLineChars="0"/>
        <w:rPr>
          <w:rStyle w:val="10"/>
          <w:rFonts w:ascii="Times New Roman" w:hAnsi="Times New Roman" w:eastAsia="方正仿宋_GBK"/>
          <w:sz w:val="32"/>
          <w:szCs w:val="32"/>
          <w:shd w:val="clear" w:color="auto" w:fill="FFFF00"/>
        </w:rPr>
        <w:sectPr>
          <w:pgSz w:w="11915" w:h="16840"/>
          <w:pgMar w:top="2098" w:right="1474" w:bottom="1984" w:left="1587" w:header="851" w:footer="992" w:gutter="0"/>
          <w:pgNumType w:fmt="numberInDash"/>
          <w:cols w:space="720" w:num="1"/>
          <w:docGrid w:type="lines" w:linePitch="312" w:charSpace="0"/>
        </w:sectPr>
      </w:pPr>
    </w:p>
    <w:p>
      <w:pPr>
        <w:rPr>
          <w:rFonts w:hint="default" w:ascii="Times New Roman" w:hAnsi="Times New Roman"/>
          <w:sz w:val="21"/>
          <w:szCs w:val="21"/>
        </w:rPr>
      </w:pPr>
    </w:p>
    <w:tbl>
      <w:tblPr>
        <w:tblStyle w:val="7"/>
        <w:tblW w:w="5005" w:type="pct"/>
        <w:tblInd w:w="0" w:type="dxa"/>
        <w:tblLayout w:type="autofit"/>
        <w:tblCellMar>
          <w:top w:w="0" w:type="dxa"/>
          <w:left w:w="0" w:type="dxa"/>
          <w:bottom w:w="0" w:type="dxa"/>
          <w:right w:w="0" w:type="dxa"/>
        </w:tblCellMar>
      </w:tblPr>
      <w:tblGrid>
        <w:gridCol w:w="4581"/>
        <w:gridCol w:w="1806"/>
        <w:gridCol w:w="4300"/>
        <w:gridCol w:w="3079"/>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hAnsi="Times New Roman"/>
                <w:sz w:val="20"/>
                <w:szCs w:val="20"/>
              </w:rPr>
              <w:t>公开部门：</w:t>
            </w:r>
            <w:r>
              <w:rPr>
                <w:rFonts w:hint="default" w:ascii="Times New Roman" w:hAnsi="Times New Roman"/>
                <w:sz w:val="20"/>
              </w:rPr>
              <w:t>重庆市石柱土家族自治县住房和城乡建设委员会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10,938.46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51,088.61</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930.84</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95.22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3,807.16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35,455.10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306.39</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4,529.56</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16,810.23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62,027.07</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62,027.07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hAns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62,027.07</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62,027.07</w:t>
            </w: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备注：1.本表反映部门本年度的总收支和年末结转结余情况。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521"/>
        <w:gridCol w:w="2836"/>
        <w:gridCol w:w="1103"/>
        <w:gridCol w:w="1103"/>
        <w:gridCol w:w="1103"/>
        <w:gridCol w:w="1103"/>
        <w:gridCol w:w="1221"/>
        <w:gridCol w:w="1169"/>
        <w:gridCol w:w="1287"/>
        <w:gridCol w:w="130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sz w:val="20"/>
              </w:rPr>
              <w:t>重庆市石柱土家族自治县住房和城乡建设委员会</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62,027.07</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62,027.07</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930.84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407.30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3,807.16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3,807.16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1,421.12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2,356.35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2,356.35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2,356.35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2,356.35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35,455.10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35,455.10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1,404.16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427.04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427.04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工程建设管理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城乡社区规划与管理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443.54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23,261.46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23,261.46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征地和拆迁补偿支出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19,727.89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19,727.89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3,533.57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农业土地开发资金安排的支出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214.21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城市公共设施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其他城市基础设施配套费安排的支出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1,831.58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污水处理费安排的支出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1,303.88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1,303.88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污水处理设施建设和运营</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其他污水处理费安排的支出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6,942.24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6,942.24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2121906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棚户区改造支出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6,942.24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6,942.24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306.39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水利工程建设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水资源节约管理与保护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21369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国家重大水利工程建设基金安排的支出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2136902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三峡后续工作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4,529.56</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3,484.95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廉租住房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公共租赁住房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保障性住房租金补贴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老旧小区改造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保障性租赁住房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城乡社区住宅</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其他城乡社区住宅支出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946.68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16,810.23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16,810.23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其他政府性基金及对应专项债务收入安排的支出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16,658.62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16,658.62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其他地方自行试点项目收益专项债券收入安排的支出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16,658.62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16,658.62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用于体育事业的彩票公益金支出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bl>
    <w:p>
      <w:pPr>
        <w:ind w:left="600" w:hanging="600" w:hangingChars="300"/>
        <w:rPr>
          <w:rFonts w:hint="default" w:ascii="Times New Roman" w:hAnsi="Times New Roman"/>
          <w:sz w:val="20"/>
          <w:szCs w:val="20"/>
        </w:rPr>
      </w:pPr>
      <w:r>
        <w:rPr>
          <w:rFonts w:hint="default" w:ascii="Times New Roman" w:hAnsi="Times New Roman"/>
          <w:sz w:val="20"/>
          <w:szCs w:val="20"/>
        </w:rPr>
        <w:t>备注：1.本表反映部门本年度取得的各项收入情况。</w:t>
      </w:r>
      <w:r>
        <w:rPr>
          <w:rFonts w:hint="default" w:ascii="Times New Roman" w:hAnsi="Times New Roman"/>
          <w:sz w:val="20"/>
          <w:szCs w:val="20"/>
        </w:rPr>
        <w:br w:type="textWrapping"/>
      </w:r>
      <w:r>
        <w:rPr>
          <w:rFonts w:hint="default" w:ascii="Times New Roman" w:hAnsi="Times New Roman"/>
          <w:sz w:val="20"/>
          <w:szCs w:val="20"/>
        </w:rPr>
        <w:t>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637"/>
        <w:gridCol w:w="4849"/>
        <w:gridCol w:w="1208"/>
        <w:gridCol w:w="1209"/>
        <w:gridCol w:w="1209"/>
        <w:gridCol w:w="1195"/>
        <w:gridCol w:w="1195"/>
        <w:gridCol w:w="125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 xml:space="preserve">重庆市石柱土家族自治县住房和城乡建设委员会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62,027.07</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2,230.41</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59,796.65</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930.84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476.51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454.33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407.30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440.34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2082202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440.34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95.22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51.76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3,807.16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3,807.16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1,450.81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1,421.12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29.69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2,356.35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2,356.35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2,356.35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2,356.35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35,455.10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1,560.75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33,894.35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1,404.16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1,117.60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286.56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186.56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274.88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工程建设管理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415.68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城乡社区规划与管理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443.54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443.15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20.74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23,261.46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23,261.46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征地和拆迁补偿支出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19,727.89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19,727.89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3,533.57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3,533.57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农业土地开发资金安排的支出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214.21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214.21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1,850.95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城市公共设施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其他城市基础设施配套费安排的支出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1,831.58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1,831.58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污水处理费安排的支出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1,303.88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1,303.88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污水处理设施建设和运营</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1,003.88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其他污水处理费安排的支出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6,942.24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6,942.24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2121906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棚户区改造支出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6,942.24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6,942.24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306.39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水利工程建设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水资源节约管理与保护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14.08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14.08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21369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国家重大水利工程建设基金安排的支出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265.31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2136902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三峡后续工作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4,529.56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4,431.62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3,484.95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3,484.95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廉租住房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47.97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506.80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公共租赁住房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1,232.08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1,232.08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保障性住房租金补贴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老旧小区改造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874.00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保障性租赁住房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97.93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城乡社区住宅</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946.68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其他城乡社区住宅支出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946.68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946.68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16,810.23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16,810.23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其他政府性基金及对应专项债务收入安排的支出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16,658.62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16,658.62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其他地方自行试点项目收益专项债券收入安排的支出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16,658.62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16,658.62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151.61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2296003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用于体育事业的彩票公益金支出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151.61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bl>
    <w:p>
      <w:pPr>
        <w:rPr>
          <w:rFonts w:hint="default" w:ascii="Times New Roman" w:hAnsi="Times New Roman"/>
          <w:sz w:val="20"/>
          <w:szCs w:val="20"/>
        </w:rPr>
      </w:pPr>
      <w:r>
        <w:rPr>
          <w:rFonts w:hint="default" w:ascii="Times New Roman" w:hAnsi="Times New Roman"/>
          <w:sz w:val="20"/>
          <w:szCs w:val="20"/>
        </w:rPr>
        <w:t>备注：1.本表反映部门本年度各项支出情况。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7"/>
        <w:tblW w:w="4790" w:type="pct"/>
        <w:tblInd w:w="0" w:type="dxa"/>
        <w:tblLayout w:type="autofit"/>
        <w:tblCellMar>
          <w:top w:w="0" w:type="dxa"/>
          <w:left w:w="0" w:type="dxa"/>
          <w:bottom w:w="0" w:type="dxa"/>
          <w:right w:w="0" w:type="dxa"/>
        </w:tblCellMar>
      </w:tblPr>
      <w:tblGrid>
        <w:gridCol w:w="2664"/>
        <w:gridCol w:w="1365"/>
        <w:gridCol w:w="2853"/>
        <w:gridCol w:w="1520"/>
        <w:gridCol w:w="1520"/>
        <w:gridCol w:w="1520"/>
        <w:gridCol w:w="173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10,938.46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92.57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51,088.61</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930.84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490.50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440.34</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95.22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3,807.16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3,807.16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35,455.10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1,882.37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33,572.73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306.39</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41.08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265.31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4,529.56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4,529.56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16,810.23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16,810.23</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62,027.07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62,027.07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10,938.46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51,088.61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62,027.07</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62,027.07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10,938.46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51,088.61</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547"/>
        <w:gridCol w:w="3630"/>
        <w:gridCol w:w="2854"/>
        <w:gridCol w:w="2854"/>
        <w:gridCol w:w="2867"/>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10,938.46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2,230.41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8,708.05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92.57</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92.57</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92.57</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490.50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476.51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407.30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407.30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138.47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138.47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194.73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69.21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69.21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95.22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51.76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25.13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3,807.16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3,807.16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1,450.81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1,450.81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1,421.12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1,421.12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29.69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2,356.35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2,356.35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2,356.35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2,356.35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1,882.37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1,560.75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321.62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1,404.16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1,117.60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286.56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427.04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427.04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186.56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186.56</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机关服务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274.88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274.88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工程建设管理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415.68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443.15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城乡社区规划与管理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443.54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443.15</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20.74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20.74</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13.92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41.08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水利工程建设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2130311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水资源节约管理与保护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14.08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14.08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4,529.56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97.93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4,431.62</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3,484.95</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3,484.95</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廉租住房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47.97</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506.80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公共租赁住房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1,232.08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保障性住房租金补贴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老旧小区改造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874.00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874.00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保障性租赁住房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821.00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97.93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97.93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97.93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97.93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城乡社区住宅</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946.68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946.68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其他城乡社区住宅支出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946.68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946.68</w:t>
            </w:r>
          </w:p>
        </w:tc>
      </w:tr>
    </w:tbl>
    <w:p>
      <w:pPr>
        <w:rPr>
          <w:rFonts w:hint="default" w:ascii="Times New Roman" w:hAnsi="Times New Roman"/>
          <w:sz w:val="21"/>
          <w:szCs w:val="21"/>
        </w:rPr>
      </w:pPr>
      <w:r>
        <w:rPr>
          <w:rFonts w:hint="default" w:ascii="Times New Roman" w:hAnsi="Times New Roman"/>
          <w:sz w:val="20"/>
          <w:szCs w:val="20"/>
        </w:rPr>
        <w:t>备注：1.本表反映部门本年度一般公共预算财政拨款支出情况。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541"/>
        <w:gridCol w:w="2450"/>
        <w:gridCol w:w="1231"/>
        <w:gridCol w:w="747"/>
        <w:gridCol w:w="1720"/>
        <w:gridCol w:w="1481"/>
        <w:gridCol w:w="722"/>
        <w:gridCol w:w="3154"/>
        <w:gridCol w:w="16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1,739.96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335.04</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376.97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50.73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140.04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117.33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574.42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138.47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194.73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21.30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73.76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93.23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97.93</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149.96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3.29</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69.21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74.10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28.76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6.65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54.58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18.80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1,889.92</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hAns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340.49</w:t>
            </w:r>
          </w:p>
        </w:tc>
      </w:tr>
    </w:tbl>
    <w:p>
      <w:pPr>
        <w:spacing w:line="280" w:lineRule="exact"/>
        <w:rPr>
          <w:rFonts w:hint="default" w:ascii="Times New Roman" w:hAnsi="Times New Roman"/>
          <w:sz w:val="20"/>
          <w:szCs w:val="20"/>
        </w:rPr>
      </w:pPr>
      <w:r>
        <w:rPr>
          <w:rFonts w:hint="default" w:ascii="Times New Roman" w:hAnsi="Times New Roman"/>
          <w:sz w:val="20"/>
          <w:szCs w:val="20"/>
        </w:rPr>
        <w:t>备注：1.本表反映部门本年度一般公共预算财政拨款基本支出明细情况。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360"/>
        <w:gridCol w:w="4849"/>
        <w:gridCol w:w="1228"/>
        <w:gridCol w:w="1228"/>
        <w:gridCol w:w="1228"/>
        <w:gridCol w:w="1228"/>
        <w:gridCol w:w="1286"/>
        <w:gridCol w:w="134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51,088.61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51,088.61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51,088.61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440.34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2082202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440.34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440.34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33,572.73</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33,572.73</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33,572.73</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23,261.46</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23,261.46</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23,261.46</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19,727.89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19,727.89</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19,727.89</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3,533.57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3,533.57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3,533.57</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农业土地开发资金安排的支出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214.21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214.21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214.21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1,850.95</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1,850.95</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1,850.95</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2121301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城市公共设施</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19.37</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2121399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其他城市基础设施配套费安排的支出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1,831.58</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1,831.58</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1,831.58</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1,303.88</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1,303.88</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1,303.88</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2121401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污水处理设施建设和运营</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1,003.88</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1,003.88</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1,003.88</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2121499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其他污水处理费安排的支出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300.00</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21219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国有土地使用权出让收入对应专项债务收入安排的支出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6,942.24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6,942.24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6,942.24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2121906</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棚户区改造支出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6,942.24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6,942.24</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6,942.24</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农林水支出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21369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国家重大水利工程建设基金安排的支出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265.31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2136902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三峡后续工作</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265.31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265.31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16,810.23</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16,810.23</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16,810.23</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其他政府性基金及对应专项债务收入安排的支出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16,658.62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16,658.62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16,658.62</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2290402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其他地方自行试点项目收益专项债券收入安排的支出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16,658.62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16,658.62</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16,658.62</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151.61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2296003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olor w:val="000000"/>
                <w:sz w:val="20"/>
                <w:szCs w:val="20"/>
              </w:rPr>
            </w:pPr>
            <w:r>
              <w:rPr>
                <w:rFonts w:hint="default" w:ascii="Times New Roman" w:hAnsi="Times New Roman"/>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151.61</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151.61</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bl>
    <w:p>
      <w:pPr>
        <w:rPr>
          <w:rFonts w:hint="default" w:ascii="Times New Roman" w:hAnsi="Times New Roman"/>
          <w:sz w:val="21"/>
          <w:szCs w:val="21"/>
        </w:rPr>
      </w:pPr>
      <w:r>
        <w:rPr>
          <w:rFonts w:hint="default" w:ascii="Times New Roman" w:hAnsi="Times New Roman"/>
          <w:sz w:val="20"/>
          <w:szCs w:val="20"/>
        </w:rPr>
        <w:t>备注：1.本表反映部门本年度政府性基金预算财政拨款收入支出及结转和结余情况。</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683"/>
        <w:gridCol w:w="2737"/>
        <w:gridCol w:w="2929"/>
        <w:gridCol w:w="179"/>
        <w:gridCol w:w="3108"/>
        <w:gridCol w:w="69"/>
        <w:gridCol w:w="3047"/>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hAns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hAnsi="Times New Roman"/>
                <w:sz w:val="20"/>
                <w:szCs w:val="20"/>
              </w:rPr>
              <w:t>公开部门</w:t>
            </w:r>
            <w:r>
              <w:rPr>
                <w:rFonts w:hint="default" w:ascii="Times New Roman" w:hAnsi="Times New Roman"/>
                <w:color w:val="000000"/>
                <w:sz w:val="20"/>
                <w:szCs w:val="20"/>
              </w:rPr>
              <w:t xml:space="preserve">： </w:t>
            </w:r>
            <w:r>
              <w:rPr>
                <w:rFonts w:hint="default" w:ascii="Times New Roman" w:hAnsi="Times New Roman"/>
                <w:color w:val="000000"/>
                <w:sz w:val="20"/>
              </w:rPr>
              <w:t>重庆市石柱土家族自治县住房和城乡建设委员会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hAnsi="Times New Roman"/>
                <w:color w:val="000000"/>
                <w:sz w:val="20"/>
                <w:szCs w:val="20"/>
              </w:rPr>
              <w:t>单位：</w:t>
            </w:r>
            <w:r>
              <w:rPr>
                <w:rFonts w:hint="default" w:ascii="Times New Roman" w:hAnsi="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hAns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hAns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bl>
    <w:p>
      <w:pPr>
        <w:rPr>
          <w:rFonts w:hint="default" w:ascii="Times New Roman" w:hAnsi="Times New Roman"/>
          <w:sz w:val="21"/>
          <w:szCs w:val="21"/>
        </w:rPr>
      </w:pPr>
      <w:r>
        <w:rPr>
          <w:rFonts w:hint="default" w:ascii="Times New Roman" w:hAnsi="Times New Roman"/>
          <w:sz w:val="20"/>
          <w:szCs w:val="20"/>
        </w:rPr>
        <w:t>备注：本表反映部门本年度国有资本经营预算财政拨款支出情况。本部门无国有资本经营收支，故本表无数据。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7"/>
        <w:tblW w:w="4850" w:type="pct"/>
        <w:tblInd w:w="0" w:type="dxa"/>
        <w:tblLayout w:type="fixed"/>
        <w:tblCellMar>
          <w:top w:w="0" w:type="dxa"/>
          <w:left w:w="170" w:type="dxa"/>
          <w:bottom w:w="0" w:type="dxa"/>
          <w:right w:w="170" w:type="dxa"/>
        </w:tblCellMar>
      </w:tblPr>
      <w:tblGrid>
        <w:gridCol w:w="3594"/>
        <w:gridCol w:w="1926"/>
        <w:gridCol w:w="1878"/>
        <w:gridCol w:w="4023"/>
        <w:gridCol w:w="1918"/>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kern w:val="2"/>
                <w:sz w:val="32"/>
                <w:szCs w:val="32"/>
              </w:rPr>
            </w:pPr>
            <w:r>
              <w:rPr>
                <w:rFonts w:hint="default" w:ascii="Times New Roman" w:hAnsi="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r>
              <w:rPr>
                <w:rFonts w:hint="default" w:ascii="Times New Roman" w:hAnsi="Times New Roman"/>
                <w:kern w:val="2"/>
                <w:sz w:val="20"/>
                <w:szCs w:val="20"/>
              </w:rPr>
              <w:t>公开部门</w:t>
            </w:r>
            <w:r>
              <w:rPr>
                <w:rFonts w:hint="default" w:ascii="Times New Roman" w:hAnsi="Times New Roman"/>
                <w:color w:val="000000"/>
                <w:kern w:val="2"/>
                <w:sz w:val="20"/>
                <w:szCs w:val="20"/>
              </w:rPr>
              <w:t xml:space="preserve">： </w:t>
            </w:r>
            <w:r>
              <w:rPr>
                <w:rFonts w:hint="default" w:ascii="Times New Roman" w:hAnsi="Times New Roman"/>
                <w:color w:val="000000"/>
                <w:sz w:val="20"/>
              </w:rPr>
              <w:t>重庆市石柱土家族自治县住房和城乡建设委员会</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kern w:val="2"/>
                <w:sz w:val="20"/>
                <w:szCs w:val="20"/>
              </w:rPr>
            </w:pPr>
            <w:r>
              <w:rPr>
                <w:rFonts w:hint="default" w:ascii="Times New Roman" w:hAnsi="Times New Roman"/>
                <w:color w:val="000000"/>
                <w:kern w:val="2"/>
                <w:sz w:val="20"/>
                <w:szCs w:val="20"/>
              </w:rPr>
              <w:t>单位：</w:t>
            </w:r>
            <w:r>
              <w:rPr>
                <w:rFonts w:hint="default" w:ascii="Times New Roman" w:hAnsi="Times New Roman"/>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kern w:val="2"/>
                <w:sz w:val="16"/>
                <w:szCs w:val="16"/>
              </w:rPr>
            </w:pPr>
            <w:r>
              <w:rPr>
                <w:rFonts w:hint="default" w:ascii="Times New Roman" w:hAnsi="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111.04</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22.09</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22.09</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58.76</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52.27</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18.80</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18.80</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6</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18.80</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18.80</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3.29</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3.29</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3.29</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6</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6</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34</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14,528.56</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7.82</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280</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14,115.58</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405.15</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14,233.21</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14,227.74</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1.55</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kern w:val="2"/>
                <w:sz w:val="16"/>
                <w:szCs w:val="16"/>
              </w:rPr>
            </w:pPr>
            <w:r>
              <w:rPr>
                <w:rFonts w:hint="default" w:ascii="Times New Roman" w:hAnsi="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kern w:val="2"/>
                <w:sz w:val="16"/>
                <w:szCs w:val="16"/>
              </w:rPr>
            </w:pPr>
            <w:r>
              <w:rPr>
                <w:rFonts w:hint="default" w:ascii="Times New Roman" w:hAnsi="Times New Roman"/>
                <w:color w:val="000000"/>
                <w:kern w:val="2"/>
                <w:sz w:val="16"/>
                <w:szCs w:val="16"/>
              </w:rPr>
              <w:t>1.79</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kern w:val="2"/>
                <w:sz w:val="16"/>
                <w:szCs w:val="16"/>
              </w:rPr>
            </w:pPr>
          </w:p>
        </w:tc>
      </w:tr>
    </w:tbl>
    <w:p>
      <w:pPr>
        <w:rPr>
          <w:rFonts w:hint="default" w:ascii="Times New Roman" w:hAnsi="Times New Roman"/>
        </w:rPr>
      </w:pPr>
      <w:r>
        <w:rPr>
          <w:rFonts w:hint="default" w:ascii="Times New Roman" w:hAnsi="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sectPr>
      <w:headerReference r:id="rId4" w:type="default"/>
      <w:footerReference r:id="rId5" w:type="default"/>
      <w:pgSz w:w="16783" w:h="11850" w:orient="landscape"/>
      <w:pgMar w:top="2098" w:right="1474" w:bottom="1984" w:left="158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49 -</w:t>
                </w:r>
                <w:r>
                  <w:fldChar w:fldCharType="end"/>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5C52B"/>
    <w:multiLevelType w:val="singleLevel"/>
    <w:tmpl w:val="BB55C52B"/>
    <w:lvl w:ilvl="0" w:tentative="0">
      <w:start w:val="1"/>
      <w:numFmt w:val="chineseCounting"/>
      <w:suff w:val="nothing"/>
      <w:lvlText w:val="（%1）"/>
      <w:lvlJc w:val="left"/>
      <w:rPr>
        <w:rFonts w:hint="eastAsia"/>
      </w:rPr>
    </w:lvl>
  </w:abstractNum>
  <w:abstractNum w:abstractNumId="1">
    <w:nsid w:val="C22DB4BE"/>
    <w:multiLevelType w:val="singleLevel"/>
    <w:tmpl w:val="C22DB4B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true"/>
  <w:bordersDoNotSurroundFooter w:val="true"/>
  <w:documentProtection w:enforcement="0"/>
  <w:defaultTabStop w:val="420"/>
  <w:drawingGridHorizontalSpacing w:val="120"/>
  <w:drawingGridVerticalSpacing w:val="163"/>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EzNDc4NzQ2OWY5ZGExYmY2NmJkMGNkOTJjZDFiZGIifQ=="/>
  </w:docVars>
  <w:rsids>
    <w:rsidRoot w:val="00B03CCD"/>
    <w:rsid w:val="000C01CC"/>
    <w:rsid w:val="000D7702"/>
    <w:rsid w:val="002D0E5A"/>
    <w:rsid w:val="002E5443"/>
    <w:rsid w:val="0033650A"/>
    <w:rsid w:val="004C12FF"/>
    <w:rsid w:val="00550ABE"/>
    <w:rsid w:val="005B023C"/>
    <w:rsid w:val="00611EFF"/>
    <w:rsid w:val="006137D7"/>
    <w:rsid w:val="006211E3"/>
    <w:rsid w:val="00634FA8"/>
    <w:rsid w:val="0063613A"/>
    <w:rsid w:val="006B31D8"/>
    <w:rsid w:val="00792285"/>
    <w:rsid w:val="007A0D2E"/>
    <w:rsid w:val="007A3314"/>
    <w:rsid w:val="007B419D"/>
    <w:rsid w:val="00810F13"/>
    <w:rsid w:val="00822EB5"/>
    <w:rsid w:val="008F4695"/>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64B05"/>
    <w:rsid w:val="00F73F90"/>
    <w:rsid w:val="00F7623D"/>
    <w:rsid w:val="00F8598B"/>
    <w:rsid w:val="01474EBF"/>
    <w:rsid w:val="01F3521E"/>
    <w:rsid w:val="02101AD4"/>
    <w:rsid w:val="029B16C4"/>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747F50"/>
    <w:rsid w:val="19B906A4"/>
    <w:rsid w:val="1B6F15B6"/>
    <w:rsid w:val="1BAA2EDC"/>
    <w:rsid w:val="1C5C0973"/>
    <w:rsid w:val="1CA55E64"/>
    <w:rsid w:val="1D014A01"/>
    <w:rsid w:val="1D022362"/>
    <w:rsid w:val="1D1B04B0"/>
    <w:rsid w:val="1D7E24A3"/>
    <w:rsid w:val="1DBD6767"/>
    <w:rsid w:val="1DC52125"/>
    <w:rsid w:val="1DD26311"/>
    <w:rsid w:val="1E374ACB"/>
    <w:rsid w:val="1E5E27E3"/>
    <w:rsid w:val="1ECF0A66"/>
    <w:rsid w:val="1EF67CA4"/>
    <w:rsid w:val="1F020D3A"/>
    <w:rsid w:val="1F2C5189"/>
    <w:rsid w:val="1F4B0B02"/>
    <w:rsid w:val="1FA37E2C"/>
    <w:rsid w:val="1FBB35CD"/>
    <w:rsid w:val="1FCD26AF"/>
    <w:rsid w:val="20642787"/>
    <w:rsid w:val="21556F04"/>
    <w:rsid w:val="22403BD3"/>
    <w:rsid w:val="23DA37D9"/>
    <w:rsid w:val="24B92327"/>
    <w:rsid w:val="24C14514"/>
    <w:rsid w:val="24C8161D"/>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353601"/>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CEA6C43"/>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9C71EBF"/>
    <w:rsid w:val="4A263DF2"/>
    <w:rsid w:val="4A6F6675"/>
    <w:rsid w:val="4B0502DF"/>
    <w:rsid w:val="4B135857"/>
    <w:rsid w:val="4B7951CB"/>
    <w:rsid w:val="4B7C315C"/>
    <w:rsid w:val="4D8E3367"/>
    <w:rsid w:val="4DAC4ACA"/>
    <w:rsid w:val="4DBE01D2"/>
    <w:rsid w:val="4EFC6D10"/>
    <w:rsid w:val="4F0C6BA3"/>
    <w:rsid w:val="4F10477D"/>
    <w:rsid w:val="4F186D58"/>
    <w:rsid w:val="4FEA65B7"/>
    <w:rsid w:val="50F06B6E"/>
    <w:rsid w:val="51FD45F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8F61DB"/>
    <w:rsid w:val="55951B27"/>
    <w:rsid w:val="55BE2E85"/>
    <w:rsid w:val="56530F5D"/>
    <w:rsid w:val="567700D3"/>
    <w:rsid w:val="56FF7E9E"/>
    <w:rsid w:val="578867FC"/>
    <w:rsid w:val="5842572D"/>
    <w:rsid w:val="5A3B59D6"/>
    <w:rsid w:val="5AD134D8"/>
    <w:rsid w:val="5B6503B1"/>
    <w:rsid w:val="5B664D81"/>
    <w:rsid w:val="5C263CE4"/>
    <w:rsid w:val="5C5D2777"/>
    <w:rsid w:val="5CF66BF3"/>
    <w:rsid w:val="5D290C69"/>
    <w:rsid w:val="5DCA41FA"/>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34EFA"/>
    <w:rsid w:val="66EE5541"/>
    <w:rsid w:val="67924660"/>
    <w:rsid w:val="68407834"/>
    <w:rsid w:val="6883293E"/>
    <w:rsid w:val="688412AD"/>
    <w:rsid w:val="68EB1B71"/>
    <w:rsid w:val="69475C96"/>
    <w:rsid w:val="6AAD2300"/>
    <w:rsid w:val="6B474EF5"/>
    <w:rsid w:val="6B8836C4"/>
    <w:rsid w:val="6BBF53FD"/>
    <w:rsid w:val="6C560CAE"/>
    <w:rsid w:val="6C576495"/>
    <w:rsid w:val="6D903FF5"/>
    <w:rsid w:val="6DA955B8"/>
    <w:rsid w:val="6DE346AB"/>
    <w:rsid w:val="6DE5391A"/>
    <w:rsid w:val="6EFC61DE"/>
    <w:rsid w:val="6EFD1324"/>
    <w:rsid w:val="6F5A53AC"/>
    <w:rsid w:val="6F6552BC"/>
    <w:rsid w:val="6FAC003D"/>
    <w:rsid w:val="6FE55E12"/>
    <w:rsid w:val="6FFB2E76"/>
    <w:rsid w:val="6FFFA975"/>
    <w:rsid w:val="708F6F7F"/>
    <w:rsid w:val="70A3FE96"/>
    <w:rsid w:val="70D94BD3"/>
    <w:rsid w:val="71C34D91"/>
    <w:rsid w:val="72DB435C"/>
    <w:rsid w:val="72E2613A"/>
    <w:rsid w:val="72F771F4"/>
    <w:rsid w:val="736650B0"/>
    <w:rsid w:val="73934AD2"/>
    <w:rsid w:val="750837F0"/>
    <w:rsid w:val="754758CF"/>
    <w:rsid w:val="76317948"/>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F7CE39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49</Pages>
  <Words>3896</Words>
  <Characters>22210</Characters>
  <Lines>185</Lines>
  <Paragraphs>52</Paragraphs>
  <TotalTime>9</TotalTime>
  <ScaleCrop>false</ScaleCrop>
  <LinksUpToDate>false</LinksUpToDate>
  <CharactersWithSpaces>26054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2024-12-01T11:06:45Z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