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560" w:lineRule="exact"/>
        <w:jc w:val="center"/>
        <w:textAlignment w:val="auto"/>
        <w:rPr>
          <w:rFonts w:hint="default" w:ascii="Times New Roman" w:hAnsi="Times New Roman" w:eastAsia="方正小标宋简体" w:cs="Times New Roman"/>
          <w:sz w:val="44"/>
          <w:szCs w:val="44"/>
          <w:shd w:val="clear" w:color="auto" w:fill="FFFFFF"/>
        </w:rPr>
      </w:pPr>
      <w:r>
        <w:rPr>
          <w:rFonts w:hint="default" w:ascii="Times New Roman" w:hAnsi="Times New Roman" w:eastAsia="方正小标宋简体" w:cs="Times New Roman"/>
          <w:sz w:val="44"/>
          <w:szCs w:val="44"/>
        </w:rPr>
        <w:t>重庆市石柱土家族自治县征收拆迁补偿事务中心</w:t>
      </w:r>
      <w:r>
        <w:rPr>
          <w:rFonts w:hint="default" w:ascii="Times New Roman" w:hAnsi="Times New Roman" w:eastAsia="方正小标宋简体" w:cs="Times New Roman"/>
          <w:sz w:val="44"/>
          <w:szCs w:val="44"/>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黑体_GBK" w:hAnsi="方正黑体_GBK" w:eastAsia="方正黑体_GBK" w:cs="方正黑体_GBK"/>
          <w:b w:val="0"/>
          <w:bCs/>
          <w:sz w:val="32"/>
          <w:szCs w:val="32"/>
        </w:rPr>
      </w:pPr>
      <w:r>
        <w:rPr>
          <w:rStyle w:val="10"/>
          <w:rFonts w:hint="eastAsia" w:ascii="方正黑体_GBK" w:hAnsi="方正黑体_GBK" w:eastAsia="方正黑体_GBK" w:cs="方正黑体_GBK"/>
          <w:b w:val="0"/>
          <w:bCs/>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eastAsia" w:ascii="方正楷体_GBK" w:hAnsi="方正楷体_GBK" w:eastAsia="方正楷体_GBK" w:cs="方正楷体_GBK"/>
          <w:b w:val="0"/>
          <w:bCs/>
          <w:sz w:val="32"/>
          <w:szCs w:val="32"/>
        </w:rPr>
      </w:pPr>
      <w:r>
        <w:rPr>
          <w:rStyle w:val="10"/>
          <w:rFonts w:hint="eastAsia" w:ascii="方正楷体_GBK" w:hAnsi="方正楷体_GBK" w:eastAsia="方正楷体_GBK" w:cs="方正楷体_GBK"/>
          <w:b w:val="0"/>
          <w:bCs/>
          <w:sz w:val="32"/>
          <w:szCs w:val="32"/>
          <w:shd w:val="clear" w:color="auto" w:fill="FFFFFF"/>
        </w:rPr>
        <w:t>（一）职能职责</w:t>
      </w:r>
    </w:p>
    <w:p>
      <w:pPr>
        <w:keepNext w:val="0"/>
        <w:keepLines w:val="0"/>
        <w:pageBreakBefore w:val="0"/>
        <w:widowControl/>
        <w:kinsoku/>
        <w:wordWrap/>
        <w:overflowPunct/>
        <w:topLinePunct w:val="0"/>
        <w:autoSpaceDE w:val="0"/>
        <w:autoSpaceDN/>
        <w:bidi w:val="0"/>
        <w:adjustRightInd/>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承担宣传、贯彻执行征收拆迁补偿安置的相关法律、法规和政策工作。</w:t>
      </w:r>
    </w:p>
    <w:p>
      <w:pPr>
        <w:keepNext w:val="0"/>
        <w:keepLines w:val="0"/>
        <w:pageBreakBefore w:val="0"/>
        <w:widowControl/>
        <w:kinsoku/>
        <w:wordWrap/>
        <w:overflowPunct/>
        <w:topLinePunct w:val="0"/>
        <w:autoSpaceDE w:val="0"/>
        <w:autoSpaceDN/>
        <w:bidi w:val="0"/>
        <w:adjustRightInd/>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承担本行政区域内集体土地征收补偿安置具体实施的事务性工作，指导乡镇人民政府（街道办事处）开展辖区内的集体土地征收补偿安置工作；受县住房城乡建委委托，负责实施本行政区域内房屋征收与补偿的具体工作。</w:t>
      </w:r>
    </w:p>
    <w:p>
      <w:pPr>
        <w:keepNext w:val="0"/>
        <w:keepLines w:val="0"/>
        <w:pageBreakBefore w:val="0"/>
        <w:widowControl/>
        <w:kinsoku/>
        <w:wordWrap/>
        <w:overflowPunct/>
        <w:topLinePunct w:val="0"/>
        <w:autoSpaceDE w:val="0"/>
        <w:autoSpaceDN/>
        <w:bidi w:val="0"/>
        <w:adjustRightInd/>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参与拟订全县征收拆迁和补偿安置政策、计划和征拆方案。</w:t>
      </w:r>
    </w:p>
    <w:p>
      <w:pPr>
        <w:keepNext w:val="0"/>
        <w:keepLines w:val="0"/>
        <w:pageBreakBefore w:val="0"/>
        <w:widowControl/>
        <w:kinsoku/>
        <w:wordWrap/>
        <w:overflowPunct/>
        <w:topLinePunct w:val="0"/>
        <w:autoSpaceDE w:val="0"/>
        <w:autoSpaceDN/>
        <w:bidi w:val="0"/>
        <w:adjustRightInd/>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协调拆迁单位实施拆迁工作；参与征收拆迁和补偿安置涉及的社会稳定、风险评估工作；参与组织实施清场验收工作。</w:t>
      </w:r>
    </w:p>
    <w:p>
      <w:pPr>
        <w:keepNext w:val="0"/>
        <w:keepLines w:val="0"/>
        <w:pageBreakBefore w:val="0"/>
        <w:widowControl/>
        <w:kinsoku/>
        <w:wordWrap/>
        <w:overflowPunct/>
        <w:topLinePunct w:val="0"/>
        <w:autoSpaceDE w:val="0"/>
        <w:autoSpaceDN/>
        <w:bidi w:val="0"/>
        <w:adjustRightInd/>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配合相关部门控制全县集体土地征收面积总量，参与统筹协调土地房屋征收补偿安置相关经费，做好土地征收补偿安置资金及养老保险费用据实支付的事务性工作。</w:t>
      </w:r>
    </w:p>
    <w:p>
      <w:pPr>
        <w:keepNext w:val="0"/>
        <w:keepLines w:val="0"/>
        <w:pageBreakBefore w:val="0"/>
        <w:widowControl/>
        <w:kinsoku/>
        <w:wordWrap/>
        <w:overflowPunct/>
        <w:topLinePunct w:val="0"/>
        <w:autoSpaceDE w:val="0"/>
        <w:autoSpaceDN/>
        <w:bidi w:val="0"/>
        <w:adjustRightInd/>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配合做好征地人员安置对象的确定、参加基本养老保险等工作。</w:t>
      </w:r>
    </w:p>
    <w:p>
      <w:pPr>
        <w:keepNext w:val="0"/>
        <w:keepLines w:val="0"/>
        <w:pageBreakBefore w:val="0"/>
        <w:widowControl/>
        <w:kinsoku/>
        <w:wordWrap/>
        <w:overflowPunct/>
        <w:topLinePunct w:val="0"/>
        <w:autoSpaceDE w:val="0"/>
        <w:autoSpaceDN/>
        <w:bidi w:val="0"/>
        <w:adjustRightInd/>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rPr>
        <w:t>指导拆迁统建还房建设工作。</w:t>
      </w:r>
    </w:p>
    <w:p>
      <w:pPr>
        <w:keepNext w:val="0"/>
        <w:keepLines w:val="0"/>
        <w:pageBreakBefore w:val="0"/>
        <w:widowControl/>
        <w:kinsoku/>
        <w:wordWrap/>
        <w:overflowPunct/>
        <w:topLinePunct w:val="0"/>
        <w:autoSpaceDE w:val="0"/>
        <w:autoSpaceDN/>
        <w:bidi w:val="0"/>
        <w:adjustRightInd/>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8、</w:t>
      </w:r>
      <w:r>
        <w:rPr>
          <w:rFonts w:hint="default" w:ascii="Times New Roman" w:hAnsi="Times New Roman" w:eastAsia="方正仿宋_GBK" w:cs="Times New Roman"/>
          <w:kern w:val="0"/>
          <w:sz w:val="32"/>
          <w:szCs w:val="32"/>
        </w:rPr>
        <w:t>负责组织开展业务培训工作，提升工作人员的法律和业务素质，确保房屋征收与补偿工作依法实施。</w:t>
      </w:r>
    </w:p>
    <w:p>
      <w:pPr>
        <w:keepNext w:val="0"/>
        <w:keepLines w:val="0"/>
        <w:pageBreakBefore w:val="0"/>
        <w:widowControl/>
        <w:kinsoku/>
        <w:wordWrap/>
        <w:overflowPunct/>
        <w:topLinePunct w:val="0"/>
        <w:autoSpaceDE w:val="0"/>
        <w:autoSpaceDN/>
        <w:bidi w:val="0"/>
        <w:adjustRightInd/>
        <w:spacing w:beforeAutospacing="0" w:afterAutospacing="0" w:line="560" w:lineRule="exact"/>
        <w:ind w:left="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rPr>
        <w:t>负责本行政区域房屋征收与补偿方面的档案管理，按政府信息公开要求向社会公开有关信息，并按规定向有关部门提供信息查询服务。</w:t>
      </w:r>
    </w:p>
    <w:p>
      <w:pPr>
        <w:keepNext w:val="0"/>
        <w:keepLines w:val="0"/>
        <w:pageBreakBefore w:val="0"/>
        <w:widowControl/>
        <w:kinsoku/>
        <w:wordWrap/>
        <w:overflowPunct/>
        <w:topLinePunct w:val="0"/>
        <w:autoSpaceDN/>
        <w:bidi w:val="0"/>
        <w:adjustRightInd/>
        <w:snapToGrid w:val="0"/>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承担县政府及县住房和城乡建设委员会领导交办的其他工作。</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（二）机构设置</w:t>
      </w:r>
    </w:p>
    <w:p>
      <w:pPr>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_GBK" w:cs="Times New Roman"/>
          <w:kern w:val="0"/>
          <w:sz w:val="32"/>
          <w:szCs w:val="32"/>
        </w:rPr>
        <w:t>我单位现有6个科室（办公室、法律服务科、财务科、征地事务科、拆迁安置科、内审科），属于县城乡建设和住房委员会下属二级预算单位。</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2023年度收入总计21194.55万元，支出总计</w:t>
      </w:r>
      <w:r>
        <w:rPr>
          <w:rFonts w:hint="default" w:ascii="Times New Roman" w:hAnsi="Times New Roman" w:eastAsia="方正仿宋_GBK" w:cs="Times New Roman"/>
          <w:sz w:val="32"/>
          <w:szCs w:val="32"/>
        </w:rPr>
        <w:t>21194.55</w:t>
      </w:r>
      <w:r>
        <w:rPr>
          <w:rFonts w:hint="default" w:ascii="Times New Roman" w:hAnsi="Times New Roman" w:eastAsia="方正仿宋_GBK" w:cs="Times New Roman"/>
          <w:sz w:val="32"/>
          <w:szCs w:val="32"/>
          <w:shd w:val="clear" w:color="auto" w:fill="FFFFFF"/>
        </w:rPr>
        <w:t>万元。收支较上年决算数增加20845.40万元，增长5970.33%，主要原因是</w:t>
      </w:r>
      <w:r>
        <w:rPr>
          <w:rFonts w:hint="default" w:ascii="Times New Roman" w:hAnsi="Times New Roman" w:eastAsia="仿宋_GB2312" w:cs="Times New Roman"/>
          <w:color w:val="000000"/>
          <w:sz w:val="32"/>
          <w:szCs w:val="32"/>
          <w:lang w:val="en-US" w:eastAsia="zh-CN"/>
        </w:rPr>
        <w:t>主要原因是2023政府性基金预算财政拨款收入较2022年增加20866.04万元，一般公共预算财政拨款较2022年减少20.64万元</w:t>
      </w:r>
      <w:r>
        <w:rPr>
          <w:rFonts w:hint="default" w:ascii="Times New Roman" w:hAnsi="Times New Roman" w:eastAsia="仿宋_GB2312" w:cs="Times New Roman"/>
          <w:color w:val="auto"/>
          <w:kern w:val="0"/>
          <w:sz w:val="32"/>
          <w:szCs w:val="32"/>
          <w:lang w:val="en-US" w:eastAsia="zh-CN" w:bidi="ar"/>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2023年度收入合计21194.55万元，较上年决算数增加20845.40万元，增长5970.33%，主要原因是</w:t>
      </w:r>
      <w:r>
        <w:rPr>
          <w:rFonts w:hint="default" w:ascii="Times New Roman" w:hAnsi="Times New Roman" w:eastAsia="仿宋_GB2312" w:cs="Times New Roman"/>
          <w:color w:val="000000"/>
          <w:sz w:val="32"/>
          <w:szCs w:val="32"/>
          <w:lang w:val="en-US" w:eastAsia="zh-CN"/>
        </w:rPr>
        <w:t>主要原因是2023政府性基金预算财政拨款收入较2022年增加20866.04万元，一般公共预算财政拨款较2022年减少20.64万元</w:t>
      </w:r>
      <w:r>
        <w:rPr>
          <w:rFonts w:hint="default" w:ascii="Times New Roman" w:hAnsi="Times New Roman" w:eastAsia="仿宋_GB2312" w:cs="Times New Roman"/>
          <w:color w:val="auto"/>
          <w:kern w:val="0"/>
          <w:sz w:val="32"/>
          <w:szCs w:val="32"/>
          <w:lang w:val="en-US" w:eastAsia="zh-CN" w:bidi="ar"/>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21194.55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21194.55</w:t>
      </w:r>
      <w:r>
        <w:rPr>
          <w:rFonts w:hint="default" w:ascii="Times New Roman" w:hAnsi="Times New Roman" w:eastAsia="方正仿宋_GBK" w:cs="Times New Roman"/>
          <w:sz w:val="32"/>
          <w:szCs w:val="32"/>
          <w:shd w:val="clear" w:color="auto" w:fill="FFFFFF"/>
        </w:rPr>
        <w:t>万元，较上年决算数增加20845.40万元，增长5970.33%，主要原因是</w:t>
      </w:r>
      <w:r>
        <w:rPr>
          <w:rFonts w:hint="default" w:ascii="Times New Roman" w:hAnsi="Times New Roman" w:eastAsia="仿宋_GB2312" w:cs="Times New Roman"/>
          <w:color w:val="auto"/>
          <w:kern w:val="0"/>
          <w:sz w:val="32"/>
          <w:szCs w:val="32"/>
          <w:lang w:val="en-US" w:eastAsia="zh-CN" w:bidi="ar"/>
        </w:rPr>
        <w:t>项目支出增加。</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325.18</w:t>
      </w:r>
      <w:r>
        <w:rPr>
          <w:rFonts w:hint="default" w:ascii="Times New Roman" w:hAnsi="Times New Roman" w:eastAsia="方正仿宋_GBK" w:cs="Times New Roman"/>
          <w:sz w:val="32"/>
          <w:szCs w:val="32"/>
          <w:shd w:val="clear" w:color="auto" w:fill="FFFFFF"/>
        </w:rPr>
        <w:t>万元，占1.53%；项目支出</w:t>
      </w:r>
      <w:r>
        <w:rPr>
          <w:rFonts w:hint="default" w:ascii="Times New Roman" w:hAnsi="Times New Roman" w:eastAsia="方正仿宋_GBK" w:cs="Times New Roman"/>
          <w:sz w:val="32"/>
          <w:szCs w:val="32"/>
        </w:rPr>
        <w:t>20869.38</w:t>
      </w:r>
      <w:r>
        <w:rPr>
          <w:rFonts w:hint="default" w:ascii="Times New Roman" w:hAnsi="Times New Roman" w:eastAsia="方正仿宋_GBK" w:cs="Times New Roman"/>
          <w:sz w:val="32"/>
          <w:szCs w:val="32"/>
          <w:shd w:val="clear" w:color="auto" w:fill="FFFFFF"/>
        </w:rPr>
        <w:t>万元，占98.47%；经营支出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2023年度财政拨款收、支总计21194.55万元。与2022年相比，财政拨款收、支总计各增加20845.40万元，增长5970.33%。主要原因是</w:t>
      </w:r>
      <w:r>
        <w:rPr>
          <w:rFonts w:hint="default" w:ascii="Times New Roman" w:hAnsi="Times New Roman" w:eastAsia="仿宋_GB2312" w:cs="Times New Roman"/>
          <w:color w:val="000000"/>
          <w:sz w:val="32"/>
          <w:szCs w:val="32"/>
          <w:lang w:val="en-US" w:eastAsia="zh-CN"/>
        </w:rPr>
        <w:t>主要原因是2023政府性基金预算财政拨款收入较2022年增加20866.04万元，一般公共预算财政拨款较2022年减少20.64万元</w:t>
      </w:r>
      <w:r>
        <w:rPr>
          <w:rFonts w:hint="default" w:ascii="Times New Roman" w:hAnsi="Times New Roman" w:eastAsia="仿宋_GB2312" w:cs="Times New Roman"/>
          <w:color w:val="auto"/>
          <w:kern w:val="0"/>
          <w:sz w:val="32"/>
          <w:szCs w:val="32"/>
          <w:lang w:val="en-US" w:eastAsia="zh-CN" w:bidi="ar"/>
        </w:rPr>
        <w:t>，项目支出增加。</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328.51</w:t>
      </w:r>
      <w:r>
        <w:rPr>
          <w:rFonts w:hint="default" w:ascii="Times New Roman" w:hAnsi="Times New Roman" w:eastAsia="方正仿宋_GBK" w:cs="Times New Roman"/>
          <w:sz w:val="32"/>
          <w:szCs w:val="32"/>
          <w:shd w:val="clear" w:color="auto" w:fill="FFFFFF"/>
        </w:rPr>
        <w:t>万元，较上年决算数减少20.64万元，下降5.91%。主要原因是</w:t>
      </w:r>
      <w:r>
        <w:rPr>
          <w:rFonts w:hint="default" w:ascii="Times New Roman" w:hAnsi="Times New Roman" w:eastAsia="仿宋_GB2312" w:cs="Times New Roman"/>
          <w:color w:val="000000"/>
          <w:sz w:val="32"/>
          <w:szCs w:val="32"/>
          <w:lang w:val="en-US" w:eastAsia="zh-CN"/>
        </w:rPr>
        <w:t>一般公共预算财政拨款较2022年减少20.64万元。</w:t>
      </w:r>
      <w:r>
        <w:rPr>
          <w:rFonts w:hint="default" w:ascii="Times New Roman" w:hAnsi="Times New Roman" w:eastAsia="方正仿宋_GBK" w:cs="Times New Roman"/>
          <w:sz w:val="32"/>
          <w:szCs w:val="32"/>
          <w:shd w:val="clear" w:color="auto" w:fill="FFFFFF"/>
        </w:rPr>
        <w:t>较年初预算数增加44.80万元，增长15.79%。主要原因是</w:t>
      </w:r>
      <w:r>
        <w:rPr>
          <w:rFonts w:hint="default" w:ascii="Times New Roman" w:hAnsi="Times New Roman" w:eastAsia="仿宋_GB2312" w:cs="Times New Roman"/>
          <w:color w:val="000000"/>
          <w:sz w:val="32"/>
          <w:szCs w:val="32"/>
          <w:lang w:eastAsia="zh-CN"/>
        </w:rPr>
        <w:t>主要是年中根据石财[2023]48号、石财[2023]23号、石财[2023]20号、、石人[2023]27号、渝财预〔2023〕16号、渝财预〔2023〕33号、渝财预〔2022〕43号等文件调剂一般公共预算财政拨款44</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eastAsia="zh-CN"/>
        </w:rPr>
        <w:t>8万元。</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328.51</w:t>
      </w:r>
      <w:r>
        <w:rPr>
          <w:rFonts w:hint="default" w:ascii="Times New Roman" w:hAnsi="Times New Roman" w:eastAsia="方正仿宋_GBK" w:cs="Times New Roman"/>
          <w:sz w:val="32"/>
          <w:szCs w:val="32"/>
          <w:shd w:val="clear" w:color="auto" w:fill="FFFFFF"/>
        </w:rPr>
        <w:t>万元，较上年决算数减少20.64万元，下降5.91%。主要原因是</w:t>
      </w:r>
      <w:r>
        <w:rPr>
          <w:rFonts w:hint="default" w:ascii="Times New Roman" w:hAnsi="Times New Roman" w:eastAsia="仿宋_GB2312" w:cs="Times New Roman"/>
          <w:color w:val="000000"/>
          <w:sz w:val="32"/>
          <w:szCs w:val="32"/>
          <w:lang w:val="en-US" w:eastAsia="zh-CN"/>
        </w:rPr>
        <w:t>厉行节约，减少不必要的开支。</w:t>
      </w:r>
      <w:r>
        <w:rPr>
          <w:rFonts w:hint="default" w:ascii="Times New Roman" w:hAnsi="Times New Roman" w:eastAsia="方正仿宋_GBK" w:cs="Times New Roman"/>
          <w:sz w:val="32"/>
          <w:szCs w:val="32"/>
          <w:shd w:val="clear" w:color="auto" w:fill="FFFFFF"/>
        </w:rPr>
        <w:t>较年初预算数增加44.80万元，增长15.79%。主要原因是</w:t>
      </w:r>
      <w:r>
        <w:rPr>
          <w:rFonts w:hint="default" w:ascii="Times New Roman" w:hAnsi="Times New Roman" w:eastAsia="方正仿宋_GBK" w:cs="Times New Roman"/>
          <w:sz w:val="32"/>
          <w:szCs w:val="32"/>
          <w:shd w:val="clear" w:color="auto" w:fill="FFFFFF"/>
          <w:lang w:eastAsia="zh-CN"/>
        </w:rPr>
        <w:t>超额绩效工资支出。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（1）社会保障与就业支出</w:t>
      </w:r>
      <w:r>
        <w:rPr>
          <w:rFonts w:hint="default" w:ascii="Times New Roman" w:hAnsi="Times New Roman" w:eastAsia="方正仿宋_GBK" w:cs="Times New Roman"/>
          <w:sz w:val="32"/>
          <w:szCs w:val="32"/>
        </w:rPr>
        <w:t>45.55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13.87</w:t>
      </w:r>
      <w:r>
        <w:rPr>
          <w:rFonts w:hint="default" w:ascii="Times New Roman" w:hAnsi="Times New Roman" w:eastAsia="方正仿宋_GBK" w:cs="Times New Roman"/>
          <w:sz w:val="32"/>
          <w:szCs w:val="32"/>
          <w:shd w:val="clear" w:color="auto" w:fill="FFFFFF"/>
        </w:rPr>
        <w:t>%，较年初预算数增加17.33万元，增长61.41%，主要原因是</w:t>
      </w:r>
      <w:r>
        <w:rPr>
          <w:rFonts w:hint="default" w:ascii="Times New Roman" w:hAnsi="Times New Roman" w:eastAsia="仿宋_GB2312" w:cs="Times New Roman"/>
          <w:sz w:val="32"/>
          <w:szCs w:val="32"/>
          <w:lang w:eastAsia="zh-CN"/>
        </w:rPr>
        <w:t>职业年金缴费增加。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14.33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4.36</w:t>
      </w:r>
      <w:r>
        <w:rPr>
          <w:rFonts w:hint="default" w:ascii="Times New Roman" w:hAnsi="Times New Roman" w:eastAsia="方正仿宋_GBK" w:cs="Times New Roman"/>
          <w:sz w:val="32"/>
          <w:szCs w:val="32"/>
          <w:shd w:val="clear" w:color="auto" w:fill="FFFFFF"/>
        </w:rPr>
        <w:t>%，较年初预算数增加0.01万元，增长0.07%，主要原因是</w:t>
      </w:r>
      <w:r>
        <w:rPr>
          <w:rFonts w:hint="default" w:ascii="Times New Roman" w:hAnsi="Times New Roman" w:eastAsia="方正仿宋_GBK" w:cs="Times New Roman"/>
          <w:sz w:val="32"/>
          <w:szCs w:val="32"/>
          <w:shd w:val="clear" w:color="auto" w:fill="FFFFFF"/>
          <w:lang w:eastAsia="zh-CN"/>
        </w:rPr>
        <w:t>医疗保险支出增加。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251.58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76.58</w:t>
      </w:r>
      <w:r>
        <w:rPr>
          <w:rFonts w:hint="default" w:ascii="Times New Roman" w:hAnsi="Times New Roman" w:eastAsia="方正仿宋_GBK" w:cs="Times New Roman"/>
          <w:sz w:val="32"/>
          <w:szCs w:val="32"/>
          <w:shd w:val="clear" w:color="auto" w:fill="FFFFFF"/>
        </w:rPr>
        <w:t>%，较年初预算数增加24.52万元，增长10.80%，主要原因是</w:t>
      </w:r>
      <w:r>
        <w:rPr>
          <w:rFonts w:hint="default" w:ascii="Times New Roman" w:hAnsi="Times New Roman" w:eastAsia="方正仿宋_GBK" w:cs="Times New Roman"/>
          <w:color w:val="auto"/>
          <w:sz w:val="32"/>
          <w:szCs w:val="32"/>
          <w:shd w:val="clear" w:color="auto" w:fill="FFFFFF"/>
          <w:lang w:eastAsia="zh-CN"/>
        </w:rPr>
        <w:t>支出超额绩效工资。</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2.94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0.89</w:t>
      </w:r>
      <w:r>
        <w:rPr>
          <w:rFonts w:hint="default" w:ascii="Times New Roman" w:hAnsi="Times New Roman" w:eastAsia="方正仿宋_GBK" w:cs="Times New Roman"/>
          <w:sz w:val="32"/>
          <w:szCs w:val="32"/>
          <w:shd w:val="clear" w:color="auto" w:fill="FFFFFF"/>
        </w:rPr>
        <w:t>%，较年初预算数增加2.94万元，增长100.00%，主要原因是</w:t>
      </w:r>
      <w:r>
        <w:rPr>
          <w:rFonts w:hint="default" w:ascii="Times New Roman" w:hAnsi="Times New Roman" w:eastAsia="方正仿宋_GBK" w:cs="Times New Roman"/>
          <w:color w:val="auto"/>
          <w:sz w:val="32"/>
          <w:szCs w:val="32"/>
          <w:shd w:val="clear" w:color="auto" w:fill="FFFFFF"/>
          <w:lang w:eastAsia="zh-CN"/>
        </w:rPr>
        <w:t>年初未预算其他巩固脱贫攻坚成果衔接乡村振兴支出。</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住房保障支出14.11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4.30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val="en-US"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325.18</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272.00</w:t>
      </w:r>
      <w:r>
        <w:rPr>
          <w:rFonts w:hint="default" w:ascii="Times New Roman" w:hAnsi="Times New Roman" w:eastAsia="方正仿宋_GBK" w:cs="Times New Roman"/>
          <w:sz w:val="32"/>
          <w:szCs w:val="32"/>
          <w:shd w:val="clear" w:color="auto" w:fill="FFFFFF"/>
        </w:rPr>
        <w:t>万元，较上年决算数减少27.94万元，下降9.32%，主要原因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2023年调出1人。</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rPr>
        <w:t>基本工资、津贴补贴、绩效工资、社会保障缴费等。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53.18</w:t>
      </w:r>
      <w:r>
        <w:rPr>
          <w:rFonts w:hint="default" w:ascii="Times New Roman" w:hAnsi="Times New Roman" w:eastAsia="方正仿宋_GBK" w:cs="Times New Roman"/>
          <w:sz w:val="32"/>
          <w:szCs w:val="32"/>
          <w:shd w:val="clear" w:color="auto" w:fill="FFFFFF"/>
        </w:rPr>
        <w:t>万元，较上年决算数增加9.81万元，增长22.62%，主要原因是</w:t>
      </w:r>
      <w:r>
        <w:rPr>
          <w:rFonts w:hint="default" w:ascii="Times New Roman" w:hAnsi="Times New Roman" w:eastAsia="方正仿宋_GBK" w:cs="Times New Roman"/>
          <w:color w:val="auto"/>
          <w:sz w:val="32"/>
          <w:szCs w:val="32"/>
          <w:shd w:val="clear" w:color="auto" w:fill="FFFFFF"/>
          <w:lang w:eastAsia="zh-CN"/>
        </w:rPr>
        <w:t>征拆项目增加，办公费增加。</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rPr>
        <w:t>办公费、印刷费、水电费、邮电费、差旅费、物管费、公务接待费、公务用车运行维护费、工会经费、及办公设备购置等。</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20866.04</w:t>
      </w:r>
      <w:r>
        <w:rPr>
          <w:rFonts w:hint="default" w:ascii="Times New Roman" w:hAnsi="Times New Roman" w:eastAsia="方正仿宋_GBK" w:cs="Times New Roman"/>
          <w:sz w:val="32"/>
          <w:szCs w:val="32"/>
          <w:shd w:val="clear" w:color="auto" w:fill="FFFFFF"/>
        </w:rPr>
        <w:t>万元，较上年决算数增加20866.04万元，增长100.00%，主要原因是</w:t>
      </w:r>
      <w:r>
        <w:rPr>
          <w:rFonts w:hint="default" w:ascii="Times New Roman" w:hAnsi="Times New Roman" w:eastAsia="仿宋_GB2312" w:cs="Times New Roman"/>
          <w:color w:val="000000"/>
          <w:sz w:val="32"/>
          <w:szCs w:val="32"/>
          <w:lang w:val="en-US" w:eastAsia="zh-CN"/>
        </w:rPr>
        <w:t>2023年政府性基金预算财政拨款收入较2022年增加20866.04万元。</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20866.04</w:t>
      </w:r>
      <w:r>
        <w:rPr>
          <w:rFonts w:hint="default" w:ascii="Times New Roman" w:hAnsi="Times New Roman" w:eastAsia="方正仿宋_GBK" w:cs="Times New Roman"/>
          <w:sz w:val="32"/>
          <w:szCs w:val="32"/>
          <w:shd w:val="clear" w:color="auto" w:fill="FFFFFF"/>
        </w:rPr>
        <w:t>万元，较上年决算数增加20866.04万元，增长100.00%，主要原因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eastAsia="zh-CN"/>
        </w:rPr>
        <w:t>征拆项目增加。</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（六）国有资本经营预算财政拨款支出决算情况说明</w:t>
      </w:r>
    </w:p>
    <w:p>
      <w:pPr>
        <w:pStyle w:val="6"/>
        <w:keepNext w:val="0"/>
        <w:keepLines w:val="0"/>
        <w:pageBreakBefore w:val="0"/>
        <w:widowControl/>
        <w:shd w:val="clear"/>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仿宋_GB2312" w:cs="Times New Roman"/>
          <w:color w:val="000000"/>
          <w:sz w:val="32"/>
          <w:szCs w:val="32"/>
          <w:lang w:val="en-US"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三、“三公”经费情况说明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 xml:space="preserve"> （一）“三公”经费支出总体情况说明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4.18</w:t>
      </w:r>
      <w:r>
        <w:rPr>
          <w:rFonts w:hint="default" w:ascii="Times New Roman" w:hAnsi="Times New Roman" w:eastAsia="方正仿宋_GBK" w:cs="Times New Roman"/>
          <w:sz w:val="32"/>
          <w:szCs w:val="32"/>
          <w:shd w:val="clear" w:color="auto" w:fill="FFFFFF"/>
        </w:rPr>
        <w:t>万元，较年初预算数减少0.17万元，下降3.91%，主要原因是</w:t>
      </w:r>
      <w:r>
        <w:rPr>
          <w:rFonts w:hint="default" w:ascii="Times New Roman" w:hAnsi="Times New Roman" w:eastAsia="方正仿宋_GBK" w:cs="Times New Roman"/>
          <w:sz w:val="32"/>
          <w:szCs w:val="32"/>
          <w:shd w:val="clear" w:color="auto" w:fill="FFFFFF"/>
          <w:lang w:eastAsia="zh-CN"/>
        </w:rPr>
        <w:t>厉行节约，减少公务用车费用。</w:t>
      </w:r>
      <w:r>
        <w:rPr>
          <w:rFonts w:hint="default" w:ascii="Times New Roman" w:hAnsi="Times New Roman" w:eastAsia="方正仿宋_GBK" w:cs="Times New Roman"/>
          <w:sz w:val="32"/>
          <w:szCs w:val="32"/>
          <w:shd w:val="clear" w:color="auto" w:fill="FFFFFF"/>
        </w:rPr>
        <w:t>较上年支出数减少0.62万元，下降12.92%，主要原因是</w:t>
      </w:r>
      <w:r>
        <w:rPr>
          <w:rFonts w:hint="default" w:ascii="Times New Roman" w:hAnsi="Times New Roman" w:eastAsia="方正仿宋_GBK" w:cs="Times New Roman"/>
          <w:sz w:val="32"/>
          <w:szCs w:val="32"/>
          <w:shd w:val="clear" w:color="auto" w:fill="FFFFFF"/>
          <w:lang w:eastAsia="zh-CN"/>
        </w:rPr>
        <w:t>厉行节约，减少公务用车费用。</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 </w:t>
      </w:r>
      <w:r>
        <w:rPr>
          <w:rFonts w:hint="default" w:ascii="Times New Roman" w:hAnsi="Times New Roman" w:eastAsia="方正仿宋_GBK" w:cs="Times New Roman"/>
          <w:color w:val="auto"/>
          <w:sz w:val="32"/>
          <w:szCs w:val="32"/>
          <w:shd w:val="clear" w:color="auto" w:fill="FFFFFF"/>
        </w:rPr>
        <w:t>公务车运行维护费</w:t>
      </w:r>
      <w:r>
        <w:rPr>
          <w:rFonts w:hint="default" w:ascii="Times New Roman" w:hAnsi="Times New Roman" w:eastAsia="方正仿宋_GBK" w:cs="Times New Roman"/>
          <w:color w:val="auto"/>
          <w:sz w:val="32"/>
          <w:szCs w:val="32"/>
        </w:rPr>
        <w:t>4.00</w:t>
      </w:r>
      <w:r>
        <w:rPr>
          <w:rFonts w:hint="default" w:ascii="Times New Roman" w:hAnsi="Times New Roman" w:eastAsia="方正仿宋_GBK" w:cs="Times New Roman"/>
          <w:color w:val="auto"/>
          <w:sz w:val="32"/>
          <w:szCs w:val="32"/>
          <w:shd w:val="clear" w:color="auto" w:fill="FFFFFF"/>
        </w:rPr>
        <w:t>万元，主要用于</w:t>
      </w:r>
      <w:r>
        <w:rPr>
          <w:rFonts w:hint="default" w:ascii="Times New Roman" w:hAnsi="Times New Roman" w:eastAsia="方正仿宋_GBK" w:cs="Times New Roman"/>
          <w:color w:val="auto"/>
          <w:sz w:val="32"/>
          <w:szCs w:val="32"/>
          <w:shd w:val="clear" w:color="auto" w:fill="FFFFFF"/>
          <w:lang w:eastAsia="zh-CN"/>
        </w:rPr>
        <w:t>公务车日常运行维护费</w:t>
      </w:r>
      <w:r>
        <w:rPr>
          <w:rFonts w:hint="default" w:ascii="Times New Roman" w:hAnsi="Times New Roman" w:eastAsia="方正仿宋_GBK" w:cs="Times New Roman"/>
          <w:color w:val="auto"/>
          <w:sz w:val="32"/>
          <w:szCs w:val="32"/>
          <w:shd w:val="clear" w:color="auto" w:fill="FFFFFF"/>
        </w:rPr>
        <w:t>。费用支出较年初预算数无增减。较上年支出数减少0.41万元，下降9.30%，主要原因是</w:t>
      </w:r>
      <w:r>
        <w:rPr>
          <w:rFonts w:hint="default" w:ascii="Times New Roman" w:hAnsi="Times New Roman" w:eastAsia="方正仿宋_GBK" w:cs="Times New Roman"/>
          <w:color w:val="auto"/>
          <w:sz w:val="32"/>
          <w:szCs w:val="32"/>
          <w:shd w:val="clear" w:color="auto" w:fill="FFFFFF"/>
          <w:lang w:eastAsia="zh-CN"/>
        </w:rPr>
        <w:t>厉行节约，减少公务用车费用</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0.18</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kern w:val="0"/>
          <w:sz w:val="32"/>
          <w:szCs w:val="32"/>
        </w:rPr>
        <w:t>其他单位到我中心调研检查征地拆迁工作</w:t>
      </w:r>
      <w:r>
        <w:rPr>
          <w:rFonts w:hint="default" w:ascii="Times New Roman" w:hAnsi="Times New Roman" w:eastAsia="方正仿宋_GBK" w:cs="Times New Roman"/>
          <w:color w:val="auto"/>
          <w:sz w:val="32"/>
          <w:szCs w:val="32"/>
          <w:shd w:val="clear" w:color="auto" w:fill="FFFFFF"/>
        </w:rPr>
        <w:t>。费用支出较年初预算数减少0.17万元，下降48.57%，主要原因是</w:t>
      </w:r>
      <w:r>
        <w:rPr>
          <w:rFonts w:hint="default" w:ascii="Times New Roman" w:hAnsi="Times New Roman" w:eastAsia="方正仿宋_GBK" w:cs="Times New Roman"/>
          <w:color w:val="auto"/>
          <w:kern w:val="0"/>
          <w:sz w:val="32"/>
          <w:szCs w:val="32"/>
        </w:rPr>
        <w:t>从严控制公务接待经费</w:t>
      </w:r>
      <w:r>
        <w:rPr>
          <w:rFonts w:hint="default" w:ascii="Times New Roman" w:hAnsi="Times New Roman" w:eastAsia="方正仿宋_GBK" w:cs="Times New Roman"/>
          <w:color w:val="auto"/>
          <w:sz w:val="32"/>
          <w:szCs w:val="32"/>
          <w:shd w:val="clear" w:color="auto" w:fill="FFFFFF"/>
        </w:rPr>
        <w:t>。较上年支出数减少0.21万元，下降53.85%，主要原因是</w:t>
      </w:r>
      <w:r>
        <w:rPr>
          <w:rFonts w:hint="default" w:ascii="Times New Roman" w:hAnsi="Times New Roman" w:eastAsia="方正仿宋_GBK" w:cs="Times New Roman"/>
          <w:color w:val="auto"/>
          <w:kern w:val="0"/>
          <w:sz w:val="32"/>
          <w:szCs w:val="32"/>
        </w:rPr>
        <w:t>从严控制公务接待经费</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22</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83.32</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2.00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四、其他需要说明的事项</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万元，较上年决算数无增减。本年度培训费支出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万元，较上年决算数无变化。</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color w:val="auto"/>
          <w:sz w:val="32"/>
          <w:szCs w:val="32"/>
        </w:rPr>
        <w:t>按照部门决算列报口径，我单位不在机关运行经费统计范围之内。</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（三）国有资产占用情况说明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2023年度本单位政府采购支出总额</w:t>
      </w:r>
      <w:r>
        <w:rPr>
          <w:rFonts w:hint="default" w:ascii="Times New Roman" w:hAnsi="Times New Roman" w:eastAsia="方正仿宋_GBK" w:cs="Times New Roman"/>
          <w:sz w:val="32"/>
          <w:szCs w:val="32"/>
        </w:rPr>
        <w:t>1.46</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1.46</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1.46万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1.46</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w:t>
      </w:r>
      <w:r>
        <w:rPr>
          <w:rFonts w:hint="default" w:ascii="Times New Roman" w:hAnsi="Times New Roman" w:eastAsia="方正仿宋_GBK" w:cs="Times New Roman"/>
          <w:color w:val="auto"/>
          <w:sz w:val="32"/>
          <w:szCs w:val="32"/>
          <w:shd w:val="clear" w:color="auto" w:fill="FFFFFF"/>
          <w:lang w:eastAsia="zh-CN"/>
        </w:rPr>
        <w:t>国产办公电脑</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eastAsia" w:ascii="方正黑体_GBK" w:hAnsi="方正黑体_GBK" w:eastAsia="方正黑体_GBK" w:cs="方正黑体_GBK"/>
          <w:b w:val="0"/>
          <w:bCs/>
          <w:sz w:val="32"/>
          <w:szCs w:val="32"/>
          <w:shd w:val="clear" w:color="auto" w:fill="FFFFFF"/>
          <w:lang w:val="en-US" w:eastAsia="zh-CN"/>
        </w:rPr>
        <w:t>五、</w:t>
      </w:r>
      <w:r>
        <w:rPr>
          <w:rStyle w:val="10"/>
          <w:rFonts w:hint="default" w:ascii="方正黑体_GBK" w:hAnsi="方正黑体_GBK" w:eastAsia="方正黑体_GBK" w:cs="方正黑体_GBK"/>
          <w:b w:val="0"/>
          <w:bCs/>
          <w:sz w:val="32"/>
          <w:szCs w:val="32"/>
          <w:shd w:val="clear" w:color="auto" w:fill="FFFFFF"/>
        </w:rPr>
        <w:t>预算绩效管理情况说明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rPr>
      </w:pPr>
      <w:r>
        <w:rPr>
          <w:rStyle w:val="10"/>
          <w:rFonts w:hint="default" w:ascii="方正楷体_GBK" w:hAnsi="方正楷体_GBK" w:eastAsia="方正楷体_GBK" w:cs="方正楷体_GBK"/>
          <w:b w:val="0"/>
          <w:bCs/>
          <w:sz w:val="32"/>
          <w:szCs w:val="32"/>
          <w:shd w:val="clear" w:color="auto" w:fill="FFFFFF"/>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highlight w:val="yellow"/>
          <w:shd w:val="clear" w:color="auto" w:fill="FFFFFF"/>
          <w:lang w:eastAsia="zh-CN"/>
        </w:rPr>
      </w:pPr>
      <w:r>
        <w:rPr>
          <w:rFonts w:hint="default" w:ascii="Times New Roman" w:hAnsi="Times New Roman" w:eastAsia="方正仿宋_GBK" w:cs="Times New Roman"/>
          <w:sz w:val="32"/>
          <w:szCs w:val="32"/>
          <w:shd w:val="clear" w:color="auto" w:fill="FFFFFF"/>
        </w:rPr>
        <w:t>根据预算绩效管理要求，我单位对</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个二级项目开展了绩效自评，涉及财政拨款项目支出资金20869</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3</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lang w:eastAsia="zh-CN"/>
        </w:rPr>
      </w:pPr>
      <w:r>
        <w:rPr>
          <w:rStyle w:val="10"/>
          <w:rFonts w:hint="default" w:ascii="方正楷体_GBK" w:hAnsi="方正楷体_GBK" w:eastAsia="方正楷体_GBK" w:cs="方正楷体_GBK"/>
          <w:b w:val="0"/>
          <w:bCs/>
          <w:sz w:val="32"/>
          <w:szCs w:val="32"/>
          <w:shd w:val="clear" w:color="auto" w:fill="FFFFFF"/>
        </w:rPr>
        <w:t>（二）单位绩效评价情况</w:t>
      </w:r>
      <w:r>
        <w:rPr>
          <w:rStyle w:val="10"/>
          <w:rFonts w:hint="default" w:ascii="方正楷体_GBK" w:hAnsi="方正楷体_GBK" w:eastAsia="方正楷体_GBK" w:cs="方正楷体_GBK"/>
          <w:b w:val="0"/>
          <w:bCs/>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楷体_GBK" w:hAnsi="方正楷体_GBK" w:eastAsia="方正楷体_GBK" w:cs="方正楷体_GBK"/>
          <w:b w:val="0"/>
          <w:bCs/>
          <w:sz w:val="32"/>
          <w:szCs w:val="32"/>
          <w:shd w:val="clear" w:color="auto" w:fill="FFFFFF"/>
          <w:lang w:eastAsia="zh-CN"/>
        </w:rPr>
      </w:pPr>
      <w:r>
        <w:rPr>
          <w:rStyle w:val="10"/>
          <w:rFonts w:hint="default" w:ascii="方正楷体_GBK" w:hAnsi="方正楷体_GBK" w:eastAsia="方正楷体_GBK" w:cs="方正楷体_GBK"/>
          <w:b w:val="0"/>
          <w:bCs/>
          <w:sz w:val="32"/>
          <w:szCs w:val="32"/>
          <w:shd w:val="clear" w:color="auto" w:fill="FFFFFF"/>
        </w:rPr>
        <w:t>（三）财政绩效评价情况</w:t>
      </w:r>
      <w:r>
        <w:rPr>
          <w:rStyle w:val="10"/>
          <w:rFonts w:hint="default" w:ascii="方正楷体_GBK" w:hAnsi="方正楷体_GBK" w:eastAsia="方正楷体_GBK" w:cs="方正楷体_GBK"/>
          <w:b w:val="0"/>
          <w:bCs/>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市财政局未委托第三方对我单位开展绩效评价。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Style w:val="10"/>
          <w:rFonts w:hint="default" w:ascii="方正黑体_GBK" w:hAnsi="方正黑体_GBK" w:eastAsia="方正黑体_GBK" w:cs="方正黑体_GBK"/>
          <w:b w:val="0"/>
          <w:bCs/>
          <w:sz w:val="32"/>
          <w:szCs w:val="32"/>
          <w:shd w:val="clear" w:color="auto" w:fill="FFFFFF"/>
        </w:rPr>
      </w:pPr>
      <w:r>
        <w:rPr>
          <w:rStyle w:val="10"/>
          <w:rFonts w:hint="default" w:ascii="方正黑体_GBK" w:hAnsi="方正黑体_GBK" w:eastAsia="方正黑体_GBK" w:cs="方正黑体_GBK"/>
          <w:b w:val="0"/>
          <w:bCs/>
          <w:sz w:val="32"/>
          <w:szCs w:val="32"/>
          <w:shd w:val="clear" w:color="auto" w:fill="FFFFFF"/>
        </w:rPr>
        <w:t>  六、专业名词解释</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方正楷体_GBK" w:hAnsi="方正楷体_GBK" w:eastAsia="方正楷体_GBK" w:cs="方正楷体_GBK"/>
          <w:b w:val="0"/>
          <w:bCs/>
          <w:sz w:val="32"/>
          <w:szCs w:val="32"/>
          <w:shd w:val="clear" w:color="auto" w:fill="FFFFFF"/>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w:t>
      </w:r>
      <w:r>
        <w:rPr>
          <w:rStyle w:val="10"/>
          <w:rFonts w:hint="default" w:ascii="方正楷体_GBK" w:hAnsi="方正楷体_GBK" w:eastAsia="方正楷体_GBK" w:cs="方正楷体_GBK"/>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w:t>
      </w:r>
      <w:r>
        <w:rPr>
          <w:rStyle w:val="10"/>
          <w:rFonts w:hint="default" w:ascii="方正楷体_GBK" w:hAnsi="方正楷体_GBK" w:eastAsia="方正楷体_GBK" w:cs="方正楷体_GBK"/>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w:t>
      </w:r>
      <w:bookmarkStart w:id="0" w:name="_GoBack"/>
      <w:bookmarkEnd w:id="0"/>
      <w:r>
        <w:rPr>
          <w:rFonts w:hint="default" w:ascii="Times New Roman" w:hAnsi="Times New Roman" w:eastAsia="方正仿宋_GBK" w:cs="Times New Roman"/>
          <w:sz w:val="32"/>
          <w:szCs w:val="32"/>
          <w:shd w:val="clear" w:color="auto" w:fill="FFFFFF"/>
        </w:rPr>
        <w:t>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方正楷体_GBK" w:hAnsi="方正楷体_GBK" w:eastAsia="方正楷体_GBK" w:cs="方正楷体_GBK"/>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Style w:val="10"/>
          <w:rFonts w:hint="default" w:ascii="方正楷体_GBK" w:hAnsi="方正楷体_GBK" w:eastAsia="方正楷体_GBK" w:cs="方正楷体_GBK"/>
          <w:b w:val="0"/>
          <w:bCs/>
          <w:sz w:val="32"/>
          <w:szCs w:val="32"/>
          <w:shd w:val="clear" w:color="auto" w:fill="FFFFFF"/>
        </w:rPr>
        <w:t> （十七）其他资本性支出（支出经济分类科目类级）：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line="560" w:lineRule="exact"/>
        <w:ind w:firstLine="643" w:firstLineChars="200"/>
        <w:jc w:val="both"/>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方正黑体_GBK" w:hAnsi="方正黑体_GBK" w:eastAsia="方正黑体_GBK" w:cs="方正黑体_GBK"/>
          <w:b w:val="0"/>
          <w:bCs/>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jc w:val="both"/>
        <w:textAlignment w:val="auto"/>
        <w:rPr>
          <w:rStyle w:val="10"/>
          <w:rFonts w:hint="default" w:ascii="Times New Roman" w:hAnsi="Times New Roman" w:eastAsia="方正仿宋_GBK" w:cs="Times New Roman"/>
          <w:sz w:val="32"/>
          <w:szCs w:val="32"/>
          <w:shd w:val="clear" w:color="auto" w:fill="FFFF00"/>
          <w:lang w:val="en-US" w:eastAsia="zh-CN"/>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lang w:val="en-US" w:eastAsia="zh-CN"/>
        </w:rPr>
        <w:t>023-73326100</w:t>
      </w:r>
    </w:p>
    <w:p>
      <w:pPr>
        <w:rPr>
          <w:rFonts w:hint="default" w:ascii="Times New Roman" w:hAnsi="Times New Roman" w:cs="Times New Roman"/>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重庆市石柱土家族自治县征收拆迁补偿事务中心</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328.51</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20,866.04</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45.55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14.33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21,117.62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21,194.55</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21,194.55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21,194.55</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21,194.55</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备注：1.本表反映单位本年度的总收支和年末结转结余情况。</w:t>
      </w:r>
    </w:p>
    <w:p>
      <w:pPr>
        <w:spacing w:line="240" w:lineRule="exact"/>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 xml:space="preserve">      2.本套报表金额单位转换时可能存在尾数误差。</w:t>
      </w:r>
    </w:p>
    <w:p>
      <w:pPr>
        <w:spacing w:line="240" w:lineRule="exact"/>
        <w:rPr>
          <w:rFonts w:hint="default" w:ascii="Times New Roman" w:hAnsi="Times New Roman" w:eastAsia="宋体" w:cs="Times New Roman"/>
          <w:sz w:val="20"/>
          <w:szCs w:val="20"/>
          <w:lang w:eastAsia="zh-CN"/>
        </w:rPr>
      </w:pPr>
    </w:p>
    <w:p>
      <w:pPr>
        <w:spacing w:line="240" w:lineRule="exact"/>
        <w:rPr>
          <w:rFonts w:hint="default" w:ascii="Times New Roman" w:hAnsi="Times New Roman" w:eastAsia="宋体" w:cs="Times New Roman"/>
          <w:sz w:val="20"/>
          <w:szCs w:val="20"/>
          <w:lang w:eastAsia="zh-CN"/>
        </w:rPr>
      </w:pP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重庆市石柱土家族自治县征收拆迁补偿事务中心</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21,194.55</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21,194.55</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21,117.62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21,117.62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城乡社区规划与管理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251.58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251.58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城乡社区规划与管理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251.58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251.58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20,792.04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20,792.04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18,144.68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18,144.68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2,647.36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2,647.36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城市基础设施配套费安排的支出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74.00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其他城市基础设施配套费安排的支出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14.11</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备注：1.本表反映单位本年度取得的各项收入情况。</w:t>
      </w:r>
    </w:p>
    <w:p>
      <w:pPr>
        <w:ind w:left="600" w:hanging="600" w:hangingChars="300"/>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2.本套报表金额单位转换时可能存在尾数误差。</w:t>
      </w:r>
    </w:p>
    <w:p>
      <w:pPr>
        <w:ind w:left="600" w:hanging="600" w:hangingChars="300"/>
        <w:rPr>
          <w:rFonts w:hint="default" w:ascii="Times New Roman" w:hAnsi="Times New Roman" w:eastAsia="宋体" w:cs="Times New Roman"/>
          <w:sz w:val="20"/>
          <w:szCs w:val="20"/>
          <w:lang w:eastAsia="zh-CN"/>
        </w:rPr>
      </w:pPr>
    </w:p>
    <w:p>
      <w:pPr>
        <w:ind w:left="600" w:hanging="600" w:hangingChars="300"/>
        <w:rPr>
          <w:rFonts w:hint="default" w:ascii="Times New Roman" w:hAnsi="Times New Roman" w:eastAsia="宋体" w:cs="Times New Roman"/>
          <w:sz w:val="20"/>
          <w:szCs w:val="20"/>
          <w:lang w:eastAsia="zh-CN"/>
        </w:rPr>
      </w:pP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15378" w:type="dxa"/>
        <w:tblInd w:w="0" w:type="dxa"/>
        <w:tblLayout w:type="fixed"/>
        <w:tblCellMar>
          <w:top w:w="0" w:type="dxa"/>
          <w:left w:w="0" w:type="dxa"/>
          <w:bottom w:w="0" w:type="dxa"/>
          <w:right w:w="0" w:type="dxa"/>
        </w:tblCellMar>
      </w:tblPr>
      <w:tblGrid>
        <w:gridCol w:w="1762"/>
        <w:gridCol w:w="3630"/>
        <w:gridCol w:w="1662"/>
        <w:gridCol w:w="1662"/>
        <w:gridCol w:w="1662"/>
        <w:gridCol w:w="1646"/>
        <w:gridCol w:w="1646"/>
        <w:gridCol w:w="1708"/>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705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重庆市石柱土家族自治县征收拆迁补偿事务中心 </w:t>
            </w:r>
          </w:p>
        </w:tc>
        <w:tc>
          <w:tcPr>
            <w:tcW w:w="166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6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705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6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6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539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76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30"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539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21,194.55</w:t>
            </w:r>
            <w:r>
              <w:rPr>
                <w:rFonts w:hint="default" w:ascii="Times New Roman" w:hAnsi="Times New Roman" w:cs="Times New Roman"/>
                <w:b/>
                <w:color w:val="000000"/>
                <w:sz w:val="20"/>
                <w:u w:color="auto"/>
              </w:rPr>
              <w:t xml:space="preserve"> </w:t>
            </w:r>
          </w:p>
        </w:tc>
        <w:tc>
          <w:tcPr>
            <w:tcW w:w="1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325.18</w:t>
            </w:r>
            <w:r>
              <w:rPr>
                <w:rFonts w:hint="default" w:ascii="Times New Roman" w:hAnsi="Times New Roman" w:cs="Times New Roman"/>
                <w:b/>
                <w:color w:val="000000"/>
                <w:sz w:val="20"/>
                <w:u w:color="auto"/>
              </w:rPr>
              <w:t xml:space="preserve"> </w:t>
            </w:r>
          </w:p>
        </w:tc>
        <w:tc>
          <w:tcPr>
            <w:tcW w:w="16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20,869.38</w:t>
            </w:r>
            <w:r>
              <w:rPr>
                <w:rFonts w:hint="default" w:ascii="Times New Roman" w:hAnsi="Times New Roman" w:cs="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18.81</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18.81</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26.74</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26.74</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11.18</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11.18</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3.15</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3.15</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21,117.62</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251.18</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20,866.44</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城乡社区规划与管理</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251.58</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251.18</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0.40</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城乡社区规划与管理</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251.58</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251.18</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20,792.04</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20,792.04</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18,144.68</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18,144.68</w:t>
            </w: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2,647.36</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2,647.36</w:t>
            </w: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城市基础设施配套费安排的支出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74.00</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74.00</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其他城市基础设施配套费安排的支出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74.00</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74.00</w:t>
            </w: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14.11</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14.11</w:t>
            </w:r>
            <w:r>
              <w:rPr>
                <w:rFonts w:hint="default" w:ascii="Times New Roman" w:hAnsi="Times New Roman" w:cs="Times New Roman"/>
                <w:color w:val="000000"/>
                <w:sz w:val="20"/>
                <w:u w:color="auto"/>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备注：1.本表反映单位本年度各项支出情况。</w:t>
      </w:r>
    </w:p>
    <w:p>
      <w:pPr>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 xml:space="preserve">      2.本套报表金额单位转换时可能存在尾数误差。</w:t>
      </w:r>
    </w:p>
    <w:p>
      <w:pPr>
        <w:rPr>
          <w:rFonts w:hint="default" w:ascii="Times New Roman" w:hAnsi="Times New Roman" w:eastAsia="宋体" w:cs="Times New Roman"/>
          <w:sz w:val="20"/>
          <w:szCs w:val="20"/>
          <w:lang w:eastAsia="zh-CN"/>
        </w:rPr>
      </w:pPr>
    </w:p>
    <w:p>
      <w:pPr>
        <w:rPr>
          <w:rFonts w:hint="default" w:ascii="Times New Roman" w:hAnsi="Times New Roman" w:eastAsia="宋体" w:cs="Times New Roman"/>
          <w:sz w:val="20"/>
          <w:szCs w:val="20"/>
          <w:lang w:eastAsia="zh-CN"/>
        </w:rPr>
      </w:pP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重庆市石柱土家族自治县征收拆迁补偿事务中心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328.51</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20,866.04</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45.55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45.55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14.33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14.33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21,117.62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251.58</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20,866.04</w:t>
            </w: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2.94</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14.11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14.11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21,194.55</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21,194.55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328.51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20,866.04</w:t>
            </w: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21,194.55</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21,194.55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328.51</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20,866.04</w:t>
            </w: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p>
    <w:p>
      <w:pPr>
        <w:spacing w:line="240" w:lineRule="exact"/>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 xml:space="preserve">      2.本套报表金额单位转换时可能存在尾数误差。</w:t>
      </w:r>
    </w:p>
    <w:p>
      <w:pPr>
        <w:spacing w:line="240" w:lineRule="exact"/>
        <w:rPr>
          <w:rFonts w:hint="default" w:ascii="Times New Roman" w:hAnsi="Times New Roman" w:eastAsia="宋体" w:cs="Times New Roman"/>
          <w:sz w:val="20"/>
          <w:szCs w:val="20"/>
          <w:lang w:eastAsia="zh-CN"/>
        </w:rPr>
      </w:pPr>
    </w:p>
    <w:p>
      <w:pPr>
        <w:spacing w:line="240" w:lineRule="exact"/>
        <w:rPr>
          <w:rFonts w:hint="default" w:ascii="Times New Roman" w:hAnsi="Times New Roman" w:cs="Times New Roman"/>
          <w:sz w:val="20"/>
          <w:szCs w:val="20"/>
        </w:rPr>
      </w:pP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37"/>
        <w:gridCol w:w="3630"/>
        <w:gridCol w:w="3298"/>
        <w:gridCol w:w="3299"/>
        <w:gridCol w:w="331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6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重庆市石柱土家族自治县征收拆迁补偿事务中心</w:t>
            </w:r>
          </w:p>
        </w:tc>
        <w:tc>
          <w:tcPr>
            <w:tcW w:w="329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876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29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546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11"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183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6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29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18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18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546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328.51</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325.18</w:t>
            </w:r>
            <w:r>
              <w:rPr>
                <w:rFonts w:hint="default" w:ascii="Times New Roman" w:hAnsi="Times New Roman" w:cs="Times New Roman"/>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3.34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45.55</w:t>
            </w:r>
            <w:r>
              <w:rPr>
                <w:rFonts w:hint="default" w:ascii="Times New Roman" w:hAnsi="Times New Roman" w:cs="Times New Roman"/>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18.81</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18.81</w:t>
            </w:r>
            <w:r>
              <w:rPr>
                <w:rFonts w:hint="default" w:ascii="Times New Roman" w:hAnsi="Times New Roman" w:cs="Times New Roman"/>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26.74</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26.74</w:t>
            </w:r>
            <w:r>
              <w:rPr>
                <w:rFonts w:hint="default" w:ascii="Times New Roman" w:hAnsi="Times New Roman" w:cs="Times New Roman"/>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14.33</w:t>
            </w:r>
            <w:r>
              <w:rPr>
                <w:rFonts w:hint="default" w:ascii="Times New Roman" w:hAnsi="Times New Roman" w:cs="Times New Roman"/>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11.18</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11.18</w:t>
            </w:r>
            <w:r>
              <w:rPr>
                <w:rFonts w:hint="default" w:ascii="Times New Roman" w:hAnsi="Times New Roman" w:cs="Times New Roman"/>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3.15</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3.15</w:t>
            </w:r>
            <w:r>
              <w:rPr>
                <w:rFonts w:hint="default" w:ascii="Times New Roman" w:hAnsi="Times New Roman" w:cs="Times New Roman"/>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251.58</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251.18</w:t>
            </w:r>
            <w:r>
              <w:rPr>
                <w:rFonts w:hint="default" w:ascii="Times New Roman" w:hAnsi="Times New Roman" w:cs="Times New Roman"/>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城乡社区规划与管理</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251.58</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251.18</w:t>
            </w:r>
            <w:r>
              <w:rPr>
                <w:rFonts w:hint="default" w:ascii="Times New Roman" w:hAnsi="Times New Roman" w:cs="Times New Roman"/>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城乡社区规划与管理</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251.58</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251.18</w:t>
            </w:r>
            <w:r>
              <w:rPr>
                <w:rFonts w:hint="default" w:ascii="Times New Roman" w:hAnsi="Times New Roman" w:cs="Times New Roman"/>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14.11</w:t>
            </w:r>
            <w:r>
              <w:rPr>
                <w:rFonts w:hint="default" w:ascii="Times New Roman" w:hAnsi="Times New Roman" w:cs="Times New Roman"/>
                <w:b/>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14.11</w:t>
            </w:r>
            <w:r>
              <w:rPr>
                <w:rFonts w:hint="default" w:ascii="Times New Roman" w:hAnsi="Times New Roman" w:cs="Times New Roman"/>
                <w:color w:val="000000"/>
                <w:sz w:val="20"/>
                <w:u w:color="auto"/>
              </w:rPr>
              <w:t xml:space="preserve"> </w:t>
            </w:r>
          </w:p>
        </w:tc>
        <w:tc>
          <w:tcPr>
            <w:tcW w:w="32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14.11</w:t>
            </w:r>
            <w:r>
              <w:rPr>
                <w:rFonts w:hint="default" w:ascii="Times New Roman" w:hAnsi="Times New Roman" w:cs="Times New Roman"/>
                <w:color w:val="000000"/>
                <w:sz w:val="20"/>
                <w:u w:color="auto"/>
              </w:rPr>
              <w:t xml:space="preserve"> </w:t>
            </w:r>
          </w:p>
        </w:tc>
        <w:tc>
          <w:tcPr>
            <w:tcW w:w="33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备注：1.本表反映单位本年度一般公共预算财政拨款支出情况。</w:t>
      </w:r>
    </w:p>
    <w:p>
      <w:pPr>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 xml:space="preserve">      2.本套报表金额单位转换时可能存在尾数误差。</w:t>
      </w:r>
    </w:p>
    <w:p>
      <w:pPr>
        <w:rPr>
          <w:rFonts w:hint="default" w:ascii="Times New Roman" w:hAnsi="Times New Roman" w:eastAsia="宋体" w:cs="Times New Roman"/>
          <w:sz w:val="20"/>
          <w:szCs w:val="20"/>
          <w:lang w:eastAsia="zh-CN"/>
        </w:rPr>
      </w:pPr>
    </w:p>
    <w:p>
      <w:pPr>
        <w:rPr>
          <w:rFonts w:hint="default" w:ascii="Times New Roman" w:hAnsi="Times New Roman" w:eastAsia="宋体" w:cs="Times New Roman"/>
          <w:sz w:val="20"/>
          <w:szCs w:val="20"/>
          <w:lang w:eastAsia="zh-CN"/>
        </w:rPr>
      </w:pP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重庆市石柱土家族自治县征收拆迁补偿事务中心</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272.00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51.73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1.46</w:t>
            </w: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59.15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10.75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1.46</w:t>
            </w: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125.99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18.81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26.74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0.61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11.77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1.71</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18.67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14.11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0.18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4.00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272.00</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53.18</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备注：1.本表反映单位本年度一般公共预算财政拨款基本支出明细情况。</w:t>
      </w:r>
    </w:p>
    <w:p>
      <w:pPr>
        <w:spacing w:line="280" w:lineRule="exact"/>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 xml:space="preserve">      2.本套报表金额单位转换时可能存在尾数误差。</w:t>
      </w:r>
    </w:p>
    <w:p>
      <w:pPr>
        <w:spacing w:line="280" w:lineRule="exact"/>
        <w:rPr>
          <w:rFonts w:hint="default" w:ascii="Times New Roman" w:hAnsi="Times New Roman" w:eastAsia="宋体" w:cs="Times New Roman"/>
          <w:sz w:val="20"/>
          <w:szCs w:val="20"/>
          <w:lang w:eastAsia="zh-CN"/>
        </w:rPr>
      </w:pPr>
    </w:p>
    <w:p>
      <w:pPr>
        <w:spacing w:line="280" w:lineRule="exact"/>
        <w:rPr>
          <w:rFonts w:hint="default" w:ascii="Times New Roman" w:hAnsi="Times New Roman" w:cs="Times New Roman"/>
          <w:sz w:val="20"/>
          <w:szCs w:val="20"/>
        </w:rPr>
      </w:pP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32"/>
        <w:gridCol w:w="3243"/>
        <w:gridCol w:w="1684"/>
        <w:gridCol w:w="1685"/>
        <w:gridCol w:w="1685"/>
        <w:gridCol w:w="1685"/>
        <w:gridCol w:w="1750"/>
        <w:gridCol w:w="1814"/>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7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重庆市石柱土家族自治县征收拆迁补偿事务中心</w:t>
            </w: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5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67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50"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1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507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8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2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1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183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8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8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18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18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507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20,866.04</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20,866.04</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20,866.04</w:t>
            </w:r>
            <w:r>
              <w:rPr>
                <w:rFonts w:hint="default" w:ascii="Times New Roman" w:hAnsi="Times New Roman" w:cs="Times New Roman"/>
                <w:b/>
                <w:color w:val="000000"/>
                <w:sz w:val="20"/>
                <w:u w:color="auto"/>
              </w:rPr>
              <w:t xml:space="preserve"> </w:t>
            </w:r>
          </w:p>
        </w:tc>
        <w:tc>
          <w:tcPr>
            <w:tcW w:w="18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8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20,866.04</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20,866.04</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20,866.04</w:t>
            </w:r>
            <w:r>
              <w:rPr>
                <w:rFonts w:hint="default" w:ascii="Times New Roman" w:hAnsi="Times New Roman" w:cs="Times New Roman"/>
                <w:b/>
                <w:color w:val="000000"/>
                <w:sz w:val="20"/>
                <w:u w:color="auto"/>
              </w:rPr>
              <w:t xml:space="preserve"> </w:t>
            </w:r>
          </w:p>
        </w:tc>
        <w:tc>
          <w:tcPr>
            <w:tcW w:w="18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1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20,792.04</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20,792.04</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20,792.04</w:t>
            </w:r>
            <w:r>
              <w:rPr>
                <w:rFonts w:hint="default" w:ascii="Times New Roman" w:hAnsi="Times New Roman" w:cs="Times New Roman"/>
                <w:b/>
                <w:color w:val="000000"/>
                <w:sz w:val="20"/>
                <w:u w:color="auto"/>
              </w:rPr>
              <w:t xml:space="preserve"> </w:t>
            </w:r>
          </w:p>
        </w:tc>
        <w:tc>
          <w:tcPr>
            <w:tcW w:w="18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2120801</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征地和拆迁补偿支出</w:t>
            </w:r>
          </w:p>
        </w:tc>
        <w:tc>
          <w:tcPr>
            <w:tcW w:w="1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18,144.68</w:t>
            </w: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18,144.68</w:t>
            </w: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18,144.68</w:t>
            </w:r>
            <w:r>
              <w:rPr>
                <w:rFonts w:hint="default" w:ascii="Times New Roman" w:hAnsi="Times New Roman" w:cs="Times New Roman"/>
                <w:color w:val="000000"/>
                <w:sz w:val="20"/>
                <w:u w:color="auto"/>
              </w:rPr>
              <w:t xml:space="preserve"> </w:t>
            </w:r>
          </w:p>
        </w:tc>
        <w:tc>
          <w:tcPr>
            <w:tcW w:w="18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2120804</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农村基础设施建设支出</w:t>
            </w:r>
          </w:p>
        </w:tc>
        <w:tc>
          <w:tcPr>
            <w:tcW w:w="1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2,647.36</w:t>
            </w: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2,647.36</w:t>
            </w: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2,647.36</w:t>
            </w:r>
            <w:r>
              <w:rPr>
                <w:rFonts w:hint="default" w:ascii="Times New Roman" w:hAnsi="Times New Roman" w:cs="Times New Roman"/>
                <w:color w:val="000000"/>
                <w:sz w:val="20"/>
                <w:u w:color="auto"/>
              </w:rPr>
              <w:t xml:space="preserve"> </w:t>
            </w:r>
          </w:p>
        </w:tc>
        <w:tc>
          <w:tcPr>
            <w:tcW w:w="18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21213</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城市基础设施配套费安排的支出</w:t>
            </w:r>
          </w:p>
        </w:tc>
        <w:tc>
          <w:tcPr>
            <w:tcW w:w="1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74.00</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74.00</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74.00</w:t>
            </w:r>
            <w:r>
              <w:rPr>
                <w:rFonts w:hint="default" w:ascii="Times New Roman" w:hAnsi="Times New Roman" w:cs="Times New Roman"/>
                <w:b/>
                <w:color w:val="000000"/>
                <w:sz w:val="20"/>
                <w:u w:color="auto"/>
              </w:rPr>
              <w:t xml:space="preserve"> </w:t>
            </w:r>
          </w:p>
        </w:tc>
        <w:tc>
          <w:tcPr>
            <w:tcW w:w="18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18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2121399</w:t>
            </w:r>
          </w:p>
        </w:tc>
        <w:tc>
          <w:tcPr>
            <w:tcW w:w="32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其他城市基础设施配套费安排的支出</w:t>
            </w:r>
          </w:p>
        </w:tc>
        <w:tc>
          <w:tcPr>
            <w:tcW w:w="16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74.00</w:t>
            </w: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74.00</w:t>
            </w:r>
            <w:r>
              <w:rPr>
                <w:rFonts w:hint="default" w:ascii="Times New Roman" w:hAnsi="Times New Roman" w:cs="Times New Roman"/>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74.00</w:t>
            </w:r>
            <w:r>
              <w:rPr>
                <w:rFonts w:hint="default" w:ascii="Times New Roman" w:hAnsi="Times New Roman" w:cs="Times New Roman"/>
                <w:color w:val="000000"/>
                <w:sz w:val="20"/>
                <w:u w:color="auto"/>
              </w:rPr>
              <w:t xml:space="preserve"> </w:t>
            </w:r>
          </w:p>
        </w:tc>
        <w:tc>
          <w:tcPr>
            <w:tcW w:w="18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备注：1.本表反映单位本年度政府性基金预算财政拨款收入支出及结转和结余情况。</w:t>
      </w:r>
    </w:p>
    <w:p>
      <w:pPr>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 xml:space="preserve">      2.本套报表金额单位转换时可能存在尾数误差。</w:t>
      </w:r>
    </w:p>
    <w:p>
      <w:pPr>
        <w:rPr>
          <w:rFonts w:hint="default" w:ascii="Times New Roman" w:hAnsi="Times New Roman" w:eastAsia="宋体" w:cs="Times New Roman"/>
          <w:sz w:val="20"/>
          <w:szCs w:val="20"/>
          <w:lang w:eastAsia="zh-CN"/>
        </w:rPr>
      </w:pPr>
    </w:p>
    <w:p>
      <w:pPr>
        <w:rPr>
          <w:rFonts w:hint="default" w:ascii="Times New Roman" w:hAnsi="Times New Roman" w:eastAsia="宋体" w:cs="Times New Roman"/>
          <w:sz w:val="20"/>
          <w:szCs w:val="20"/>
          <w:lang w:eastAsia="zh-CN"/>
        </w:rPr>
      </w:pP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重庆市石柱土家族自治县征收拆迁补偿事务中心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备注：本表反映单位本年度国有资本经营预算财政拨款支出情况。本单位无国有资本经营收支，故本表无数据。</w:t>
      </w:r>
    </w:p>
    <w:p>
      <w:pPr>
        <w:rPr>
          <w:rFonts w:hint="default" w:ascii="Times New Roman" w:hAnsi="Times New Roman" w:eastAsia="宋体" w:cs="Times New Roman"/>
          <w:sz w:val="20"/>
          <w:szCs w:val="20"/>
          <w:lang w:eastAsia="zh-CN"/>
        </w:rPr>
      </w:pP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重庆市石柱土家族自治县征收拆迁补偿事务中心</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4.18</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4.18</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4.00</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4.00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2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4.00</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4.00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0.18</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0.18</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0.18</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1.46</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1.46</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22</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1.46</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1.46</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p>
    <w:p>
      <w:pPr>
        <w:rPr>
          <w:rFonts w:hint="default" w:ascii="Times New Roman" w:hAnsi="Times New Roman" w:eastAsia="宋体" w:cs="Times New Roman"/>
          <w:sz w:val="20"/>
          <w:szCs w:val="20"/>
          <w:lang w:eastAsia="zh-CN"/>
        </w:rPr>
      </w:pPr>
      <w:r>
        <w:rPr>
          <w:rFonts w:hint="default" w:ascii="Times New Roman" w:hAnsi="Times New Roman" w:cs="Times New Roman"/>
          <w:sz w:val="20"/>
          <w:szCs w:val="20"/>
        </w:rPr>
        <w:t xml:space="preserve">      2.本套报表金额单位转换时可能存在尾数误差。</w:t>
      </w:r>
    </w:p>
    <w:p>
      <w:pPr>
        <w:rPr>
          <w:rFonts w:hint="default" w:ascii="Times New Roman" w:hAnsi="Times New Roman" w:eastAsia="宋体" w:cs="Times New Roman"/>
          <w:sz w:val="20"/>
          <w:szCs w:val="20"/>
          <w:lang w:eastAsia="zh-CN"/>
        </w:rPr>
      </w:pPr>
    </w:p>
    <w:p>
      <w:pPr>
        <w:rPr>
          <w:rFonts w:hint="default" w:ascii="Times New Roman" w:hAnsi="Times New Roman" w:eastAsia="宋体" w:cs="Times New Roman"/>
          <w:sz w:val="20"/>
          <w:szCs w:val="20"/>
          <w:lang w:eastAsia="zh-CN"/>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华文新魏">
    <w:panose1 w:val="02010800040101010101"/>
    <w:charset w:val="86"/>
    <w:family w:val="auto"/>
    <w:pitch w:val="default"/>
    <w:sig w:usb0="00000001" w:usb1="080F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g5Mjk0NTg4YmExZDg1ZjZjYWU4ZDdiNzNlNzQ1ZDM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041C7C"/>
    <w:rsid w:val="075678DB"/>
    <w:rsid w:val="079D7CC7"/>
    <w:rsid w:val="08051BCA"/>
    <w:rsid w:val="086C12F4"/>
    <w:rsid w:val="08705944"/>
    <w:rsid w:val="08BA052C"/>
    <w:rsid w:val="08DB07BA"/>
    <w:rsid w:val="092F4497"/>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8F7443"/>
    <w:rsid w:val="1ADC0AEE"/>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C026F"/>
    <w:rsid w:val="355F6038"/>
    <w:rsid w:val="358C217E"/>
    <w:rsid w:val="35B5220F"/>
    <w:rsid w:val="35BC359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4C5014"/>
    <w:rsid w:val="3C566AD6"/>
    <w:rsid w:val="3C594871"/>
    <w:rsid w:val="3C6A5B02"/>
    <w:rsid w:val="3D2757A1"/>
    <w:rsid w:val="3D3D4FC4"/>
    <w:rsid w:val="3DDF3AB1"/>
    <w:rsid w:val="3E1D0952"/>
    <w:rsid w:val="3E42660A"/>
    <w:rsid w:val="3E7555B1"/>
    <w:rsid w:val="3E787ED9"/>
    <w:rsid w:val="3F032E93"/>
    <w:rsid w:val="3F0527E5"/>
    <w:rsid w:val="3F694D83"/>
    <w:rsid w:val="3F6A6D39"/>
    <w:rsid w:val="3F885DCC"/>
    <w:rsid w:val="3FBB4C14"/>
    <w:rsid w:val="3FCD675E"/>
    <w:rsid w:val="4004000C"/>
    <w:rsid w:val="40BD5482"/>
    <w:rsid w:val="41102824"/>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84645D"/>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4A07B4"/>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2627C3"/>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4001</Words>
  <Characters>22811</Characters>
  <Lines>190</Lines>
  <Paragraphs>53</Paragraphs>
  <TotalTime>39</TotalTime>
  <ScaleCrop>false</ScaleCrop>
  <LinksUpToDate>false</LinksUpToDate>
  <CharactersWithSpaces>26759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2024-10-22T08:13:49Z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