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重庆市石柱土家族自治县环境卫生所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主要职责任务</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负责城市环境卫生的日常监督、检查工作；负责城市环境卫生设施建设、营运、维护工作；负责城市街道、公园广场的清扫、清运和垃圾处置；负责城市水域环境清漂和保洁、乡镇生活垃圾的收运和处置等工作。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具体职责任务：负责城市环境卫生的日常监督、检查工作；负责城市环境卫生设施建设、运营、维护工作；负责对城市环境卫生的清扫、清运和垃圾处置的日常监督检查工作；负责城市公园、广场的清扫保洁工作；负责城市道路的冲洗保洁工作；负责具体实施城市水域环境及长江主干流域（西沱至沿溪段）及县境内次级河流清漂保洁工作；负责城区内市政公厕的管理工作；负责乡镇生活垃圾的收运和处置；承担城市管理局领导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2023年度收入总计3454.81万元，支出总计</w:t>
      </w:r>
      <w:r>
        <w:rPr>
          <w:rFonts w:hint="default" w:ascii="Times New Roman" w:hAnsi="Times New Roman" w:eastAsia="方正仿宋_GBK" w:cs="Times New Roman"/>
          <w:color w:val="auto"/>
          <w:sz w:val="32"/>
          <w:szCs w:val="32"/>
        </w:rPr>
        <w:t>3454.81</w:t>
      </w:r>
      <w:r>
        <w:rPr>
          <w:rFonts w:hint="default" w:ascii="Times New Roman" w:hAnsi="Times New Roman" w:eastAsia="方正仿宋_GBK" w:cs="Times New Roman"/>
          <w:color w:val="auto"/>
          <w:sz w:val="32"/>
          <w:szCs w:val="32"/>
          <w:shd w:val="clear" w:color="auto" w:fill="FFFFFF"/>
        </w:rPr>
        <w:t>万元。收支较上年决算数减少466.35万元，下降11.89%，主要原因一是机构改革编制划转5个到数字化管理中心；二是预算项目减少。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2023年度收入合计3454.81万元，较上年决算数减少466.35万元，下降11.89%，主要原因一是机构改革编制划转5个到数字化管理中心；二是预算项目减少。其中：财政拨款收入</w:t>
      </w:r>
      <w:r>
        <w:rPr>
          <w:rFonts w:hint="default" w:ascii="Times New Roman" w:hAnsi="Times New Roman" w:eastAsia="方正仿宋_GBK" w:cs="Times New Roman"/>
          <w:color w:val="auto"/>
          <w:sz w:val="32"/>
          <w:szCs w:val="32"/>
        </w:rPr>
        <w:t>3454.81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3454.81</w:t>
      </w:r>
      <w:r>
        <w:rPr>
          <w:rFonts w:hint="default" w:ascii="Times New Roman" w:hAnsi="Times New Roman" w:eastAsia="方正仿宋_GBK" w:cs="Times New Roman"/>
          <w:color w:val="auto"/>
          <w:sz w:val="32"/>
          <w:szCs w:val="32"/>
          <w:shd w:val="clear" w:color="auto" w:fill="FFFFFF"/>
        </w:rPr>
        <w:t>万元，较上年决算数减少466.35万元，下降11.89%，主要原因一是机构改革编制划转5个到数字化管理中心；二是预算项目减少。其中：基本支出</w:t>
      </w:r>
      <w:r>
        <w:rPr>
          <w:rFonts w:hint="default" w:ascii="Times New Roman" w:hAnsi="Times New Roman" w:eastAsia="方正仿宋_GBK" w:cs="Times New Roman"/>
          <w:color w:val="auto"/>
          <w:sz w:val="32"/>
          <w:szCs w:val="32"/>
        </w:rPr>
        <w:t>208.22</w:t>
      </w:r>
      <w:r>
        <w:rPr>
          <w:rFonts w:hint="default" w:ascii="Times New Roman" w:hAnsi="Times New Roman" w:eastAsia="方正仿宋_GBK" w:cs="Times New Roman"/>
          <w:color w:val="auto"/>
          <w:sz w:val="32"/>
          <w:szCs w:val="32"/>
          <w:shd w:val="clear" w:color="auto" w:fill="FFFFFF"/>
        </w:rPr>
        <w:t>万元，占6.03%；项目支出</w:t>
      </w:r>
      <w:r>
        <w:rPr>
          <w:rFonts w:hint="default" w:ascii="Times New Roman" w:hAnsi="Times New Roman" w:eastAsia="方正仿宋_GBK" w:cs="Times New Roman"/>
          <w:color w:val="auto"/>
          <w:sz w:val="32"/>
          <w:szCs w:val="32"/>
        </w:rPr>
        <w:t>3246.60</w:t>
      </w:r>
      <w:r>
        <w:rPr>
          <w:rFonts w:hint="default" w:ascii="Times New Roman" w:hAnsi="Times New Roman" w:eastAsia="方正仿宋_GBK" w:cs="Times New Roman"/>
          <w:color w:val="auto"/>
          <w:sz w:val="32"/>
          <w:szCs w:val="32"/>
          <w:shd w:val="clear" w:color="auto" w:fill="FFFFFF"/>
        </w:rPr>
        <w:t>万元，占93.97%；经营支出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2023年度财政拨款收、支总计3454.81万元。与2022年相比，财政拨款收、支总计各减少466.35万元，下降11.89%。主要原因一是机构改革编制划转5个到数字化管理中心；二是预算项目减少。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3414.81</w:t>
      </w:r>
      <w:r>
        <w:rPr>
          <w:rFonts w:hint="default" w:ascii="Times New Roman" w:hAnsi="Times New Roman" w:eastAsia="方正仿宋_GBK" w:cs="Times New Roman"/>
          <w:sz w:val="32"/>
          <w:szCs w:val="32"/>
          <w:shd w:val="clear" w:color="auto" w:fill="FFFFFF"/>
        </w:rPr>
        <w:t>万元，较上年决算数减少466.35万元，下降12.02%。</w:t>
      </w:r>
      <w:r>
        <w:rPr>
          <w:rFonts w:hint="default" w:ascii="Times New Roman" w:hAnsi="Times New Roman" w:eastAsia="方正仿宋_GBK" w:cs="Times New Roman"/>
          <w:color w:val="auto"/>
          <w:sz w:val="32"/>
          <w:szCs w:val="32"/>
          <w:shd w:val="clear" w:color="auto" w:fill="FFFFFF"/>
        </w:rPr>
        <w:t>主要原因一是机构改革编制划转5个到数字化管理中心；二是预算项目减少。较年初预算数减少381.97万元，下降10.06%。主要原因一是机构改革编制划转5个到数字化管理中心；二是预算项目减少。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3414.81</w:t>
      </w:r>
      <w:r>
        <w:rPr>
          <w:rFonts w:hint="default" w:ascii="Times New Roman" w:hAnsi="Times New Roman" w:eastAsia="方正仿宋_GBK" w:cs="Times New Roman"/>
          <w:color w:val="auto"/>
          <w:sz w:val="32"/>
          <w:szCs w:val="32"/>
          <w:shd w:val="clear" w:color="auto" w:fill="FFFFFF"/>
        </w:rPr>
        <w:t>万元，较上年决算数减少466.35万元，下降12.02%。主要原因一是机构改革编制划转5个到数字化管理中心；二是预算项目减少。较年初预算数减少381.97万元，下降10.06%。主要原因一是机构改革编制划转5个到数字化管理中心；二是预算项目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51.43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1.51</w:t>
      </w:r>
      <w:r>
        <w:rPr>
          <w:rFonts w:hint="default" w:ascii="Times New Roman" w:hAnsi="Times New Roman" w:eastAsia="方正仿宋_GBK" w:cs="Times New Roman"/>
          <w:color w:val="auto"/>
          <w:sz w:val="32"/>
          <w:szCs w:val="32"/>
          <w:shd w:val="clear" w:color="auto" w:fill="FFFFFF"/>
        </w:rPr>
        <w:t>%，较年初预算数增加2.89万元，增长5.95%，主要原因是</w:t>
      </w:r>
      <w:r>
        <w:rPr>
          <w:rFonts w:hint="default" w:ascii="Times New Roman" w:hAnsi="Times New Roman" w:eastAsia="方正仿宋_GBK" w:cs="Times New Roman"/>
          <w:color w:val="auto"/>
          <w:sz w:val="32"/>
          <w:szCs w:val="32"/>
          <w:shd w:val="clear" w:color="auto" w:fill="FFFFFF"/>
          <w:lang w:val="en-US" w:eastAsia="zh-CN"/>
        </w:rPr>
        <w:t>社保缴费基数上调。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12.10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%，较年初预算数减少1.50万元，下降11.03%，主要原因是</w:t>
      </w:r>
      <w:r>
        <w:rPr>
          <w:rFonts w:hint="default" w:ascii="Times New Roman" w:hAnsi="Times New Roman" w:eastAsia="仿宋_GB2312" w:cs="Times New Roman"/>
          <w:kern w:val="2"/>
          <w:sz w:val="32"/>
          <w:szCs w:val="32"/>
        </w:rPr>
        <w:t>机构改革编制划转5个到数字化管理中心。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3132.60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91.74</w:t>
      </w:r>
      <w:r>
        <w:rPr>
          <w:rFonts w:hint="default" w:ascii="Times New Roman" w:hAnsi="Times New Roman" w:eastAsia="方正仿宋_GBK" w:cs="Times New Roman"/>
          <w:sz w:val="32"/>
          <w:szCs w:val="32"/>
          <w:shd w:val="clear" w:color="auto" w:fill="FFFFFF"/>
        </w:rPr>
        <w:t>%，较年初预算数减少425.40万元，下降11.96%，主要原因是</w:t>
      </w:r>
      <w:r>
        <w:rPr>
          <w:rFonts w:hint="default" w:ascii="Times New Roman" w:hAnsi="Times New Roman" w:eastAsia="仿宋_GB2312" w:cs="Times New Roman"/>
          <w:kern w:val="2"/>
          <w:sz w:val="32"/>
          <w:szCs w:val="32"/>
        </w:rPr>
        <w:t>预算项目减少。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210.81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6.17</w:t>
      </w:r>
      <w:r>
        <w:rPr>
          <w:rFonts w:hint="default" w:ascii="Times New Roman" w:hAnsi="Times New Roman" w:eastAsia="方正仿宋_GBK" w:cs="Times New Roman"/>
          <w:sz w:val="32"/>
          <w:szCs w:val="32"/>
          <w:shd w:val="clear" w:color="auto" w:fill="FFFFFF"/>
        </w:rPr>
        <w:t>%，较年初预算数增加44.64万元，增长26.86%，主要原因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项目支出增加。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%，较年初预算数减少2.60万元，下降24.83%，主要原因是</w:t>
      </w:r>
      <w:r>
        <w:rPr>
          <w:rFonts w:hint="default" w:ascii="Times New Roman" w:hAnsi="Times New Roman" w:eastAsia="仿宋_GB2312" w:cs="Times New Roman"/>
          <w:kern w:val="2"/>
          <w:sz w:val="32"/>
          <w:szCs w:val="32"/>
        </w:rPr>
        <w:t>机构改革编制划转5个到数字化管理中心。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208.22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182.97</w:t>
      </w:r>
      <w:r>
        <w:rPr>
          <w:rFonts w:hint="default" w:ascii="Times New Roman" w:hAnsi="Times New Roman" w:eastAsia="方正仿宋_GBK" w:cs="Times New Roman"/>
          <w:sz w:val="32"/>
          <w:szCs w:val="32"/>
          <w:shd w:val="clear" w:color="auto" w:fill="FFFFFF"/>
        </w:rPr>
        <w:t>万元，较上年决算数减少134.73万元，下降42.41%，主要原因是</w:t>
      </w:r>
      <w:r>
        <w:rPr>
          <w:rFonts w:hint="default" w:ascii="Times New Roman" w:hAnsi="Times New Roman" w:eastAsia="仿宋_GB2312" w:cs="Times New Roman"/>
          <w:kern w:val="2"/>
          <w:sz w:val="32"/>
          <w:szCs w:val="32"/>
        </w:rPr>
        <w:t>机构改革编制划转5个到数字化管理中心。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基本工资、津贴补贴、奖金、绩效工资、社会保障缴费、住房公积金、对个人和家庭的补助等。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25.25</w:t>
      </w:r>
      <w:r>
        <w:rPr>
          <w:rFonts w:hint="default" w:ascii="Times New Roman" w:hAnsi="Times New Roman" w:eastAsia="方正仿宋_GBK" w:cs="Times New Roman"/>
          <w:sz w:val="32"/>
          <w:szCs w:val="32"/>
          <w:shd w:val="clear" w:color="auto" w:fill="FFFFFF"/>
        </w:rPr>
        <w:t>万元，较上年决算数减少8.92万元，下降26.10%，主要原因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仿宋_GB2312" w:cs="Times New Roman"/>
          <w:kern w:val="2"/>
          <w:sz w:val="32"/>
          <w:szCs w:val="32"/>
        </w:rPr>
        <w:t>机构改革编制划转5个到数字化管理中心</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二是</w:t>
      </w:r>
      <w:r>
        <w:rPr>
          <w:rFonts w:hint="default" w:ascii="Times New Roman" w:hAnsi="Times New Roman" w:eastAsia="方正仿宋_GBK" w:cs="Times New Roman"/>
          <w:color w:val="auto"/>
          <w:sz w:val="32"/>
          <w:szCs w:val="32"/>
          <w:shd w:val="clear" w:color="auto" w:fill="FFFFFF"/>
        </w:rPr>
        <w:t>进一步落实政府过“紧日子”的要求，压缩人员经费支出</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办公费、水费、电费、邮电费、差旅费、物业管理费、公务用车运行维护费、公务接待费等。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40.00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财政预算压缩。</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40.00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财政预算压缩。</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万元，较年初预算数减少0.50万元，下降100.00%，主要原因是</w:t>
      </w:r>
      <w:r>
        <w:rPr>
          <w:rFonts w:hint="default" w:ascii="Times New Roman" w:hAnsi="Times New Roman" w:eastAsia="方正仿宋_GBK" w:cs="Times New Roman"/>
          <w:color w:val="auto"/>
          <w:sz w:val="32"/>
          <w:szCs w:val="32"/>
          <w:shd w:val="clear" w:color="auto" w:fill="FFFFFF"/>
        </w:rPr>
        <w:t>进一步落实政府过“紧日子”的要求</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较上年支出数减少162.21万元，下降100.00%，主要原因是环卫作业车辆产生的运行维护费调整到其他交通费中</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本单位2023年度未发生</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本单位2023年度未发生</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本单位2023年未发生公务车购置费支出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本单位2023年未发生公务车购置费支出。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万元，费用支出较年初预算数无增减，主要原因是环卫作业车辆产生的运行维护费调整到其他交通费中</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较上年支出数减少162.04万元，下降100.00%，主要原因是环卫作业车辆产生的运行维护费调整到其他交通费中 </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万元，费用支出较年初预算数减少0.50万元，下降100.00%，主要原因是严格控制公务接待费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较上年支出数减少0.17万元，下降100.00%，主要原因是严格控制公务接待费</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本单位2023年度未开展大型会议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万元，较上年决算数无变化，主要原因是</w:t>
      </w:r>
      <w:r>
        <w:rPr>
          <w:rFonts w:hint="default" w:ascii="Times New Roman" w:hAnsi="Times New Roman" w:eastAsia="方正仿宋_GBK" w:cs="Times New Roman"/>
          <w:sz w:val="32"/>
          <w:szCs w:val="32"/>
          <w:shd w:val="clear" w:color="auto" w:fill="FFFFFF"/>
          <w:lang w:val="en-US" w:eastAsia="zh-CN"/>
        </w:rPr>
        <w:t>本单位2023年度未开展培训活动。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53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53</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2023年</w:t>
      </w:r>
      <w:r>
        <w:rPr>
          <w:rFonts w:hint="default" w:ascii="Times New Roman" w:hAnsi="Times New Roman" w:eastAsia="方正仿宋_GBK" w:cs="Times New Roman"/>
          <w:b w:val="0"/>
          <w:bCs w:val="0"/>
          <w:kern w:val="0"/>
          <w:sz w:val="32"/>
          <w:szCs w:val="32"/>
        </w:rPr>
        <w:t>我单位</w:t>
      </w:r>
      <w:r>
        <w:rPr>
          <w:rFonts w:hint="default" w:ascii="Times New Roman" w:hAnsi="Times New Roman" w:eastAsia="方正仿宋_GBK" w:cs="Times New Roman"/>
          <w:b w:val="0"/>
          <w:bCs w:val="0"/>
          <w:kern w:val="0"/>
          <w:sz w:val="32"/>
          <w:szCs w:val="32"/>
          <w:lang w:val="en-US" w:eastAsia="zh-CN"/>
        </w:rPr>
        <w:t>未单独预算项目。项目支出纳入城管局机关预算。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我单位未组织开展绩效评价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textAlignment w:val="auto"/>
        <w:rPr>
          <w:rStyle w:val="10"/>
          <w:rFonts w:hint="eastAsia" w:ascii="方正黑体_GBK" w:hAnsi="方正黑体_GBK" w:eastAsia="方正黑体_GBK" w:cs="方正黑体_GBK"/>
          <w:b w:val="0"/>
          <w:bCs/>
          <w:sz w:val="32"/>
          <w:szCs w:val="32"/>
          <w:shd w:val="clear" w:color="auto" w:fill="FFFFFF"/>
        </w:rPr>
      </w:pPr>
      <w:bookmarkStart w:id="0" w:name="_GoBack"/>
      <w:r>
        <w:rPr>
          <w:rStyle w:val="10"/>
          <w:rFonts w:hint="eastAsia" w:ascii="方正黑体_GBK" w:hAnsi="方正黑体_GBK" w:eastAsia="方正黑体_GBK" w:cs="方正黑体_GBK"/>
          <w:b w:val="0"/>
          <w:bCs/>
          <w:sz w:val="32"/>
          <w:szCs w:val="32"/>
          <w:shd w:val="clear" w:color="auto" w:fill="FFFFFF"/>
        </w:rPr>
        <w:t>  七、决算公开联系方式及信息反馈渠道</w:t>
      </w:r>
    </w:p>
    <w:bookmarkEnd w:id="0"/>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0" w:firstLineChars="0"/>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bidi="ar-SA"/>
        </w:rPr>
        <w:t>     冉佳运 023-81501800</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重庆市石柱土家族自治县环境卫生所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3,414.81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3,132.60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210.81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3,454.81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3,454.81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3,454.81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3,454.81</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重庆市石柱土家族自治县环境卫生所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3,454.81</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3,454.81</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3,132.60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3,132.60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2,902.98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2,902.98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2,902.98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2,902.98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重庆市石柱土家族自治县环境卫生所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3,454.81</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208.22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3,246.60</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3,132.60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3,132.60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154.61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154.61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154.61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154.61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2,902.98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2,902.98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2,902.98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2,902.98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重庆市石柱土家族自治县环境卫生所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3,414.81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3,132.60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3,132.60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3,454.81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3,454.81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3,414.81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3,454.81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3,454.81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3,414.81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重庆市石柱土家族自治县环境卫生所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3,414.81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208.22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3,206.60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3,132.60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3,132.60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154.61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154.61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154.61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154.61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2,902.98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2,902.98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2,902.98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2,902.98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136.81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210.81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136.81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210.81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136.81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重庆市石柱土家族自治县环境卫生所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151.51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182.97</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25.25</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重庆市石柱土家族自治县环境卫生所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重庆市石柱土家族自治县环境卫生所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重庆市石柱土家族自治县环境卫生所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53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A7486"/>
    <w:rsid w:val="13871C70"/>
    <w:rsid w:val="13A71CB4"/>
    <w:rsid w:val="13AF1D43"/>
    <w:rsid w:val="13CE1647"/>
    <w:rsid w:val="13FD55AB"/>
    <w:rsid w:val="14200702"/>
    <w:rsid w:val="1611122F"/>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B1ED5"/>
    <w:rsid w:val="23DE51A9"/>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E57B94"/>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740E24"/>
    <w:rsid w:val="50F06B6E"/>
    <w:rsid w:val="51D21804"/>
    <w:rsid w:val="52234D33"/>
    <w:rsid w:val="52240304"/>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7E68D2"/>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6</TotalTime>
  <ScaleCrop>false</ScaleCrop>
  <LinksUpToDate>false</LinksUpToDate>
  <CharactersWithSpaces>26759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2024-10-22T08:53:36Z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