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color w:val="000000"/>
          <w:w w:val="110"/>
          <w:kern w:val="0"/>
          <w:sz w:val="43"/>
          <w:szCs w:val="43"/>
          <w:lang w:bidi="ar"/>
        </w:rPr>
      </w:pPr>
      <w:bookmarkStart w:id="0" w:name="zw"/>
      <w:bookmarkEnd w:id="0"/>
      <w:r>
        <w:rPr>
          <w:szCs w:val="32"/>
        </w:rPr>
        <w:pict>
          <v:shape id="_x0000_s1027" o:spid="_x0000_s1027" o:spt="136" type="#_x0000_t136" style="position:absolute;left:0pt;margin-left:-12.7pt;margin-top:-0.6pt;height:57.9pt;width:442.4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医疗保障局电子公文&#10;" style="font-family:华文中宋;font-size:18pt;font-weight:bold;v-text-align:center;"/>
          </v:shape>
        </w:pic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color w:val="000000"/>
          <w:w w:val="110"/>
          <w:kern w:val="0"/>
          <w:sz w:val="43"/>
          <w:szCs w:val="43"/>
          <w:lang w:bidi="ar"/>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17145</wp:posOffset>
                </wp:positionV>
                <wp:extent cx="5638800" cy="0"/>
                <wp:effectExtent l="0" t="28575" r="0" b="34925"/>
                <wp:wrapNone/>
                <wp:docPr id="2" name="直接连接符 2"/>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35pt;height:0pt;width:444pt;z-index:251661312;mso-width-relative:page;mso-height-relative:page;" filled="f" stroked="t" coordsize="21600,21600" o:gfxdata="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kH59IAAAAHAQAADwAAAAAAAAABACAAAAAiAAAAZHJzL2Rvd25yZXYueG1sUEsB&#10;AhQAFAAAAAgAh07iQAiHarL7AQAA6wMAAA4AAAAAAAAAAQAgAAAAIQEAAGRycy9lMm9Eb2MueG1s&#10;UEsFBgAAAAAGAAYAWQEAAI4FAAAAAA==&#10;">
                <v:fill on="f" focussize="0,0"/>
                <v:stroke weight="4.5pt" color="#FF0000" linestyle="thickThin" joinstyle="round"/>
                <v:imagedata o:title=""/>
                <o:lock v:ext="edit" aspectratio="f"/>
              </v:line>
            </w:pict>
          </mc:Fallback>
        </mc:AlternateContent>
      </w:r>
      <w:r>
        <w:rPr>
          <w:rFonts w:hint="eastAsia" w:ascii="Times New Roman" w:hAnsi="Times New Roman" w:eastAsia="方正仿宋_GBK" w:cs="方正仿宋_GBK"/>
          <w:sz w:val="32"/>
          <w:szCs w:val="32"/>
          <w:lang w:eastAsia="zh-CN"/>
        </w:rPr>
        <w:t>石医保发</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2021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highlight w:val="none"/>
          <w:lang w:val="en-US" w:eastAsia="zh-CN"/>
        </w:rPr>
        <w:t>67</w:t>
      </w:r>
      <w:r>
        <w:rPr>
          <w:rFonts w:hint="eastAsia" w:ascii="Times New Roman" w:hAnsi="Times New Roman" w:eastAsia="方正仿宋_GBK" w:cs="方正仿宋_GBK"/>
          <w:sz w:val="32"/>
          <w:szCs w:val="32"/>
        </w:rPr>
        <w:t xml:space="preserve">号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年  月  日  核收：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000000"/>
          <w:w w:val="11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石柱土家族自治县医疗保障局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关于转发《</w:t>
      </w:r>
      <w:r>
        <w:rPr>
          <w:rFonts w:hint="eastAsia" w:ascii="方正小标宋_GBK" w:hAnsi="方正小标宋_GBK" w:eastAsia="方正小标宋_GBK" w:cs="方正小标宋_GBK"/>
          <w:sz w:val="44"/>
          <w:szCs w:val="44"/>
        </w:rPr>
        <w:t>重庆市医疗保障局办公室关于</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开展门诊慢特病跨省异地就医费用</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直接结算试点的通知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的</w:t>
      </w:r>
      <w:r>
        <w:rPr>
          <w:rFonts w:hint="eastAsia" w:ascii="方正小标宋_GBK" w:hAnsi="方正小标宋_GBK" w:eastAsia="方正小标宋_GBK" w:cs="方正小标宋_GBK"/>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县内各</w:t>
      </w:r>
      <w:r>
        <w:rPr>
          <w:rFonts w:hint="default" w:ascii="Times New Roman" w:hAnsi="Times New Roman" w:eastAsia="方正仿宋_GBK" w:cs="Times New Roman"/>
          <w:sz w:val="32"/>
          <w:szCs w:val="32"/>
          <w:highlight w:val="none"/>
          <w:lang w:eastAsia="zh-CN"/>
        </w:rPr>
        <w:t>协议医疗机构</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现将《重庆市医疗保障局办公室关于开展门诊慢特病跨省异地就医费用直接结算试点的通知》（渝医保办〔2021〕54号）转发给你们，请认真做好政策宣传和贯彻落实工作。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附件：《重庆市医疗保障局办公室关于开展门诊慢特病跨省异地就医费用直接结算试点的通知》（渝医保办〔2021〕54号）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石柱土家族自治县医疗保障局</w:t>
      </w:r>
    </w:p>
    <w:p>
      <w:pPr>
        <w:keepNext w:val="0"/>
        <w:keepLines w:val="0"/>
        <w:pageBreakBefore w:val="0"/>
        <w:widowControl w:val="0"/>
        <w:kinsoku/>
        <w:wordWrap/>
        <w:overflowPunct/>
        <w:topLinePunct w:val="0"/>
        <w:autoSpaceDE/>
        <w:autoSpaceDN/>
        <w:bidi w:val="0"/>
        <w:adjustRightInd/>
        <w:snapToGrid/>
        <w:spacing w:line="594" w:lineRule="exact"/>
        <w:ind w:firstLine="3520" w:firstLineChars="1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2021年12月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（县医保局</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谭露</w:t>
      </w:r>
      <w:r>
        <w:rPr>
          <w:rFonts w:hint="default" w:ascii="Times New Roman" w:hAnsi="Times New Roman" w:eastAsia="方正仿宋_GBK" w:cs="Times New Roman"/>
          <w:sz w:val="32"/>
          <w:szCs w:val="32"/>
          <w:lang w:eastAsia="zh-CN"/>
        </w:rPr>
        <w:t>，联系电话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73337518）</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20" w:lineRule="exact"/>
        <w:textAlignment w:val="auto"/>
        <w:rPr>
          <w:rFonts w:eastAsia="方正仿宋_GBK"/>
          <w:spacing w:val="-6"/>
          <w:sz w:val="30"/>
          <w:szCs w:val="30"/>
        </w:rPr>
      </w:pPr>
      <w:r>
        <w:rPr>
          <w:rFonts w:hint="eastAsia"/>
          <w:lang w:val="en-US" w:eastAsia="zh-CN"/>
        </w:rPr>
        <w:tab/>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94" w:lineRule="exact"/>
        <w:ind w:firstLine="268" w:firstLineChars="100"/>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仿宋_GBK" w:cs="Times New Roman"/>
          <w:spacing w:val="-6"/>
          <w:sz w:val="28"/>
          <w:szCs w:val="28"/>
        </w:rPr>
        <w:t>石柱土家族自治县</w:t>
      </w:r>
      <w:r>
        <w:rPr>
          <w:rFonts w:hint="default" w:ascii="Times New Roman" w:hAnsi="Times New Roman" w:eastAsia="方正仿宋_GBK" w:cs="Times New Roman"/>
          <w:spacing w:val="-6"/>
          <w:sz w:val="28"/>
          <w:szCs w:val="28"/>
          <w:lang w:eastAsia="zh-CN"/>
        </w:rPr>
        <w:t>医疗保障局</w:t>
      </w: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w:t>
      </w:r>
      <w:r>
        <w:rPr>
          <w:rFonts w:hint="eastAsia"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lang w:val="en-US" w:eastAsia="zh-CN"/>
        </w:rPr>
        <w:t>2021</w:t>
      </w:r>
      <w:r>
        <w:rPr>
          <w:rFonts w:hint="default" w:ascii="Times New Roman" w:hAnsi="Times New Roman" w:eastAsia="方正仿宋_GBK" w:cs="Times New Roman"/>
          <w:spacing w:val="-6"/>
          <w:sz w:val="28"/>
          <w:szCs w:val="28"/>
        </w:rPr>
        <w:t>年</w:t>
      </w:r>
      <w:r>
        <w:rPr>
          <w:rFonts w:hint="eastAsia" w:ascii="Times New Roman" w:hAnsi="Times New Roman" w:eastAsia="方正仿宋_GBK" w:cs="Times New Roman"/>
          <w:spacing w:val="-6"/>
          <w:sz w:val="28"/>
          <w:szCs w:val="28"/>
          <w:lang w:val="en-US" w:eastAsia="zh-CN"/>
        </w:rPr>
        <w:t>12</w:t>
      </w:r>
      <w:r>
        <w:rPr>
          <w:rFonts w:hint="default" w:ascii="Times New Roman" w:hAnsi="Times New Roman" w:eastAsia="方正仿宋_GBK" w:cs="Times New Roman"/>
          <w:spacing w:val="-6"/>
          <w:sz w:val="28"/>
          <w:szCs w:val="28"/>
        </w:rPr>
        <w:t>月</w:t>
      </w:r>
      <w:r>
        <w:rPr>
          <w:rFonts w:hint="eastAsia" w:ascii="Times New Roman" w:hAnsi="Times New Roman" w:eastAsia="方正仿宋_GBK" w:cs="Times New Roman"/>
          <w:spacing w:val="-6"/>
          <w:sz w:val="28"/>
          <w:szCs w:val="28"/>
          <w:lang w:val="en-US" w:eastAsia="zh-CN"/>
        </w:rPr>
        <w:t>9</w:t>
      </w:r>
      <w:r>
        <w:rPr>
          <w:rFonts w:hint="default" w:ascii="Times New Roman" w:hAnsi="Times New Roman" w:eastAsia="方正仿宋_GBK" w:cs="Times New Roman"/>
          <w:spacing w:val="-6"/>
          <w:sz w:val="28"/>
          <w:szCs w:val="28"/>
        </w:rPr>
        <w:t>日印</w:t>
      </w:r>
      <w:r>
        <w:rPr>
          <w:rFonts w:hint="default" w:ascii="Times New Roman" w:hAnsi="Times New Roman" w:eastAsia="方正仿宋_GBK" w:cs="Times New Roman"/>
          <w:spacing w:val="-6"/>
          <w:sz w:val="28"/>
          <w:szCs w:val="28"/>
          <w:lang w:eastAsia="zh-CN"/>
        </w:rPr>
        <w:t>发</w:t>
      </w:r>
    </w:p>
    <w:p>
      <w:pPr>
        <w:pStyle w:val="5"/>
        <w:keepNext w:val="0"/>
        <w:keepLines w:val="0"/>
        <w:pageBreakBefore w:val="0"/>
        <w:widowControl w:val="0"/>
        <w:kinsoku/>
        <w:wordWrap/>
        <w:overflowPunct/>
        <w:topLinePunct w:val="0"/>
        <w:autoSpaceDE/>
        <w:autoSpaceDN/>
        <w:bidi w:val="0"/>
        <w:adjustRightInd/>
        <w:spacing w:line="594" w:lineRule="exact"/>
        <w:ind w:firstLine="0" w:firstLineChars="0"/>
        <w:jc w:val="both"/>
        <w:textAlignment w:val="auto"/>
        <w:rPr>
          <w:rFonts w:hint="eastAsia" w:ascii="方正黑体_GBK" w:hAnsi="方正黑体_GBK" w:eastAsia="方正黑体_GBK" w:cs="方正黑体_GBK"/>
          <w:b w:val="0"/>
          <w:bCs w:val="0"/>
          <w:snapToGrid w:val="0"/>
          <w:color w:val="auto"/>
          <w:sz w:val="32"/>
          <w:szCs w:val="32"/>
          <w:highlight w:val="none"/>
          <w:lang w:val="en-US" w:eastAsia="zh-CN"/>
        </w:rPr>
      </w:pPr>
      <w:r>
        <w:rPr>
          <w:rFonts w:hint="eastAsia" w:ascii="方正黑体_GBK" w:hAnsi="方正黑体_GBK" w:eastAsia="方正黑体_GBK" w:cs="方正黑体_GBK"/>
          <w:b w:val="0"/>
          <w:bCs w:val="0"/>
          <w:snapToGrid w:val="0"/>
          <w:color w:val="auto"/>
          <w:sz w:val="32"/>
          <w:szCs w:val="32"/>
          <w:highlight w:val="none"/>
          <w:lang w:val="en-US" w:eastAsia="zh-CN"/>
        </w:rPr>
        <w:t>附件</w:t>
      </w:r>
    </w:p>
    <w:p>
      <w:pPr>
        <w:spacing w:line="600" w:lineRule="exact"/>
        <w:jc w:val="both"/>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渝医保办〔2021〕54号</w:t>
      </w:r>
    </w:p>
    <w:p>
      <w:pPr>
        <w:spacing w:line="80" w:lineRule="exact"/>
        <w:jc w:val="center"/>
        <w:rPr>
          <w:rFonts w:eastAsia="方正仿宋简体"/>
          <w:sz w:val="34"/>
          <w:szCs w:val="34"/>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560" w:lineRule="exact"/>
              <w:rPr>
                <w:rFonts w:eastAsia="方正小标宋_GBK"/>
              </w:rPr>
            </w:pPr>
          </w:p>
        </w:tc>
      </w:tr>
    </w:tbl>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重庆市医疗保障局办公室</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关于开展门诊慢特病跨省异地就医费用</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直接结算试点的通知</w:t>
      </w:r>
    </w:p>
    <w:p>
      <w:pPr>
        <w:spacing w:line="600" w:lineRule="exact"/>
        <w:jc w:val="center"/>
        <w:rPr>
          <w:rFonts w:ascii="方正仿宋_GBK" w:hAnsi="方正仿宋_GBK" w:eastAsia="方正仿宋_GBK" w:cs="方正仿宋_GBK"/>
        </w:rPr>
      </w:pPr>
    </w:p>
    <w:p>
      <w:pPr>
        <w:snapToGrid w:val="0"/>
        <w:spacing w:line="58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各区县（自治县）医疗保障局，两江新区社会保障局、高新区政务服务和社会事务中心、万盛经开区人力社保局：</w:t>
      </w:r>
    </w:p>
    <w:p>
      <w:pPr>
        <w:numPr>
          <w:ilvl w:val="255"/>
          <w:numId w:val="0"/>
        </w:num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家医保局办公室、财政部办公厅《关于开展门诊慢特病相关治疗费用跨省直接结算试点工作的通知》（医保办函﹝2021﹞4号），我市在试点高血压、糖尿病特病门诊直接结算的基础上，于2021年12月25日起开通高血压、糖尿病、恶性肿瘤门诊放化疗、尿毒症透析、器官移植术后抗排异治疗等5个门诊慢特病相关治疗费用跨省直接结算，现将有关事宜通知如下：</w:t>
      </w:r>
    </w:p>
    <w:p>
      <w:pPr>
        <w:numPr>
          <w:ilvl w:val="255"/>
          <w:numId w:val="0"/>
        </w:numPr>
        <w:snapToGrid w:val="0"/>
        <w:spacing w:line="580" w:lineRule="exact"/>
        <w:ind w:firstLine="640" w:firstLineChars="200"/>
        <w:rPr>
          <w:rFonts w:hint="eastAsia" w:ascii="Times New Roman" w:hAnsi="Times New Roman" w:eastAsia="方正黑体_GBK" w:cs="宋体"/>
          <w:bCs/>
          <w:sz w:val="32"/>
          <w:szCs w:val="32"/>
        </w:rPr>
      </w:pPr>
      <w:r>
        <w:rPr>
          <w:rFonts w:hint="eastAsia" w:ascii="Times New Roman" w:hAnsi="Times New Roman" w:eastAsia="方正黑体_GBK" w:cs="宋体"/>
          <w:bCs/>
          <w:sz w:val="32"/>
          <w:szCs w:val="32"/>
        </w:rPr>
        <w:t>一、试点人群范围</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已在我市完成上述5个门诊慢特病待遇资格认定，并按规定办理了跨省异地就医备案手续的人员。</w:t>
      </w:r>
    </w:p>
    <w:p>
      <w:pPr>
        <w:numPr>
          <w:ilvl w:val="255"/>
          <w:numId w:val="0"/>
        </w:numPr>
        <w:snapToGrid w:val="0"/>
        <w:spacing w:line="580" w:lineRule="exact"/>
        <w:ind w:firstLine="640" w:firstLineChars="200"/>
        <w:rPr>
          <w:rFonts w:hint="eastAsia" w:ascii="Times New Roman" w:hAnsi="Times New Roman" w:eastAsia="方正黑体_GBK" w:cs="宋体"/>
          <w:bCs/>
          <w:sz w:val="32"/>
          <w:szCs w:val="32"/>
        </w:rPr>
      </w:pPr>
      <w:r>
        <w:rPr>
          <w:rFonts w:hint="eastAsia" w:ascii="Times New Roman" w:hAnsi="Times New Roman" w:eastAsia="方正黑体_GBK" w:cs="宋体"/>
          <w:bCs/>
          <w:sz w:val="32"/>
          <w:szCs w:val="32"/>
        </w:rPr>
        <w:t>二、试点门诊慢特病病种名称和代码</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了保障此项工作的顺利开展，参照国家医疗保障信息业务编码标准中门诊慢特病病种代码及病种名称，现需对移植抗排异这一病种按照文件规定进行维护（肾移植抗排异治疗M08301、骨髓移植抗排异治疗M08302、心移植抗排异治疗M08303、肝移植抗排异治疗M08304、肺移植抗排异治疗M08305、肝肾移植抗排异治疗M08306）。</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区县经办机构需从2021年12月1日起按照新的病种编码对新增移植抗排异特病病人进行特病资格办理，并逐步完成对存量病人的病种维护；定点医疗机构需从2021年12月25日按照新的病种编码进行联网结算。</w:t>
      </w:r>
    </w:p>
    <w:p>
      <w:pPr>
        <w:numPr>
          <w:ilvl w:val="255"/>
          <w:numId w:val="0"/>
        </w:numPr>
        <w:snapToGrid w:val="0"/>
        <w:spacing w:line="580" w:lineRule="exact"/>
        <w:ind w:firstLine="640" w:firstLineChars="200"/>
        <w:rPr>
          <w:rFonts w:hint="eastAsia" w:ascii="Times New Roman" w:hAnsi="Times New Roman" w:eastAsia="方正黑体_GBK" w:cs="宋体"/>
          <w:bCs/>
          <w:sz w:val="32"/>
          <w:szCs w:val="32"/>
        </w:rPr>
      </w:pPr>
      <w:r>
        <w:rPr>
          <w:rFonts w:hint="eastAsia" w:ascii="Times New Roman" w:hAnsi="Times New Roman" w:eastAsia="方正黑体_GBK" w:cs="宋体"/>
          <w:bCs/>
          <w:sz w:val="32"/>
          <w:szCs w:val="32"/>
        </w:rPr>
        <w:t>三、我市试点医疗机构</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按照需求导向、合理分布原则，确定全市试点医疗机构95家，具体名单见附件。</w:t>
      </w:r>
    </w:p>
    <w:p>
      <w:pPr>
        <w:snapToGrid w:val="0"/>
        <w:spacing w:line="580" w:lineRule="exact"/>
        <w:ind w:firstLine="640"/>
        <w:rPr>
          <w:rFonts w:hint="eastAsia" w:ascii="Times New Roman" w:hAnsi="方正黑体_GBK" w:eastAsia="方正黑体_GBK" w:cs="方正黑体_GBK"/>
          <w:sz w:val="32"/>
          <w:szCs w:val="32"/>
        </w:rPr>
      </w:pPr>
      <w:r>
        <w:rPr>
          <w:rFonts w:hint="eastAsia" w:ascii="Times New Roman" w:hAnsi="方正黑体_GBK" w:eastAsia="方正黑体_GBK" w:cs="方正黑体_GBK"/>
          <w:sz w:val="32"/>
          <w:szCs w:val="32"/>
        </w:rPr>
        <w:t>四、工作要求</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cs="楷体"/>
          <w:sz w:val="32"/>
          <w:szCs w:val="32"/>
        </w:rPr>
        <w:t>（一）做好医疗机构联网工作。</w:t>
      </w:r>
      <w:r>
        <w:rPr>
          <w:rFonts w:hint="eastAsia" w:ascii="Times New Roman" w:hAnsi="Times New Roman" w:eastAsia="方正仿宋_GBK" w:cs="方正仿宋_GBK"/>
          <w:sz w:val="32"/>
          <w:szCs w:val="32"/>
        </w:rPr>
        <w:t>要高度重视门诊慢特病跨省直接结算工作，指导督促辖区内定点医疗机构进行接口改造及联网测试，确保各试点医疗机构能正常开展门诊慢特病跨省直接结算。</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cs="楷体"/>
          <w:sz w:val="32"/>
          <w:szCs w:val="32"/>
        </w:rPr>
        <w:t>（二）加强异地就医经办服务。</w:t>
      </w:r>
      <w:r>
        <w:rPr>
          <w:rFonts w:hint="eastAsia" w:ascii="Times New Roman" w:hAnsi="Times New Roman" w:eastAsia="方正仿宋_GBK" w:cs="方正仿宋_GBK"/>
          <w:sz w:val="32"/>
          <w:szCs w:val="32"/>
        </w:rPr>
        <w:t>做好参保人异地就医备案工作，为参保人提供便捷化的异地就医登记备案，指导定点医疗机构为异地就医参保人提供高效的就医服务和医保报销结算。</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cs="楷体"/>
          <w:sz w:val="32"/>
          <w:szCs w:val="32"/>
        </w:rPr>
        <w:t>（三）落实监管责任。</w:t>
      </w:r>
      <w:r>
        <w:rPr>
          <w:rFonts w:hint="eastAsia" w:ascii="Times New Roman" w:hAnsi="Times New Roman" w:eastAsia="方正仿宋_GBK" w:cs="方正仿宋_GBK"/>
          <w:sz w:val="32"/>
          <w:szCs w:val="32"/>
        </w:rPr>
        <w:t>将门诊慢特病跨省直接结算服务纳入医保定点医疗机构协议管理，切实落实就医地管理责任，创新监管手段，引导定点医疗机构规范诊疗行为，严厉打击医保欺诈骗保行为，防范基金风险。</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cs="楷体"/>
          <w:sz w:val="32"/>
          <w:szCs w:val="32"/>
        </w:rPr>
        <w:t>（四）加强试点运行监管。</w:t>
      </w:r>
      <w:r>
        <w:rPr>
          <w:rFonts w:hint="eastAsia" w:ascii="Times New Roman" w:hAnsi="Times New Roman" w:eastAsia="方正仿宋_GBK" w:cs="方正仿宋_GBK"/>
          <w:sz w:val="32"/>
          <w:szCs w:val="32"/>
        </w:rPr>
        <w:t>及时收集运行中在的问题，做好协调处理，重大问题及时向市医保事务中心反馈。</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cs="楷体"/>
          <w:sz w:val="32"/>
          <w:szCs w:val="32"/>
        </w:rPr>
        <w:t>（五）做好宣传解释工作。</w:t>
      </w:r>
      <w:r>
        <w:rPr>
          <w:rFonts w:hint="eastAsia" w:ascii="Times New Roman" w:hAnsi="Times New Roman" w:eastAsia="方正仿宋_GBK" w:cs="方正仿宋_GBK"/>
          <w:sz w:val="32"/>
          <w:szCs w:val="32"/>
        </w:rPr>
        <w:t>目前，门诊慢特病跨省直接结算试点仅在全国部分统筹区开展，请各区县经办机构和医疗机构结合门诊慢特病跨省直接结算试点工作推进情况，设置宣传栏、向参保人员发放宣传资料等线下方式开展宣传。</w:t>
      </w:r>
    </w:p>
    <w:p>
      <w:pPr>
        <w:snapToGrid w:val="0"/>
        <w:spacing w:line="580" w:lineRule="exact"/>
        <w:rPr>
          <w:rFonts w:hint="eastAsia" w:ascii="Times New Roman" w:hAnsi="Times New Roman" w:eastAsia="方正仿宋_GBK" w:cs="方正仿宋_GBK"/>
          <w:sz w:val="32"/>
          <w:szCs w:val="32"/>
        </w:rPr>
      </w:pPr>
    </w:p>
    <w:p>
      <w:pPr>
        <w:snapToGrid w:val="0"/>
        <w:spacing w:line="580" w:lineRule="exact"/>
        <w:ind w:left="1278" w:leftChars="304" w:hanging="640" w:hanging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Times New Roman"/>
          <w:spacing w:val="-14"/>
          <w:sz w:val="32"/>
          <w:szCs w:val="32"/>
        </w:rPr>
        <w:t>重庆门诊慢特病跨省异地就医直接结算试点医疗机构名单</w:t>
      </w:r>
    </w:p>
    <w:p>
      <w:pPr>
        <w:snapToGrid w:val="0"/>
        <w:spacing w:line="58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299085</wp:posOffset>
            </wp:positionV>
            <wp:extent cx="2419350" cy="1714500"/>
            <wp:effectExtent l="0" t="0" r="0" b="0"/>
            <wp:wrapNone/>
            <wp:docPr id="1" name="图片 1"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intAction"/>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19350" cy="1714500"/>
                    </a:xfrm>
                    <a:prstGeom prst="rect">
                      <a:avLst/>
                    </a:prstGeom>
                  </pic:spPr>
                </pic:pic>
              </a:graphicData>
            </a:graphic>
          </wp:anchor>
        </w:drawing>
      </w:r>
    </w:p>
    <w:p>
      <w:pPr>
        <w:snapToGrid w:val="0"/>
        <w:spacing w:line="580" w:lineRule="exact"/>
        <w:rPr>
          <w:rFonts w:hint="eastAsia" w:ascii="Times New Roman" w:hAnsi="Times New Roman" w:eastAsia="方正仿宋_GBK" w:cs="方正仿宋_GBK"/>
          <w:sz w:val="32"/>
          <w:szCs w:val="32"/>
        </w:rPr>
      </w:pPr>
    </w:p>
    <w:p>
      <w:pPr>
        <w:snapToGrid w:val="0"/>
        <w:spacing w:line="58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重庆市医疗保障局办公室</w:t>
      </w:r>
    </w:p>
    <w:p>
      <w:pPr>
        <w:snapToGrid w:val="0"/>
        <w:spacing w:line="58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2021年11月25日</w:t>
      </w:r>
    </w:p>
    <w:p>
      <w:pPr>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snapToGrid w:val="0"/>
        <w:spacing w:line="580" w:lineRule="exact"/>
        <w:rPr>
          <w:rFonts w:hint="eastAsia" w:ascii="Times New Roman" w:hAnsi="Times New Roman" w:eastAsia="方正仿宋_GBK" w:cs="方正仿宋_GBK"/>
          <w:sz w:val="32"/>
          <w:szCs w:val="32"/>
        </w:rPr>
      </w:pPr>
    </w:p>
    <w:tbl>
      <w:tblPr>
        <w:tblStyle w:val="7"/>
        <w:tblW w:w="8478" w:type="dxa"/>
        <w:jc w:val="center"/>
        <w:tblLayout w:type="fixed"/>
        <w:tblCellMar>
          <w:top w:w="0" w:type="dxa"/>
          <w:left w:w="0" w:type="dxa"/>
          <w:bottom w:w="0" w:type="dxa"/>
          <w:right w:w="0" w:type="dxa"/>
        </w:tblCellMar>
      </w:tblPr>
      <w:tblGrid>
        <w:gridCol w:w="620"/>
        <w:gridCol w:w="1018"/>
        <w:gridCol w:w="1848"/>
        <w:gridCol w:w="3702"/>
        <w:gridCol w:w="1290"/>
      </w:tblGrid>
      <w:tr>
        <w:tblPrEx>
          <w:tblCellMar>
            <w:top w:w="0" w:type="dxa"/>
            <w:left w:w="0" w:type="dxa"/>
            <w:bottom w:w="0" w:type="dxa"/>
            <w:right w:w="0" w:type="dxa"/>
          </w:tblCellMar>
        </w:tblPrEx>
        <w:trPr>
          <w:trHeight w:val="944" w:hRule="atLeast"/>
          <w:jc w:val="center"/>
        </w:trPr>
        <w:tc>
          <w:tcPr>
            <w:tcW w:w="8478"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600" w:lineRule="exact"/>
              <w:jc w:val="left"/>
              <w:rPr>
                <w:rFonts w:hint="eastAsia" w:ascii="Times New Roman" w:hAnsi="方正黑体_GBK" w:eastAsia="方正黑体_GBK" w:cs="方正黑体_GBK"/>
                <w:color w:val="000000"/>
                <w:kern w:val="0"/>
                <w:sz w:val="32"/>
                <w:szCs w:val="32"/>
              </w:rPr>
            </w:pPr>
            <w:r>
              <w:rPr>
                <w:rFonts w:hint="eastAsia" w:ascii="Times New Roman" w:hAnsi="方正黑体_GBK" w:eastAsia="方正黑体_GBK" w:cs="方正黑体_GBK"/>
                <w:color w:val="000000"/>
                <w:kern w:val="0"/>
                <w:sz w:val="32"/>
                <w:szCs w:val="32"/>
              </w:rPr>
              <w:t>附件</w:t>
            </w:r>
          </w:p>
          <w:p>
            <w:pPr>
              <w:widowControl/>
              <w:spacing w:line="600" w:lineRule="exact"/>
              <w:jc w:val="left"/>
              <w:rPr>
                <w:rFonts w:eastAsia="方正小标宋_GBK" w:cs="方正小标宋_GBK"/>
                <w:color w:val="000000"/>
              </w:rPr>
            </w:pPr>
            <w:r>
              <w:rPr>
                <w:rFonts w:hint="eastAsia" w:ascii="Times New Roman" w:hAnsi="方正黑体_GBK" w:eastAsia="方正黑体_GBK" w:cs="方正黑体_GBK"/>
                <w:color w:val="000000"/>
                <w:kern w:val="0"/>
                <w:sz w:val="32"/>
                <w:szCs w:val="32"/>
              </w:rPr>
              <w:t>重庆门诊慢特病跨省异地就医直接结算试点医疗机构名单</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序号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区县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机构编码</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医疗机构名称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医院等级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市本级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陆军军医大学第一附属医院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陆军军医大学第二附属医院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陆军特色医学中心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重庆医科大学附属第一医院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重庆医科大学附属第二医院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重庆医科大学附属第一医院金山医院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重庆医科大学附属大学城医院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重庆医科大学附属永川医院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5000001000082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重庆医科大学附属第三医院（捷尔医院）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10</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重庆大学附属肿瘤医院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11</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12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5000001000019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kern w:val="0"/>
                <w:szCs w:val="21"/>
              </w:rPr>
            </w:pPr>
            <w:r>
              <w:rPr>
                <w:rFonts w:hint="eastAsia" w:hAnsi="方正仿宋_GBK" w:eastAsia="方正仿宋_GBK" w:cs="方正仿宋_GBK"/>
                <w:color w:val="000000"/>
                <w:kern w:val="0"/>
                <w:sz w:val="21"/>
                <w:szCs w:val="21"/>
              </w:rPr>
              <w:t>重庆医科大学附属儿童医院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13</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5000001000011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kern w:val="0"/>
                <w:szCs w:val="21"/>
              </w:rPr>
            </w:pPr>
            <w:r>
              <w:rPr>
                <w:rFonts w:hint="eastAsia" w:hAnsi="方正仿宋_GBK" w:eastAsia="方正仿宋_GBK" w:cs="方正仿宋_GBK"/>
                <w:color w:val="000000"/>
                <w:kern w:val="0"/>
                <w:sz w:val="21"/>
                <w:szCs w:val="21"/>
              </w:rPr>
              <w:t>重庆医科大学附属第一医院第一分院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14</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重庆市中医院（道门口院部）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15</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万州区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重庆大学附属三峡医院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16</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5000001007333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重庆市万州区第一人民医院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17</w:t>
            </w:r>
          </w:p>
        </w:tc>
        <w:tc>
          <w:tcPr>
            <w:tcW w:w="10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黔江区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重庆市黔江区中医院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涪陵区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5000001000085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重庆市涪陵中心医院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重庆市涪陵区中医院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渝中区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重庆市第四人民医院</w:t>
            </w:r>
            <w:r>
              <w:rPr>
                <w:rFonts w:hint="eastAsia" w:eastAsia="方正仿宋_GBK" w:cs="方正仿宋_GBK"/>
                <w:color w:val="000000"/>
                <w:kern w:val="0"/>
                <w:sz w:val="21"/>
                <w:szCs w:val="21"/>
              </w:rPr>
              <w:t>（</w:t>
            </w:r>
            <w:r>
              <w:rPr>
                <w:rFonts w:hint="eastAsia" w:hAnsi="方正仿宋_GBK" w:eastAsia="方正仿宋_GBK" w:cs="方正仿宋_GBK"/>
                <w:color w:val="000000"/>
                <w:kern w:val="0"/>
                <w:sz w:val="21"/>
                <w:szCs w:val="21"/>
              </w:rPr>
              <w:t>急救中心</w:t>
            </w:r>
            <w:r>
              <w:rPr>
                <w:rFonts w:hint="eastAsia" w:eastAsia="方正仿宋_GBK" w:cs="方正仿宋_GBK"/>
                <w:color w:val="000000"/>
                <w:kern w:val="0"/>
                <w:sz w:val="21"/>
                <w:szCs w:val="21"/>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重庆市人民医院（三院院区）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大渡口区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重庆市大渡口区人民医院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重钢总医院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江北区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重庆市红十字会医院（江北区人民医院）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沙坪坝区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重庆市沙坪坝区人民医院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41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5000001006061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重庆市沙坪坝区陈家桥医院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九龙坡区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重庆市九龙坡区人民医院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5000001007972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重庆建设医院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南岸区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重庆市第五人民医院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5000001006050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重庆市南岸区中西医结合医院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北碚区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重庆市第九人民医院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5000001008910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西南大学医院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渝北区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重庆市渝北区人民医院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渝北区中医院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巴南区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巴南区人民医院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重庆市第七人民医院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长寿区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重庆市长寿区人民医院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重庆市长寿区中医院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40</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江津区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重庆市江津区中心医院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41</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重庆市江津区第二人民医院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43</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合川区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重庆市合川区人民医院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44</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重庆市合川区中医院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45</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永川区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永川区中医院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46</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永川区人民医院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47</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南川区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48</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重庆市南川区中医医院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49</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綦江区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重庆市綦江区人民医院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5000001000131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重庆市綦江区中医院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51</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大足区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重庆市大足区人民医院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52</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5000001006348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重庆市双桥经济技术开发区人民医院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重庆市大足区中医院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璧山区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璧山区人民医院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重庆市璧山区中医院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铜梁区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重庆市铜梁区人民医院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重庆市铜梁区中医院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潼南区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重庆市潼南区人民医院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重庆市潼南区中医院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荣昌区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重庆市荣昌区人民医院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重庆市荣昌区中医院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开州区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重庆市开州区人民医院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重庆市开州区中医院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梁平区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重庆市梁平区人民医院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重庆市梁平区中医医院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武隆区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重庆市武隆区人民医院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重庆市武隆区中医院本部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城口县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城口县人民医院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城口县中医院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丰都县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丰都县人民医院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丰都县中医院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垫江县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重庆市垫江县人民医院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重庆市垫江县中医院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忠县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忠县人民医院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忠县中医医院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云阳县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云阳县人民医院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云阳县中医院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奉节县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奉节县人民医院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奉节县中医院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巫山县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巫山县中医院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巫山县人民医院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巫溪县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巫溪县人民医院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5000001009489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巫溪县中医医院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石柱县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石柱土家族自治县人民医院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石柱土家族自治县中医院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秀山县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秀山土家族苗族自治县人民医院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秀山土家族苗族自治县中医医院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酉阳县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酉阳土家族苗族自治县人民医院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5000001000132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酉阳土家族苗族自治县中医院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彭水县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彭水苗族土家族自治县人民医院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彭水苗族土家族自治县中医院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两江新区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重庆两江新区第一人民医院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重庆两江新区第二人民医院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万盛经</w:t>
            </w:r>
          </w:p>
          <w:p>
            <w:pPr>
              <w:widowControl/>
              <w:spacing w:line="4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开区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重庆南桐矿业有限责任公司总医院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重庆市万盛经济技术开发区人民医院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bl>
    <w:p>
      <w:pPr>
        <w:spacing w:line="600" w:lineRule="exact"/>
      </w:pPr>
    </w:p>
    <w:p>
      <w:pPr>
        <w:spacing w:line="600" w:lineRule="exact"/>
      </w:pPr>
    </w:p>
    <w:p>
      <w:pPr>
        <w:pStyle w:val="2"/>
        <w:snapToGrid w:val="0"/>
        <w:spacing w:line="144" w:lineRule="auto"/>
        <w:jc w:val="both"/>
        <w:rPr>
          <w:rFonts w:eastAsia="方正仿宋_GBK" w:cs="方正仿宋_GBK"/>
          <w:sz w:val="32"/>
        </w:rPr>
      </w:pPr>
      <w:bookmarkStart w:id="2" w:name="_GoBack"/>
      <w:bookmarkEnd w:id="2"/>
    </w:p>
    <w:p>
      <w:pPr>
        <w:pStyle w:val="2"/>
        <w:snapToGrid w:val="0"/>
        <w:spacing w:line="144" w:lineRule="auto"/>
        <w:rPr>
          <w:rFonts w:eastAsia="方正仿宋_GBK" w:cs="方正仿宋_GBK"/>
          <w:sz w:val="32"/>
        </w:rPr>
      </w:pPr>
    </w:p>
    <w:tbl>
      <w:tblPr>
        <w:tblStyle w:val="7"/>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1" w:name="印发时间"/>
            <w:r>
              <w:rPr>
                <w:rFonts w:hint="eastAsia" w:eastAsia="方正仿宋_GBK"/>
                <w:sz w:val="28"/>
                <w:szCs w:val="28"/>
              </w:rPr>
              <w:t>　  　   2021年11月30日</w:t>
            </w:r>
            <w:bookmarkEnd w:id="1"/>
            <w:r>
              <w:rPr>
                <w:rFonts w:hint="eastAsia" w:eastAsia="方正仿宋_GBK"/>
                <w:sz w:val="28"/>
                <w:szCs w:val="28"/>
              </w:rPr>
              <w:t>印发</w:t>
            </w:r>
          </w:p>
        </w:tc>
      </w:tr>
    </w:tbl>
    <w:p>
      <w:pPr>
        <w:snapToGrid w:val="0"/>
        <w:spacing w:line="15" w:lineRule="auto"/>
      </w:pPr>
    </w:p>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4ADA"/>
    <w:rsid w:val="10946D38"/>
    <w:rsid w:val="145B7887"/>
    <w:rsid w:val="21513527"/>
    <w:rsid w:val="225A7321"/>
    <w:rsid w:val="22F1501E"/>
    <w:rsid w:val="246F0A29"/>
    <w:rsid w:val="26E15FD2"/>
    <w:rsid w:val="30B9318C"/>
    <w:rsid w:val="30CF0895"/>
    <w:rsid w:val="34EE4F63"/>
    <w:rsid w:val="378B2021"/>
    <w:rsid w:val="52125D4A"/>
    <w:rsid w:val="53474ADA"/>
    <w:rsid w:val="54BB459D"/>
    <w:rsid w:val="5BF754D7"/>
    <w:rsid w:val="652902B7"/>
    <w:rsid w:val="65D4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rPr>
      <w:lang w:val="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2021-07-09T01:39:00Z</dcterms:created>
  <dc:creator>Administrator</dc:creator>
  <cp:lastModifiedBy>Admin</cp:lastModifiedBy>
  <cp:lastPrinted>2021-12-09T02:41:06Z</cp:lastPrinted>
  <dcterms:modified xsi:type="dcterms:W3CDTF">2021-12-09T02:42:23Z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8F31277ECA22490A8DE71040BF536C07</vt:lpwstr>
  </property>
</Properties>
</file>