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1A19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p>
    <w:p w14:paraId="73E5D5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石柱土家族自治县信访办公室</w:t>
      </w:r>
    </w:p>
    <w:p w14:paraId="4CC997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2025年</w:t>
      </w:r>
      <w:r>
        <w:rPr>
          <w:rFonts w:hint="default" w:ascii="Times New Roman" w:hAnsi="Times New Roman" w:eastAsia="方正小标宋_GBK" w:cs="Times New Roman"/>
          <w:sz w:val="44"/>
          <w:szCs w:val="44"/>
        </w:rPr>
        <w:t>部门预算情况说明</w:t>
      </w:r>
    </w:p>
    <w:p w14:paraId="088277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138A9A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6A2D83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4ABAF9DB">
      <w:pPr>
        <w:keepNext w:val="0"/>
        <w:keepLines w:val="0"/>
        <w:pageBreakBefore w:val="0"/>
        <w:widowControl w:val="0"/>
        <w:kinsoku/>
        <w:wordWrap/>
        <w:overflowPunct/>
        <w:topLinePunct w:val="0"/>
        <w:autoSpaceDE w:val="0"/>
        <w:autoSpaceDN/>
        <w:bidi w:val="0"/>
        <w:adjustRightInd/>
        <w:spacing w:line="594" w:lineRule="exact"/>
        <w:ind w:lef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lang w:val="en-US"/>
        </w:rPr>
        <w:t>1.</w:t>
      </w:r>
      <w:r>
        <w:rPr>
          <w:rFonts w:hint="default" w:ascii="Times New Roman" w:hAnsi="Times New Roman" w:eastAsia="方正仿宋_GBK" w:cs="Times New Roman"/>
          <w:sz w:val="33"/>
          <w:szCs w:val="33"/>
          <w:lang w:eastAsia="zh-CN"/>
        </w:rPr>
        <w:t>承办上级交办的信访事项，督促检查重要信访事项的处理和落实。</w:t>
      </w:r>
    </w:p>
    <w:p w14:paraId="2B6C958F">
      <w:pPr>
        <w:keepNext w:val="0"/>
        <w:keepLines w:val="0"/>
        <w:pageBreakBefore w:val="0"/>
        <w:widowControl w:val="0"/>
        <w:kinsoku/>
        <w:wordWrap/>
        <w:overflowPunct/>
        <w:topLinePunct w:val="0"/>
        <w:autoSpaceDE w:val="0"/>
        <w:autoSpaceDN/>
        <w:bidi w:val="0"/>
        <w:adjustRightInd/>
        <w:spacing w:line="594" w:lineRule="exact"/>
        <w:ind w:lef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lang w:val="en-US"/>
        </w:rPr>
        <w:t>2.</w:t>
      </w:r>
      <w:r>
        <w:rPr>
          <w:rFonts w:hint="default" w:ascii="Times New Roman" w:hAnsi="Times New Roman" w:eastAsia="方正仿宋_GBK" w:cs="Times New Roman"/>
          <w:sz w:val="33"/>
          <w:szCs w:val="33"/>
          <w:lang w:eastAsia="zh-CN"/>
        </w:rPr>
        <w:t>负责受理办理群众来信，接待群众来访。</w:t>
      </w:r>
    </w:p>
    <w:p w14:paraId="5F373436">
      <w:pPr>
        <w:keepNext w:val="0"/>
        <w:keepLines w:val="0"/>
        <w:pageBreakBefore w:val="0"/>
        <w:widowControl w:val="0"/>
        <w:kinsoku/>
        <w:wordWrap/>
        <w:overflowPunct/>
        <w:topLinePunct w:val="0"/>
        <w:autoSpaceDE w:val="0"/>
        <w:autoSpaceDN/>
        <w:bidi w:val="0"/>
        <w:adjustRightInd/>
        <w:spacing w:line="594" w:lineRule="exact"/>
        <w:ind w:lef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lang w:val="en-US"/>
        </w:rPr>
        <w:t>3.</w:t>
      </w:r>
      <w:r>
        <w:rPr>
          <w:rFonts w:hint="default" w:ascii="Times New Roman" w:hAnsi="Times New Roman" w:eastAsia="方正仿宋_GBK" w:cs="Times New Roman"/>
          <w:sz w:val="33"/>
          <w:szCs w:val="33"/>
          <w:lang w:eastAsia="zh-CN"/>
        </w:rPr>
        <w:t>开展社情民意调研、分析和通报。</w:t>
      </w:r>
    </w:p>
    <w:p w14:paraId="39CF89CC">
      <w:pPr>
        <w:keepNext w:val="0"/>
        <w:keepLines w:val="0"/>
        <w:pageBreakBefore w:val="0"/>
        <w:widowControl w:val="0"/>
        <w:kinsoku/>
        <w:wordWrap/>
        <w:overflowPunct/>
        <w:topLinePunct w:val="0"/>
        <w:autoSpaceDE w:val="0"/>
        <w:autoSpaceDN/>
        <w:bidi w:val="0"/>
        <w:adjustRightInd/>
        <w:spacing w:line="594" w:lineRule="exact"/>
        <w:ind w:left="0" w:firstLine="660" w:firstLineChars="200"/>
        <w:jc w:val="both"/>
        <w:textAlignment w:val="auto"/>
        <w:rPr>
          <w:rFonts w:hint="default" w:ascii="Times New Roman" w:hAnsi="Times New Roman" w:eastAsia="方正仿宋_GBK" w:cs="Times New Roman"/>
          <w:sz w:val="33"/>
          <w:szCs w:val="33"/>
          <w:lang w:val="en-US"/>
        </w:rPr>
      </w:pP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val="en-US"/>
        </w:rPr>
        <w:t>.</w:t>
      </w:r>
      <w:r>
        <w:rPr>
          <w:rFonts w:hint="default" w:ascii="Times New Roman" w:hAnsi="Times New Roman" w:eastAsia="方正仿宋_GBK" w:cs="Times New Roman"/>
          <w:sz w:val="33"/>
          <w:szCs w:val="33"/>
          <w:lang w:eastAsia="zh-CN"/>
        </w:rPr>
        <w:t>协调处理跨区域、跨部门的重要信访问题。</w:t>
      </w:r>
    </w:p>
    <w:p w14:paraId="29FB4407">
      <w:pPr>
        <w:keepNext w:val="0"/>
        <w:keepLines w:val="0"/>
        <w:pageBreakBefore w:val="0"/>
        <w:widowControl w:val="0"/>
        <w:kinsoku/>
        <w:wordWrap/>
        <w:overflowPunct/>
        <w:topLinePunct w:val="0"/>
        <w:autoSpaceDE w:val="0"/>
        <w:autoSpaceDN/>
        <w:bidi w:val="0"/>
        <w:adjustRightInd/>
        <w:spacing w:line="594" w:lineRule="exact"/>
        <w:ind w:left="0" w:firstLine="660" w:firstLineChars="200"/>
        <w:jc w:val="both"/>
        <w:textAlignment w:val="auto"/>
        <w:rPr>
          <w:rFonts w:hint="default" w:ascii="Times New Roman" w:hAnsi="Times New Roman" w:eastAsia="方正仿宋_GBK" w:cs="Times New Roman"/>
          <w:sz w:val="33"/>
          <w:szCs w:val="33"/>
          <w:lang w:val="en-US"/>
        </w:rPr>
      </w:pP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en-US"/>
        </w:rPr>
        <w:t>.</w:t>
      </w:r>
      <w:r>
        <w:rPr>
          <w:rFonts w:hint="default" w:ascii="Times New Roman" w:hAnsi="Times New Roman" w:eastAsia="方正仿宋_GBK" w:cs="Times New Roman"/>
          <w:sz w:val="33"/>
          <w:szCs w:val="33"/>
          <w:lang w:eastAsia="zh-CN"/>
        </w:rPr>
        <w:t>完成县委、县政府交办的其他任务。</w:t>
      </w:r>
    </w:p>
    <w:p w14:paraId="2409F4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14:paraId="45F48B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本部门由石柱土家族自治县信访办公室机关本级和1个财政全额拨款事业单位（石柱土家族自治县信访投诉受理中心）组成。</w:t>
      </w:r>
    </w:p>
    <w:p w14:paraId="7AA6D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14:paraId="32315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483.53</w:t>
      </w:r>
      <w:r>
        <w:rPr>
          <w:rFonts w:hint="default" w:ascii="Times New Roman" w:hAnsi="Times New Roman" w:eastAsia="方正仿宋_GBK" w:cs="Times New Roman"/>
          <w:sz w:val="32"/>
          <w:szCs w:val="32"/>
        </w:rPr>
        <w:t>万元，其中：一般公共预算拨款483.53万元，政府性基金预算拨款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万元，上级补助收入资金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万元，附属单位上缴收入资金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eastAsia" w:ascii="Times New Roman" w:hAnsi="Times New Roman" w:eastAsia="方正仿宋_GBK" w:cs="Times New Roman"/>
          <w:sz w:val="32"/>
          <w:szCs w:val="32"/>
          <w:lang w:eastAsia="zh-CN"/>
        </w:rPr>
        <w:t>比2024年减少</w:t>
      </w:r>
      <w:r>
        <w:rPr>
          <w:rFonts w:hint="eastAsia" w:ascii="Times New Roman" w:hAnsi="Times New Roman" w:eastAsia="方正仿宋_GBK" w:cs="Times New Roman"/>
          <w:sz w:val="32"/>
          <w:szCs w:val="32"/>
          <w:lang w:val="en-US" w:eastAsia="zh-CN"/>
        </w:rPr>
        <w:t>5.29</w:t>
      </w:r>
      <w:r>
        <w:rPr>
          <w:rFonts w:hint="default" w:ascii="Times New Roman" w:hAnsi="Times New Roman" w:eastAsia="方正仿宋_GBK" w:cs="Times New Roman"/>
          <w:sz w:val="32"/>
          <w:szCs w:val="32"/>
        </w:rPr>
        <w:t>万元，主要是一般公共预算拨款减少5.29万元。</w:t>
      </w:r>
    </w:p>
    <w:p w14:paraId="6A3B9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年初预算数483.53万元，其中：一般公共服务支出</w:t>
      </w:r>
      <w:r>
        <w:rPr>
          <w:rFonts w:hint="eastAsia" w:ascii="Times New Roman" w:hAnsi="Times New Roman" w:eastAsia="方正仿宋_GBK" w:cs="Times New Roman"/>
          <w:sz w:val="32"/>
          <w:szCs w:val="32"/>
          <w:lang w:val="en-US" w:eastAsia="zh-CN"/>
        </w:rPr>
        <w:t>371.05</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61.85</w:t>
      </w:r>
      <w:r>
        <w:rPr>
          <w:rFonts w:hint="default" w:ascii="Times New Roman" w:hAnsi="Times New Roman" w:eastAsia="方正仿宋_GBK" w:cs="Times New Roman"/>
          <w:sz w:val="32"/>
          <w:szCs w:val="32"/>
        </w:rPr>
        <w:t>万元，卫生健康支出24.</w:t>
      </w: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25.93</w:t>
      </w:r>
      <w:r>
        <w:rPr>
          <w:rFonts w:hint="default" w:ascii="Times New Roman" w:hAnsi="Times New Roman" w:eastAsia="方正仿宋_GBK" w:cs="Times New Roman"/>
          <w:sz w:val="32"/>
          <w:szCs w:val="32"/>
        </w:rPr>
        <w:t>万元；支出</w:t>
      </w:r>
      <w:r>
        <w:rPr>
          <w:rFonts w:hint="eastAsia" w:ascii="Times New Roman" w:hAnsi="Times New Roman" w:eastAsia="方正仿宋_GBK" w:cs="Times New Roman"/>
          <w:sz w:val="32"/>
          <w:szCs w:val="32"/>
          <w:lang w:eastAsia="zh-CN"/>
        </w:rPr>
        <w:t>比2024年减少</w:t>
      </w:r>
      <w:r>
        <w:rPr>
          <w:rFonts w:hint="eastAsia" w:ascii="Times New Roman" w:hAnsi="Times New Roman" w:eastAsia="方正仿宋_GBK" w:cs="Times New Roman"/>
          <w:sz w:val="32"/>
          <w:szCs w:val="32"/>
          <w:lang w:val="en-US" w:eastAsia="zh-CN"/>
        </w:rPr>
        <w:t>5.29</w:t>
      </w:r>
      <w:r>
        <w:rPr>
          <w:rFonts w:hint="default" w:ascii="Times New Roman" w:hAnsi="Times New Roman" w:eastAsia="方正仿宋_GBK" w:cs="Times New Roman"/>
          <w:sz w:val="32"/>
          <w:szCs w:val="32"/>
        </w:rPr>
        <w:t>万元，主要是基本支出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，项目支出增加</w:t>
      </w:r>
      <w:r>
        <w:rPr>
          <w:rFonts w:hint="eastAsia" w:ascii="Times New Roman" w:hAnsi="Times New Roman" w:eastAsia="方正仿宋_GBK" w:cs="Times New Roman"/>
          <w:sz w:val="32"/>
          <w:szCs w:val="32"/>
          <w:lang w:val="en-US" w:eastAsia="zh-CN"/>
        </w:rPr>
        <w:t>1.56万元</w:t>
      </w:r>
      <w:r>
        <w:rPr>
          <w:rFonts w:hint="default" w:ascii="Times New Roman" w:hAnsi="Times New Roman" w:eastAsia="方正仿宋_GBK" w:cs="Times New Roman"/>
          <w:sz w:val="32"/>
          <w:szCs w:val="32"/>
        </w:rPr>
        <w:t>。</w:t>
      </w:r>
    </w:p>
    <w:p w14:paraId="20A3C5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14:paraId="3B7BAB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一般公共预算财政拨款收入</w:t>
      </w:r>
      <w:r>
        <w:rPr>
          <w:rFonts w:hint="eastAsia" w:ascii="Times New Roman" w:hAnsi="Times New Roman" w:eastAsia="方正仿宋_GBK" w:cs="Times New Roman"/>
          <w:sz w:val="32"/>
          <w:szCs w:val="32"/>
          <w:lang w:eastAsia="zh-CN"/>
        </w:rPr>
        <w:t>483.53万元</w:t>
      </w:r>
      <w:r>
        <w:rPr>
          <w:rFonts w:hint="default" w:ascii="Times New Roman" w:hAnsi="Times New Roman" w:eastAsia="方正仿宋_GBK" w:cs="Times New Roman"/>
          <w:sz w:val="32"/>
          <w:szCs w:val="32"/>
        </w:rPr>
        <w:t>，一般公共预算财政拨款支出</w:t>
      </w:r>
      <w:r>
        <w:rPr>
          <w:rFonts w:hint="eastAsia" w:ascii="Times New Roman" w:hAnsi="Times New Roman" w:eastAsia="方正仿宋_GBK" w:cs="Times New Roman"/>
          <w:sz w:val="32"/>
          <w:szCs w:val="32"/>
          <w:lang w:eastAsia="zh-CN"/>
        </w:rPr>
        <w:t>483.53万元</w:t>
      </w:r>
      <w:r>
        <w:rPr>
          <w:rFonts w:hint="default" w:ascii="Times New Roman" w:hAnsi="Times New Roman" w:eastAsia="方正仿宋_GBK" w:cs="Times New Roman"/>
          <w:sz w:val="32"/>
          <w:szCs w:val="32"/>
        </w:rPr>
        <w:t>，比</w:t>
      </w:r>
      <w:r>
        <w:rPr>
          <w:rFonts w:hint="eastAsia" w:ascii="Times New Roman" w:hAnsi="Times New Roman" w:eastAsia="方正仿宋_GBK" w:cs="Times New Roman"/>
          <w:sz w:val="32"/>
          <w:szCs w:val="32"/>
          <w:lang w:eastAsia="zh-CN"/>
        </w:rPr>
        <w:t>2024年减少5.29万元</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462.68</w:t>
      </w:r>
      <w:r>
        <w:rPr>
          <w:rFonts w:hint="default" w:ascii="Times New Roman" w:hAnsi="Times New Roman" w:eastAsia="方正仿宋_GBK" w:cs="Times New Roman"/>
          <w:sz w:val="32"/>
          <w:szCs w:val="32"/>
        </w:rPr>
        <w:t>万元，主要用于保障</w:t>
      </w:r>
      <w:r>
        <w:rPr>
          <w:rFonts w:hint="eastAsia"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在职人员工资福利及社会保险缴费、离休人员离休费、退休人员补助等，保障部门正常运转的各项商品服务支出，比</w:t>
      </w:r>
      <w:r>
        <w:rPr>
          <w:rFonts w:hint="eastAsia" w:ascii="Times New Roman" w:hAnsi="Times New Roman" w:eastAsia="方正仿宋_GBK" w:cs="Times New Roman"/>
          <w:sz w:val="32"/>
          <w:szCs w:val="32"/>
          <w:lang w:eastAsia="zh-CN"/>
        </w:rPr>
        <w:t>2024年减少6.85万元</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去年我单位有一名职工退休导致费用减少</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20.85</w:t>
      </w:r>
      <w:r>
        <w:rPr>
          <w:rFonts w:hint="default" w:ascii="Times New Roman" w:hAnsi="Times New Roman" w:eastAsia="方正仿宋_GBK" w:cs="Times New Roman"/>
          <w:sz w:val="32"/>
          <w:szCs w:val="32"/>
        </w:rPr>
        <w:t>万元，主要用于</w:t>
      </w:r>
      <w:r>
        <w:rPr>
          <w:rFonts w:hint="eastAsia" w:ascii="Times New Roman" w:hAnsi="Times New Roman" w:eastAsia="方正仿宋_GBK" w:cs="Times New Roman"/>
          <w:sz w:val="32"/>
          <w:szCs w:val="32"/>
          <w:lang w:eastAsia="zh-CN"/>
        </w:rPr>
        <w:t>全县信访稳定</w:t>
      </w:r>
      <w:r>
        <w:rPr>
          <w:rFonts w:hint="default" w:ascii="Times New Roman" w:hAnsi="Times New Roman" w:eastAsia="方正仿宋_GBK" w:cs="Times New Roman"/>
          <w:sz w:val="32"/>
          <w:szCs w:val="32"/>
        </w:rPr>
        <w:t>重点工作，比2024年增加1.56万元。</w:t>
      </w:r>
    </w:p>
    <w:p w14:paraId="26FAC5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lang w:eastAsia="zh-CN"/>
        </w:rPr>
        <w:t>2025年</w:t>
      </w:r>
      <w:r>
        <w:rPr>
          <w:rFonts w:hint="default" w:ascii="Times New Roman" w:hAnsi="Times New Roman" w:eastAsia="方正仿宋_GBK" w:cs="Times New Roman"/>
          <w:sz w:val="32"/>
        </w:rPr>
        <w:t>无使用政府性基金预算拨款安排的支出</w:t>
      </w:r>
      <w:r>
        <w:rPr>
          <w:rFonts w:hint="default" w:ascii="Times New Roman" w:hAnsi="Times New Roman" w:eastAsia="方正仿宋_GBK" w:cs="Times New Roman"/>
          <w:sz w:val="32"/>
          <w:szCs w:val="32"/>
        </w:rPr>
        <w:t>，与上年保持一致</w:t>
      </w:r>
      <w:r>
        <w:rPr>
          <w:rFonts w:hint="eastAsia" w:ascii="Times New Roman" w:hAnsi="Times New Roman" w:eastAsia="方正仿宋_GBK" w:cs="Times New Roman"/>
          <w:sz w:val="32"/>
          <w:lang w:eastAsia="zh-CN"/>
        </w:rPr>
        <w:t>。</w:t>
      </w:r>
    </w:p>
    <w:p w14:paraId="4F9DB3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1BB424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“三公”经费预算</w:t>
      </w:r>
      <w:r>
        <w:rPr>
          <w:rFonts w:hint="eastAsia" w:ascii="Times New Roman" w:hAnsi="Times New Roman" w:eastAsia="方正仿宋_GBK" w:cs="Times New Roman"/>
          <w:sz w:val="32"/>
          <w:szCs w:val="32"/>
          <w:lang w:val="en-US" w:eastAsia="zh-CN"/>
        </w:rPr>
        <w:t>1.99</w:t>
      </w:r>
      <w:r>
        <w:rPr>
          <w:rFonts w:hint="default" w:ascii="Times New Roman" w:hAnsi="Times New Roman" w:eastAsia="方正仿宋_GBK" w:cs="Times New Roman"/>
          <w:sz w:val="32"/>
          <w:szCs w:val="32"/>
        </w:rPr>
        <w:t>万元，比2024年</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1.54万元</w:t>
      </w:r>
      <w:r>
        <w:rPr>
          <w:rFonts w:hint="default" w:ascii="Times New Roman" w:hAnsi="Times New Roman" w:eastAsia="方正仿宋_GBK" w:cs="Times New Roman"/>
          <w:sz w:val="32"/>
          <w:szCs w:val="32"/>
        </w:rPr>
        <w:t>。其中：公务接待费</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0.05万元，</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严格落实“过紧日子”政策，缩减开支</w:t>
      </w:r>
      <w:r>
        <w:rPr>
          <w:rFonts w:hint="default" w:ascii="Times New Roman" w:hAnsi="Times New Roman" w:eastAsia="方正仿宋_GBK" w:cs="Times New Roman"/>
          <w:sz w:val="32"/>
          <w:szCs w:val="32"/>
        </w:rPr>
        <w:t>；公务用车运行费</w:t>
      </w:r>
      <w:r>
        <w:rPr>
          <w:rFonts w:hint="eastAsia" w:ascii="Times New Roman" w:hAnsi="Times New Roman" w:eastAsia="方正仿宋_GBK" w:cs="Times New Roman"/>
          <w:sz w:val="32"/>
          <w:szCs w:val="32"/>
          <w:lang w:val="en-US" w:eastAsia="zh-CN"/>
        </w:rPr>
        <w:t>0.99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1.49万元，</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严格落实“过紧日子”政策，缩减开支</w:t>
      </w:r>
      <w:r>
        <w:rPr>
          <w:rFonts w:hint="default" w:ascii="Times New Roman" w:hAnsi="Times New Roman" w:eastAsia="方正仿宋_GBK" w:cs="Times New Roman"/>
          <w:sz w:val="32"/>
          <w:szCs w:val="32"/>
        </w:rPr>
        <w:t>；因公出国（境）费用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均</w:t>
      </w:r>
      <w:r>
        <w:rPr>
          <w:rFonts w:hint="default" w:ascii="Times New Roman" w:hAnsi="Times New Roman" w:eastAsia="方正仿宋_GBK" w:cs="Times New Roman"/>
          <w:sz w:val="32"/>
          <w:szCs w:val="32"/>
        </w:rPr>
        <w:t>与上年</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lang w:eastAsia="zh-CN"/>
        </w:rPr>
        <w:t>。</w:t>
      </w:r>
    </w:p>
    <w:p w14:paraId="6E4F7B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52844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机关运行经费。</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一般公共预算财政拨款运行经费</w:t>
      </w:r>
      <w:r>
        <w:rPr>
          <w:rFonts w:hint="eastAsia" w:ascii="Times New Roman" w:hAnsi="Times New Roman" w:eastAsia="方正仿宋_GBK" w:cs="Times New Roman"/>
          <w:sz w:val="32"/>
          <w:szCs w:val="32"/>
          <w:lang w:val="en-US" w:eastAsia="zh-CN"/>
        </w:rPr>
        <w:t>74.17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比2024年减少</w:t>
      </w:r>
      <w:r>
        <w:rPr>
          <w:rFonts w:hint="eastAsia" w:ascii="Times New Roman" w:hAnsi="Times New Roman" w:eastAsia="方正仿宋_GBK" w:cs="Times New Roman"/>
          <w:sz w:val="32"/>
          <w:szCs w:val="32"/>
          <w:lang w:val="en-US" w:eastAsia="zh-CN"/>
        </w:rPr>
        <w:t>4.84</w:t>
      </w:r>
      <w:r>
        <w:rPr>
          <w:rFonts w:hint="default" w:ascii="Times New Roman" w:hAnsi="Times New Roman" w:eastAsia="方正仿宋_GBK" w:cs="Times New Roman"/>
          <w:sz w:val="32"/>
          <w:szCs w:val="32"/>
        </w:rPr>
        <w:t>万元，主要原因</w:t>
      </w:r>
      <w:r>
        <w:rPr>
          <w:rFonts w:hint="eastAsia" w:ascii="Times New Roman" w:hAnsi="Times New Roman" w:eastAsia="方正仿宋_GBK" w:cs="Times New Roman"/>
          <w:sz w:val="32"/>
          <w:szCs w:val="32"/>
          <w:lang w:eastAsia="zh-CN"/>
        </w:rPr>
        <w:t>是严格落实“过紧日子”政策，缩减开支</w:t>
      </w:r>
      <w:r>
        <w:rPr>
          <w:rFonts w:hint="default" w:ascii="Times New Roman" w:hAnsi="Times New Roman" w:eastAsia="方正仿宋_GBK" w:cs="Times New Roman"/>
          <w:sz w:val="32"/>
          <w:szCs w:val="32"/>
        </w:rPr>
        <w:t>；主要用于办公费、印刷费、邮电费、水电</w:t>
      </w:r>
      <w:r>
        <w:rPr>
          <w:rFonts w:hint="default" w:ascii="Times New Roman" w:hAnsi="Times New Roman" w:eastAsia="方正仿宋_GBK" w:cs="Times New Roman"/>
          <w:sz w:val="32"/>
        </w:rPr>
        <w:t>费、差旅费、会议费、培训费</w:t>
      </w:r>
      <w:r>
        <w:rPr>
          <w:rFonts w:hint="eastAsia" w:ascii="Times New Roman" w:hAnsi="Times New Roman" w:eastAsia="方正仿宋_GBK" w:cs="Times New Roman"/>
          <w:sz w:val="32"/>
          <w:lang w:eastAsia="zh-CN"/>
        </w:rPr>
        <w:t>、劳务费、其他交通费用</w:t>
      </w:r>
      <w:bookmarkStart w:id="0" w:name="_GoBack"/>
      <w:bookmarkEnd w:id="0"/>
      <w:r>
        <w:rPr>
          <w:rFonts w:hint="default" w:ascii="Times New Roman" w:hAnsi="Times New Roman" w:eastAsia="方正仿宋_GBK" w:cs="Times New Roman"/>
          <w:sz w:val="32"/>
        </w:rPr>
        <w:t>等。</w:t>
      </w:r>
    </w:p>
    <w:p w14:paraId="275D82DC">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政府采购情况。所属各预算单位政府采购预算总额</w:t>
      </w:r>
      <w:r>
        <w:rPr>
          <w:rFonts w:hint="eastAsia" w:ascii="Times New Roman" w:hAnsi="Times New Roman" w:eastAsia="方正仿宋_GBK" w:cs="仿宋_GB2312"/>
          <w:sz w:val="32"/>
        </w:rPr>
        <w:t xml:space="preserve"> </w:t>
      </w:r>
      <w:r>
        <w:rPr>
          <w:rFonts w:hint="eastAsia" w:ascii="Times New Roman" w:hAnsi="Times New Roman" w:eastAsia="方正仿宋_GBK" w:cs="仿宋_GB2312"/>
          <w:sz w:val="32"/>
          <w:lang w:val="en-US" w:eastAsia="zh-CN"/>
        </w:rPr>
        <w:t>6.05</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6.05</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6.05</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6.05</w:t>
      </w:r>
      <w:r>
        <w:rPr>
          <w:rFonts w:hint="eastAsia" w:ascii="Times New Roman" w:hAnsi="Times New Roman" w:eastAsia="方正仿宋_GBK" w:cs="仿宋_GB2312"/>
          <w:sz w:val="32"/>
        </w:rPr>
        <w:t>万元。</w:t>
      </w:r>
    </w:p>
    <w:p w14:paraId="12F7AD96">
      <w:pPr>
        <w:keepNext w:val="0"/>
        <w:keepLines w:val="0"/>
        <w:pageBreakBefore w:val="0"/>
        <w:widowControl w:val="0"/>
        <w:kinsoku/>
        <w:wordWrap/>
        <w:overflowPunct/>
        <w:topLinePunct w:val="0"/>
        <w:autoSpaceDE/>
        <w:autoSpaceDN/>
        <w:bidi w:val="0"/>
        <w:adjustRightInd/>
        <w:snapToGrid/>
        <w:ind w:left="105" w:leftChars="5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绩效目标设置情况。</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项目支出均实行了绩效目标管理，</w:t>
      </w:r>
      <w:r>
        <w:rPr>
          <w:rFonts w:hint="default" w:ascii="Times New Roman" w:hAnsi="Times New Roman" w:eastAsia="方正仿宋_GBK" w:cs="Times New Roman"/>
          <w:sz w:val="32"/>
          <w:szCs w:val="32"/>
          <w:highlight w:val="none"/>
          <w:shd w:val="clear"/>
        </w:rPr>
        <w:t>涉及一般公共预算财政拨款</w:t>
      </w:r>
      <w:r>
        <w:rPr>
          <w:rFonts w:hint="eastAsia" w:ascii="Times New Roman" w:hAnsi="Times New Roman" w:eastAsia="方正仿宋_GBK" w:cs="Times New Roman"/>
          <w:sz w:val="32"/>
          <w:szCs w:val="32"/>
          <w:highlight w:val="none"/>
          <w:shd w:val="clear"/>
          <w:lang w:val="en-US" w:eastAsia="zh-CN"/>
        </w:rPr>
        <w:t>20.85</w:t>
      </w:r>
      <w:r>
        <w:rPr>
          <w:rFonts w:hint="default" w:ascii="Times New Roman" w:hAnsi="Times New Roman" w:eastAsia="方正仿宋_GBK" w:cs="Times New Roman"/>
          <w:sz w:val="32"/>
          <w:szCs w:val="32"/>
          <w:highlight w:val="none"/>
          <w:shd w:val="clear"/>
        </w:rPr>
        <w:t>万元</w:t>
      </w:r>
      <w:r>
        <w:rPr>
          <w:rFonts w:hint="default" w:ascii="Times New Roman" w:hAnsi="Times New Roman" w:eastAsia="方正仿宋_GBK" w:cs="Times New Roman"/>
          <w:sz w:val="32"/>
          <w:szCs w:val="32"/>
        </w:rPr>
        <w:t>。</w:t>
      </w:r>
    </w:p>
    <w:p w14:paraId="42735D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国有资产占有使用情况。截止</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12月，所属各预算单位共有车辆</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w:t>
      </w:r>
      <w:r>
        <w:rPr>
          <w:rFonts w:hint="eastAsia" w:ascii="Times New Roman" w:hAnsi="Times New Roman" w:eastAsia="方正仿宋_GBK" w:cs="仿宋_GB2312"/>
          <w:color w:val="000000"/>
          <w:sz w:val="32"/>
        </w:rPr>
        <w:t>其中一般公务用车</w:t>
      </w:r>
      <w:r>
        <w:rPr>
          <w:rFonts w:hint="eastAsia" w:ascii="Times New Roman" w:hAnsi="Times New Roman" w:eastAsia="方正仿宋_GBK" w:cs="仿宋_GB2312"/>
          <w:color w:val="000000"/>
          <w:sz w:val="32"/>
          <w:lang w:val="en-US" w:eastAsia="zh-CN"/>
        </w:rPr>
        <w:t>1</w:t>
      </w:r>
      <w:r>
        <w:rPr>
          <w:rFonts w:hint="eastAsia" w:ascii="Times New Roman" w:hAnsi="Times New Roman" w:eastAsia="方正仿宋_GBK" w:cs="仿宋_GB2312"/>
          <w:color w:val="000000"/>
          <w:sz w:val="32"/>
        </w:rPr>
        <w:t xml:space="preserve"> 辆。</w:t>
      </w:r>
      <w:r>
        <w:rPr>
          <w:rFonts w:hint="eastAsia" w:ascii="Times New Roman" w:hAnsi="Times New Roman" w:eastAsia="方正仿宋_GBK" w:cs="仿宋_GB2312"/>
          <w:color w:val="000000"/>
          <w:sz w:val="32"/>
          <w:lang w:eastAsia="zh-CN"/>
        </w:rPr>
        <w:t>2025年</w:t>
      </w:r>
      <w:r>
        <w:rPr>
          <w:rFonts w:hint="eastAsia" w:ascii="Times New Roman" w:hAnsi="Times New Roman" w:eastAsia="方正仿宋_GBK" w:cs="仿宋_GB2312"/>
          <w:color w:val="000000"/>
          <w:sz w:val="32"/>
        </w:rPr>
        <w:t xml:space="preserve">一般公共预算安排购置车辆 </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14:paraId="12D97ADE">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六、专业性名词解释</w:t>
      </w:r>
    </w:p>
    <w:p w14:paraId="58C04143">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政府性基金预算财政拨款和</w:t>
      </w:r>
      <w:r>
        <w:rPr>
          <w:rFonts w:hint="default" w:ascii="Times New Roman" w:hAnsi="Times New Roman" w:eastAsia="方正仿宋_GBK" w:cs="Times New Roman"/>
          <w:sz w:val="32"/>
          <w:szCs w:val="32"/>
        </w:rPr>
        <w:t>国有资本经营预算</w:t>
      </w:r>
      <w:r>
        <w:rPr>
          <w:rFonts w:hint="default" w:ascii="Times New Roman" w:hAnsi="Times New Roman" w:eastAsia="方正仿宋_GBK" w:cs="Times New Roman"/>
          <w:sz w:val="32"/>
        </w:rPr>
        <w:t>财政拨款。</w:t>
      </w:r>
    </w:p>
    <w:p w14:paraId="3A3495F0">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：指单位取得的除“财政拨款收入”、“事业收入”、“经营收入”等以外的收入。</w:t>
      </w:r>
    </w:p>
    <w:p w14:paraId="553641C0">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14:paraId="71282C4F">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14:paraId="4FF5F9DC">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64B8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103880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 xml:space="preserve">马 婧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81503181</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YTZjNDk5OTc5YTMzNmQ4NzcxYjQ3MTU0NWFiYjE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16B5FE0"/>
    <w:rsid w:val="01DF79C5"/>
    <w:rsid w:val="01EF731B"/>
    <w:rsid w:val="064D65E4"/>
    <w:rsid w:val="09430455"/>
    <w:rsid w:val="0B6571D3"/>
    <w:rsid w:val="0C252C5B"/>
    <w:rsid w:val="0D7A365A"/>
    <w:rsid w:val="126B0E01"/>
    <w:rsid w:val="133B1901"/>
    <w:rsid w:val="15393888"/>
    <w:rsid w:val="19DB55F5"/>
    <w:rsid w:val="1AD0039B"/>
    <w:rsid w:val="1DD801A3"/>
    <w:rsid w:val="1EAF42D1"/>
    <w:rsid w:val="1FCB57DF"/>
    <w:rsid w:val="212C5BFF"/>
    <w:rsid w:val="21673F88"/>
    <w:rsid w:val="25150476"/>
    <w:rsid w:val="274B199A"/>
    <w:rsid w:val="2A1750A8"/>
    <w:rsid w:val="2BE20CDE"/>
    <w:rsid w:val="2DA82AB1"/>
    <w:rsid w:val="2E555585"/>
    <w:rsid w:val="31C53C32"/>
    <w:rsid w:val="32513FE1"/>
    <w:rsid w:val="33382F62"/>
    <w:rsid w:val="36853990"/>
    <w:rsid w:val="387110B4"/>
    <w:rsid w:val="3A720DEA"/>
    <w:rsid w:val="3B9B3520"/>
    <w:rsid w:val="3BC61E66"/>
    <w:rsid w:val="3D6E373F"/>
    <w:rsid w:val="3EC60FE9"/>
    <w:rsid w:val="405745EF"/>
    <w:rsid w:val="42F35F2F"/>
    <w:rsid w:val="489617E1"/>
    <w:rsid w:val="4D5D69EE"/>
    <w:rsid w:val="4F093C04"/>
    <w:rsid w:val="502350D7"/>
    <w:rsid w:val="53F71F19"/>
    <w:rsid w:val="54134598"/>
    <w:rsid w:val="55807CEC"/>
    <w:rsid w:val="577802D8"/>
    <w:rsid w:val="5797131D"/>
    <w:rsid w:val="579B5A93"/>
    <w:rsid w:val="57BE4AFC"/>
    <w:rsid w:val="5866141B"/>
    <w:rsid w:val="599A65B5"/>
    <w:rsid w:val="5A254D94"/>
    <w:rsid w:val="5B661732"/>
    <w:rsid w:val="5B8E1A9F"/>
    <w:rsid w:val="5CF21E57"/>
    <w:rsid w:val="60F5158E"/>
    <w:rsid w:val="62FA152C"/>
    <w:rsid w:val="647E0D15"/>
    <w:rsid w:val="65A30990"/>
    <w:rsid w:val="67920983"/>
    <w:rsid w:val="67FF0F45"/>
    <w:rsid w:val="6A867A96"/>
    <w:rsid w:val="6AA0021E"/>
    <w:rsid w:val="6E9817AB"/>
    <w:rsid w:val="6FE25C14"/>
    <w:rsid w:val="70425469"/>
    <w:rsid w:val="71597F39"/>
    <w:rsid w:val="73104006"/>
    <w:rsid w:val="732201B4"/>
    <w:rsid w:val="7420296E"/>
    <w:rsid w:val="76283D5C"/>
    <w:rsid w:val="76A71125"/>
    <w:rsid w:val="78DF6EF3"/>
    <w:rsid w:val="79CF62B4"/>
    <w:rsid w:val="7AA00365"/>
    <w:rsid w:val="7B7B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snapToGrid w:val="0"/>
      <w:jc w:val="left"/>
    </w:pPr>
    <w:rPr>
      <w:sz w:val="18"/>
      <w:szCs w:val="18"/>
    </w:rPr>
  </w:style>
  <w:style w:type="paragraph" w:styleId="4">
    <w:name w:val="header"/>
    <w:basedOn w:val="1"/>
    <w:link w:val="10"/>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autoRedefine/>
    <w:qFormat/>
    <w:uiPriority w:val="0"/>
    <w:rPr>
      <w:kern w:val="2"/>
      <w:sz w:val="18"/>
      <w:szCs w:val="18"/>
    </w:rPr>
  </w:style>
  <w:style w:type="paragraph" w:styleId="12">
    <w:name w:val="List Paragraph"/>
    <w:basedOn w:val="1"/>
    <w:autoRedefine/>
    <w:qFormat/>
    <w:uiPriority w:val="0"/>
    <w:pPr>
      <w:ind w:firstLine="420" w:firstLineChars="200"/>
    </w:pPr>
  </w:style>
  <w:style w:type="character" w:customStyle="1" w:styleId="13">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1575</Words>
  <Characters>1762</Characters>
  <Lines>8</Lines>
  <Paragraphs>2</Paragraphs>
  <TotalTime>4</TotalTime>
  <ScaleCrop>false</ScaleCrop>
  <LinksUpToDate>false</LinksUpToDate>
  <CharactersWithSpaces>1773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WPS</cp:lastModifiedBy>
  <cp:lastPrinted>2018-01-02T08:11:00Z</cp:lastPrinted>
  <dcterms:modified xsi:type="dcterms:W3CDTF">2025-02-27T03:34:57Z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BC46DE40CF9B4776AA076014997ADBE0</vt:lpwstr>
  </property>
  <property fmtid="{D5CDD505-2E9C-101B-9397-08002B2CF9AE}" pid="4" name="KSOTemplateDocerSaveRecord">
    <vt:lpwstr>eyJoZGlkIjoiYzYxMDc0ZDRlZGYyN2Q0ZDljM2I3OGRlM2VhMjdmYjQiLCJ1c2VySWQiOiI2NDYzNjE3MzAifQ==</vt:lpwstr>
  </property>
</Properties>
</file>