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spacing w:line="600" w:lineRule="exact"/>
        <w:ind w:left="880" w:hanging="880" w:hangingChars="200"/>
        <w:jc w:val="center"/>
        <w:rPr>
          <w:rFonts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石柱土家族自治县西沱镇中心卫生院</w:t>
      </w:r>
    </w:p>
    <w:p>
      <w:pPr>
        <w:widowControl w:val="0"/>
        <w:autoSpaceDE w:val="0"/>
        <w:spacing w:line="600" w:lineRule="exact"/>
        <w:ind w:left="880" w:hanging="880" w:hangingChars="200"/>
        <w:jc w:val="center"/>
        <w:rPr>
          <w:rFonts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2021年单位决算情况说明</w:t>
      </w:r>
    </w:p>
    <w:p>
      <w:pPr>
        <w:widowControl w:val="0"/>
        <w:autoSpaceDE w:val="0"/>
        <w:spacing w:line="600" w:lineRule="exact"/>
        <w:ind w:left="880" w:hanging="880" w:hangingChars="200"/>
        <w:jc w:val="center"/>
        <w:rPr>
          <w:rFonts w:ascii="方正小标宋_GBK" w:hAnsi="方正小标宋_GBK" w:eastAsia="方正小标宋_GBK" w:cs="方正小标宋_GBK"/>
          <w:kern w:val="2"/>
          <w:sz w:val="44"/>
          <w:szCs w:val="44"/>
        </w:rPr>
      </w:pPr>
    </w:p>
    <w:p>
      <w:pPr>
        <w:pStyle w:val="25"/>
        <w:widowControl w:val="0"/>
        <w:shd w:val="clear" w:color="auto" w:fill="FFFFFF"/>
        <w:autoSpaceDE w:val="0"/>
        <w:spacing w:before="0" w:beforeAutospacing="0" w:after="0" w:afterAutospacing="0" w:line="600" w:lineRule="exact"/>
        <w:ind w:firstLine="640" w:firstLineChars="200"/>
        <w:jc w:val="both"/>
        <w:rPr>
          <w:rFonts w:ascii="方正黑体_GBK" w:hAnsi="方正黑体_GBK" w:eastAsia="方正黑体_GBK" w:cs="方正黑体_GBK"/>
          <w:sz w:val="32"/>
          <w:szCs w:val="32"/>
        </w:rPr>
      </w:pPr>
      <w:r>
        <w:rPr>
          <w:rStyle w:val="54"/>
          <w:rFonts w:hint="eastAsia" w:ascii="方正黑体_GBK" w:hAnsi="方正黑体_GBK" w:eastAsia="方正黑体_GBK" w:cs="方正黑体_GBK"/>
          <w:b w:val="0"/>
          <w:bCs/>
          <w:sz w:val="32"/>
          <w:szCs w:val="32"/>
          <w:shd w:val="clear" w:color="auto" w:fill="FFFFFF"/>
        </w:rPr>
        <w:t>一、单位基本情况</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（一）职能职责</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承担基本公共卫生服务：提供城乡居民健康档案管理、健康教育、预防接种、0～6岁儿童健康管理、孕产妇健康管理、老年人健康管理、高血压患者健康管理、2型糖尿病患者健康管理、重性精神疾病患者管理。</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（2）负责乡镇卫生诊断，传染病疫情报告和监测，预防接种，结核病、艾滋病等重大传染病预防，常见传染病防治，地方病、寄生虫病防治等服务，协助卫生监督。</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（3）使用适宜技术、设备和基本药物，开展常见病、多发病的门诊和住院诊治、院内外急救、转诊和中医药等服务。</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（4）承担生殖生育健康技术服务、优生指导、药具发放、随访服务；信息咨询、生殖健康宣传教育、人员培训等公共服务。</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（5）协助卫生计生行政主管单位做好辖区内社区卫生服务站、村卫生室和诊所的管理及技术指导工作。</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（6）负责辖区内医疗卫生计生信息统计报告工作。</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（7）协助政府制定、实施农村基本医疗卫生保健规划，开展爱国卫生工作。</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（8）承担县卫生健康委员会交办的其他工作。</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（二）机构设置</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西沱镇中心卫生院位于西沱镇街上，属于公益一类医疗事业单位，单位建筑面积为11819平方米，单位编制人数为91人，在职在编人数为66人，临时工人数为20人。</w:t>
      </w:r>
    </w:p>
    <w:p>
      <w:pPr>
        <w:widowControl w:val="0"/>
        <w:numPr>
          <w:ilvl w:val="0"/>
          <w:numId w:val="1"/>
        </w:numPr>
        <w:autoSpaceDE w:val="0"/>
        <w:spacing w:line="60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bCs/>
          <w:sz w:val="32"/>
          <w:szCs w:val="32"/>
        </w:rPr>
        <w:t>单位构成</w:t>
      </w:r>
    </w:p>
    <w:p>
      <w:pPr>
        <w:widowControl w:val="0"/>
        <w:autoSpaceDE w:val="0"/>
        <w:spacing w:line="600" w:lineRule="exact"/>
        <w:ind w:left="480" w:left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从预算构成看，该卫生院下设门诊部、住院部、护理部、办</w:t>
      </w:r>
    </w:p>
    <w:p>
      <w:pPr>
        <w:widowControl w:val="0"/>
        <w:autoSpaceDE w:val="0"/>
        <w:spacing w:line="600" w:lineRule="exact"/>
        <w:jc w:val="both"/>
        <w:rPr>
          <w:rFonts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公室等科室。</w:t>
      </w:r>
    </w:p>
    <w:p>
      <w:pPr>
        <w:pStyle w:val="27"/>
        <w:autoSpaceDE w:val="0"/>
        <w:spacing w:line="600" w:lineRule="exact"/>
        <w:ind w:firstLine="640"/>
        <w:rPr>
          <w:rFonts w:ascii="方正黑体_GBK" w:hAnsi="方正黑体_GBK" w:eastAsia="方正黑体_GBK" w:cs="方正黑体_GBK"/>
          <w:sz w:val="32"/>
          <w:szCs w:val="32"/>
        </w:rPr>
      </w:pPr>
      <w:r>
        <w:rPr>
          <w:rFonts w:hint="eastAsia" w:ascii="方正黑体_GBK" w:hAnsi="方正黑体_GBK" w:eastAsia="方正黑体_GBK" w:cs="方正黑体_GBK"/>
          <w:bCs/>
          <w:sz w:val="32"/>
          <w:szCs w:val="32"/>
        </w:rPr>
        <w:t>二、单位决算情况说明</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（一）收入支出决算总体情况说明。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体情况。本单位2021年度收入总计2493.97万元，支出总计2493.97万元。收支较上年决算数增160.81万元，增加6.90%。主要原因是本年用事业基金弥补收支减少。本单位的收入总计包括本年收入合计、用事业基金弥补收支差额，支出总计包括本年支出合计、结余分配。</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2.收入情况。本单位2021年度收入合计2493.97万元，较上年决算数增加160.81元，增加6.90%，主要原因是本年财政拨款加。其中：财政拨款收入1016.43万元，占40.80%；事业收入1457.36万元，占58.40%。</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3.支出情况。本单位2021年度支出合计2239.5万元，较上年决算数增加134.14万元，增长6.40%，主要原是本年日常公用经费支出增加。其中：基本支出2192.55万元，占97.90%；项目支出46.95万元，占2.10%。</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4.结转结余情况。本单位2021年无结转结余。</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（二）财政拨款收入支出决算总体情况说明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本单位2021年度财政拨款收、支1016.43万元，与2020年相比财政拨款收、支总计各减少166.40万元，下降14.10%。主要原因是2020年疫情防控项目拨款和退休人员健康休养费增加。</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（三）一般公共预算财政拨款支出决算情况说明</w:t>
      </w:r>
    </w:p>
    <w:p>
      <w:pPr>
        <w:pStyle w:val="26"/>
        <w:shd w:val="clear" w:color="auto" w:fill="FFFFFF"/>
        <w:autoSpaceDE w:val="0"/>
        <w:snapToGrid w:val="0"/>
        <w:spacing w:before="0" w:beforeAutospacing="0" w:after="0" w:afterAutospacing="0" w:line="600" w:lineRule="exac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1.收入情况。本单位2021年度财政拨款收入1016.43万元，较上年决算数减少166.40万元，下降14.10%。主要原因是财政拨款减少。较年初预算数增加172.62万元，增长20.5%。主要原因是年初在进行预算时并未将服务能力提升、设备购置等项目编入预算，以及未将市级拨款等不可预估类特殊项目纳入预算。</w:t>
      </w:r>
    </w:p>
    <w:p>
      <w:pPr>
        <w:pStyle w:val="26"/>
        <w:shd w:val="clear" w:color="auto" w:fill="FFFFFF"/>
        <w:autoSpaceDE w:val="0"/>
        <w:snapToGrid w:val="0"/>
        <w:spacing w:before="0" w:beforeAutospacing="0" w:after="0" w:afterAutospacing="0" w:line="600" w:lineRule="exact"/>
        <w:ind w:firstLine="640" w:firstLineChars="200"/>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2.支出情况。本单位2021年度财政拨款支出1016.43万元，较上年决算数减少166.40万元，下降14.10%。主要原因是财政拨款减少。较年初预算数增加172.62万元，增长20.5%。主要原因是年初在进行预算时并未将服务能力提升、设备购置等项目编入预算，以及未将市级拨款等不可预估类特殊项目纳入预算。</w:t>
      </w:r>
    </w:p>
    <w:p>
      <w:pPr>
        <w:pStyle w:val="26"/>
        <w:shd w:val="clear" w:color="auto" w:fill="FFFFFF"/>
        <w:autoSpaceDE w:val="0"/>
        <w:snapToGrid w:val="0"/>
        <w:spacing w:before="0" w:beforeAutospacing="0" w:after="0" w:afterAutospacing="0"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3.结转结余情况。本单位2021年度年末无财政拨款结转和结余。</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4.比较情况。本单位2021年度财政拨款支出主要用于以下几个方面： </w:t>
      </w:r>
    </w:p>
    <w:p>
      <w:pPr>
        <w:widowControl w:val="0"/>
        <w:autoSpaceDE w:val="0"/>
        <w:spacing w:line="60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社会保障就业128.11万元，占12.60%;卫生健康支出887.31万元占87.30%;较年初预算数无变化</w:t>
      </w:r>
      <w:r>
        <w:rPr>
          <w:rFonts w:hint="eastAsia" w:ascii="方正仿宋_GBK" w:hAnsi="方正仿宋_GBK" w:eastAsia="方正仿宋_GBK" w:cs="方正仿宋_GBK"/>
          <w:sz w:val="32"/>
          <w:szCs w:val="32"/>
          <w:lang w:eastAsia="zh-CN"/>
        </w:rPr>
        <w:t>。</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（四）一般公共预算财政拨款基本支出决算情况说明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2021年度一般公共财政拨款基本支出969.47万元。其中：人员经费920.85万元，较上年决算数减少135.75万元，减少12.80%。人员经费用途主要包括发放职工基本工资、津贴补贴、绩效工资、和其他社会保障费。公用经费48.63万元，较上年决算数减少32.36万元，下降40%。</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（五）政府性基金预算收支决算情况说明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2021年度无政府性基金预算财政拨款收支。</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（六）国有资本经营预算财政拨款支出决算情况说明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本单位2021年度无国有资本经营预算财政拨款支出。</w:t>
      </w:r>
    </w:p>
    <w:p>
      <w:pPr>
        <w:widowControl w:val="0"/>
        <w:autoSpaceDE w:val="0"/>
        <w:spacing w:line="600" w:lineRule="exact"/>
        <w:ind w:firstLine="640" w:firstLineChars="200"/>
        <w:jc w:val="both"/>
        <w:rPr>
          <w:rFonts w:ascii="方正黑体_GBK" w:hAnsi="方正黑体_GBK" w:eastAsia="方正黑体_GBK" w:cs="方正黑体_GBK"/>
          <w:bCs/>
          <w:kern w:val="2"/>
          <w:sz w:val="32"/>
          <w:szCs w:val="32"/>
        </w:rPr>
      </w:pPr>
      <w:r>
        <w:rPr>
          <w:rFonts w:hint="eastAsia" w:ascii="方正黑体_GBK" w:hAnsi="方正黑体_GBK" w:eastAsia="方正黑体_GBK" w:cs="方正黑体_GBK"/>
          <w:bCs/>
          <w:kern w:val="2"/>
          <w:sz w:val="32"/>
          <w:szCs w:val="32"/>
        </w:rPr>
        <w:t>三、“三公”经费情况说明</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（一）“三公”经费支出总体情况说明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本单位2021年度未发生“三公”经费支出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2021年度本单位“三公”经费支出共计0万元，较年初预算数和上年数一致。主要原因是我单位是财政差额拨款事业单位，财政不保障我单位“三公”经费。</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（二）“三公”经费分项支出情况</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（三）“三公”经费分项支出情况</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2021年度本单位无因公出国（境）费用支出。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本单位无公务车购置费支出。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本单位无公务接待费用支出。</w:t>
      </w:r>
    </w:p>
    <w:p>
      <w:pPr>
        <w:pStyle w:val="27"/>
        <w:autoSpaceDE w:val="0"/>
        <w:spacing w:line="600" w:lineRule="exact"/>
        <w:ind w:firstLine="64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四、其他需要说明的事项</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（一）机关运行经费情况说明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按照单位决算列报口径，我单位不在机关运行经费统计范围之内。</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（二）国有资产占用情况说明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截至2021年12月31日，本单位共有车辆1辆。其中：救护车1辆。单价50万元（含）以上通用设备2台（套），单价100万元（含）以上专用设备1台（套）。</w:t>
      </w:r>
    </w:p>
    <w:p>
      <w:pPr>
        <w:widowControl w:val="0"/>
        <w:autoSpaceDE w:val="0"/>
        <w:spacing w:line="600" w:lineRule="exact"/>
        <w:ind w:firstLine="640" w:firstLineChars="200"/>
        <w:jc w:val="both"/>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（三）政府采购支出情况说明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2021年度本单位无政府采购支出，总额0万元。  </w:t>
      </w:r>
    </w:p>
    <w:p>
      <w:pPr>
        <w:pStyle w:val="27"/>
        <w:autoSpaceDE w:val="0"/>
        <w:spacing w:line="600" w:lineRule="exact"/>
        <w:ind w:firstLine="64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五、预算绩效管理情况说明</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2021年，本单位编制绩效目标的项目4个，涉及支出预算46.95万元。开展绩效评价的项目1个，涉及支出8.35万元。</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p>
    <w:p>
      <w:pPr>
        <w:widowControl w:val="0"/>
        <w:autoSpaceDE w:val="0"/>
        <w:spacing w:line="600" w:lineRule="exact"/>
        <w:ind w:firstLine="640" w:firstLineChars="200"/>
        <w:jc w:val="both"/>
        <w:rPr>
          <w:rFonts w:ascii="方正仿宋_GBK" w:hAnsi="方正仿宋_GBK" w:eastAsia="方正仿宋_GBK" w:cs="方正仿宋_GBK"/>
          <w:sz w:val="32"/>
          <w:szCs w:val="32"/>
        </w:rPr>
      </w:pPr>
    </w:p>
    <w:tbl>
      <w:tblPr>
        <w:tblStyle w:val="12"/>
        <w:tblW w:w="9969" w:type="dxa"/>
        <w:jc w:val="center"/>
        <w:tblLayout w:type="fixed"/>
        <w:tblCellMar>
          <w:top w:w="0" w:type="dxa"/>
          <w:left w:w="108" w:type="dxa"/>
          <w:bottom w:w="0" w:type="dxa"/>
          <w:right w:w="108" w:type="dxa"/>
        </w:tblCellMar>
      </w:tblPr>
      <w:tblGrid>
        <w:gridCol w:w="750"/>
        <w:gridCol w:w="1501"/>
        <w:gridCol w:w="1260"/>
        <w:gridCol w:w="1485"/>
        <w:gridCol w:w="1567"/>
        <w:gridCol w:w="1058"/>
        <w:gridCol w:w="2348"/>
      </w:tblGrid>
      <w:tr>
        <w:tblPrEx>
          <w:tblCellMar>
            <w:top w:w="0" w:type="dxa"/>
            <w:left w:w="108" w:type="dxa"/>
            <w:bottom w:w="0" w:type="dxa"/>
            <w:right w:w="108" w:type="dxa"/>
          </w:tblCellMar>
        </w:tblPrEx>
        <w:trPr>
          <w:trHeight w:val="480" w:hRule="atLeast"/>
          <w:jc w:val="center"/>
        </w:trPr>
        <w:tc>
          <w:tcPr>
            <w:tcW w:w="9969" w:type="dxa"/>
            <w:gridSpan w:val="7"/>
            <w:tcBorders>
              <w:top w:val="nil"/>
              <w:left w:val="nil"/>
              <w:bottom w:val="nil"/>
              <w:right w:val="nil"/>
            </w:tcBorders>
            <w:vAlign w:val="center"/>
          </w:tcPr>
          <w:p>
            <w:pPr>
              <w:widowControl w:val="0"/>
              <w:autoSpaceDE w:val="0"/>
              <w:spacing w:line="600" w:lineRule="atLeast"/>
              <w:ind w:firstLine="643" w:firstLineChars="200"/>
              <w:jc w:val="center"/>
              <w:rPr>
                <w:rFonts w:ascii="方正仿宋_GBK" w:hAnsi="方正仿宋_GBK" w:eastAsia="方正仿宋_GBK" w:cs="方正仿宋_GBK"/>
                <w:sz w:val="32"/>
                <w:szCs w:val="32"/>
              </w:rPr>
            </w:pPr>
            <w:r>
              <w:rPr>
                <w:rFonts w:hint="eastAsia"/>
                <w:b/>
                <w:bCs/>
                <w:sz w:val="32"/>
                <w:szCs w:val="32"/>
              </w:rPr>
              <w:t>2021年度项目绩效目标自评表</w:t>
            </w:r>
          </w:p>
        </w:tc>
      </w:tr>
      <w:tr>
        <w:tblPrEx>
          <w:tblCellMar>
            <w:top w:w="0" w:type="dxa"/>
            <w:left w:w="108" w:type="dxa"/>
            <w:bottom w:w="0" w:type="dxa"/>
            <w:right w:w="108" w:type="dxa"/>
          </w:tblCellMar>
        </w:tblPrEx>
        <w:trPr>
          <w:trHeight w:val="52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widowControl w:val="0"/>
              <w:autoSpaceDE w:val="0"/>
              <w:rPr>
                <w:sz w:val="20"/>
                <w:szCs w:val="20"/>
              </w:rPr>
            </w:pPr>
            <w:r>
              <w:rPr>
                <w:rFonts w:hint="eastAsia"/>
                <w:sz w:val="20"/>
                <w:szCs w:val="20"/>
              </w:rPr>
              <w:t>专项名称</w:t>
            </w:r>
          </w:p>
        </w:tc>
        <w:tc>
          <w:tcPr>
            <w:tcW w:w="4246" w:type="dxa"/>
            <w:gridSpan w:val="3"/>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村卫生室乡村医生基本运行补助经费</w:t>
            </w:r>
          </w:p>
        </w:tc>
        <w:tc>
          <w:tcPr>
            <w:tcW w:w="1567" w:type="dxa"/>
            <w:tcBorders>
              <w:top w:val="single" w:color="auto" w:sz="4" w:space="0"/>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联系人</w:t>
            </w:r>
          </w:p>
          <w:p>
            <w:pPr>
              <w:widowControl w:val="0"/>
              <w:autoSpaceDE w:val="0"/>
              <w:ind w:firstLine="400" w:firstLineChars="200"/>
              <w:rPr>
                <w:sz w:val="20"/>
                <w:szCs w:val="20"/>
              </w:rPr>
            </w:pPr>
            <w:r>
              <w:rPr>
                <w:rFonts w:hint="eastAsia"/>
                <w:sz w:val="20"/>
                <w:szCs w:val="20"/>
              </w:rPr>
              <w:t>及电话</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刘光璠 73336189</w:t>
            </w:r>
          </w:p>
        </w:tc>
      </w:tr>
      <w:tr>
        <w:tblPrEx>
          <w:tblCellMar>
            <w:top w:w="0" w:type="dxa"/>
            <w:left w:w="108" w:type="dxa"/>
            <w:bottom w:w="0" w:type="dxa"/>
            <w:right w:w="108" w:type="dxa"/>
          </w:tblCellMar>
        </w:tblPrEx>
        <w:trPr>
          <w:trHeight w:val="501" w:hRule="atLeast"/>
          <w:jc w:val="center"/>
        </w:trPr>
        <w:tc>
          <w:tcPr>
            <w:tcW w:w="750" w:type="dxa"/>
            <w:tcBorders>
              <w:top w:val="nil"/>
              <w:left w:val="single" w:color="auto" w:sz="4" w:space="0"/>
              <w:bottom w:val="single" w:color="auto" w:sz="4" w:space="0"/>
              <w:right w:val="single" w:color="auto" w:sz="4" w:space="0"/>
            </w:tcBorders>
            <w:vAlign w:val="center"/>
          </w:tcPr>
          <w:p>
            <w:pPr>
              <w:widowControl w:val="0"/>
              <w:autoSpaceDE w:val="0"/>
              <w:rPr>
                <w:sz w:val="20"/>
                <w:szCs w:val="20"/>
              </w:rPr>
            </w:pPr>
            <w:r>
              <w:rPr>
                <w:rFonts w:hint="eastAsia"/>
                <w:sz w:val="20"/>
                <w:szCs w:val="20"/>
              </w:rPr>
              <w:t>主管单位</w:t>
            </w:r>
          </w:p>
        </w:tc>
        <w:tc>
          <w:tcPr>
            <w:tcW w:w="4246" w:type="dxa"/>
            <w:gridSpan w:val="3"/>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石柱县卫生健康委员会　</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预算单位</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rPr>
                <w:sz w:val="20"/>
                <w:szCs w:val="20"/>
              </w:rPr>
            </w:pPr>
            <w:r>
              <w:rPr>
                <w:rFonts w:hint="eastAsia"/>
                <w:sz w:val="20"/>
                <w:szCs w:val="20"/>
              </w:rPr>
              <w:t>石柱土家族自治县西沱镇卫生院　</w:t>
            </w:r>
          </w:p>
        </w:tc>
      </w:tr>
      <w:tr>
        <w:tblPrEx>
          <w:tblCellMar>
            <w:top w:w="0" w:type="dxa"/>
            <w:left w:w="108" w:type="dxa"/>
            <w:bottom w:w="0" w:type="dxa"/>
            <w:right w:w="108" w:type="dxa"/>
          </w:tblCellMar>
        </w:tblPrEx>
        <w:trPr>
          <w:trHeight w:val="493" w:hRule="atLeast"/>
          <w:jc w:val="center"/>
        </w:trPr>
        <w:tc>
          <w:tcPr>
            <w:tcW w:w="750" w:type="dxa"/>
            <w:vMerge w:val="restart"/>
            <w:tcBorders>
              <w:top w:val="nil"/>
              <w:left w:val="single" w:color="auto" w:sz="4" w:space="0"/>
              <w:bottom w:val="single" w:color="auto" w:sz="4" w:space="0"/>
              <w:right w:val="single" w:color="auto" w:sz="4" w:space="0"/>
            </w:tcBorders>
            <w:vAlign w:val="center"/>
          </w:tcPr>
          <w:p>
            <w:pPr>
              <w:widowControl w:val="0"/>
              <w:autoSpaceDE w:val="0"/>
              <w:rPr>
                <w:sz w:val="20"/>
                <w:szCs w:val="20"/>
              </w:rPr>
            </w:pPr>
            <w:r>
              <w:rPr>
                <w:rFonts w:hint="eastAsia"/>
                <w:sz w:val="20"/>
                <w:szCs w:val="20"/>
              </w:rPr>
              <w:t>项目资金（万元）</w:t>
            </w:r>
          </w:p>
        </w:tc>
        <w:tc>
          <w:tcPr>
            <w:tcW w:w="1501"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c>
          <w:tcPr>
            <w:tcW w:w="1260"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年初预算数</w:t>
            </w:r>
          </w:p>
        </w:tc>
        <w:tc>
          <w:tcPr>
            <w:tcW w:w="1485"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全年预算数</w:t>
            </w:r>
          </w:p>
        </w:tc>
        <w:tc>
          <w:tcPr>
            <w:tcW w:w="1567"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全年执行数</w:t>
            </w:r>
          </w:p>
        </w:tc>
        <w:tc>
          <w:tcPr>
            <w:tcW w:w="1058"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资金执行率（%)</w:t>
            </w:r>
          </w:p>
        </w:tc>
        <w:tc>
          <w:tcPr>
            <w:tcW w:w="2348"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执行率未达100%原因、下一步措施</w:t>
            </w:r>
          </w:p>
        </w:tc>
      </w:tr>
      <w:tr>
        <w:tblPrEx>
          <w:tblCellMar>
            <w:top w:w="0" w:type="dxa"/>
            <w:left w:w="108" w:type="dxa"/>
            <w:bottom w:w="0" w:type="dxa"/>
            <w:right w:w="108" w:type="dxa"/>
          </w:tblCellMar>
        </w:tblPrEx>
        <w:trPr>
          <w:trHeight w:val="412"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年度总金额</w:t>
            </w:r>
          </w:p>
        </w:tc>
        <w:tc>
          <w:tcPr>
            <w:tcW w:w="1260"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8.35</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8.35</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8.35</w:t>
            </w:r>
          </w:p>
        </w:tc>
        <w:tc>
          <w:tcPr>
            <w:tcW w:w="1058"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100</w:t>
            </w:r>
          </w:p>
        </w:tc>
        <w:tc>
          <w:tcPr>
            <w:tcW w:w="2348"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r>
      <w:tr>
        <w:tblPrEx>
          <w:tblCellMar>
            <w:top w:w="0" w:type="dxa"/>
            <w:left w:w="108" w:type="dxa"/>
            <w:bottom w:w="0" w:type="dxa"/>
            <w:right w:w="108" w:type="dxa"/>
          </w:tblCellMar>
        </w:tblPrEx>
        <w:trPr>
          <w:trHeight w:val="487"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其中：市级支出</w:t>
            </w:r>
          </w:p>
        </w:tc>
        <w:tc>
          <w:tcPr>
            <w:tcW w:w="1260"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w:t>
            </w:r>
          </w:p>
        </w:tc>
      </w:tr>
      <w:tr>
        <w:tblPrEx>
          <w:tblCellMar>
            <w:top w:w="0" w:type="dxa"/>
            <w:left w:w="108" w:type="dxa"/>
            <w:bottom w:w="0" w:type="dxa"/>
            <w:right w:w="108" w:type="dxa"/>
          </w:tblCellMar>
        </w:tblPrEx>
        <w:trPr>
          <w:trHeight w:val="434"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补助区县</w:t>
            </w:r>
          </w:p>
        </w:tc>
        <w:tc>
          <w:tcPr>
            <w:tcW w:w="1260"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w:t>
            </w:r>
          </w:p>
        </w:tc>
      </w:tr>
      <w:tr>
        <w:tblPrEx>
          <w:tblCellMar>
            <w:top w:w="0" w:type="dxa"/>
            <w:left w:w="108" w:type="dxa"/>
            <w:bottom w:w="0" w:type="dxa"/>
            <w:right w:w="108" w:type="dxa"/>
          </w:tblCellMar>
        </w:tblPrEx>
        <w:trPr>
          <w:trHeight w:val="524" w:hRule="atLeast"/>
          <w:jc w:val="center"/>
        </w:trPr>
        <w:tc>
          <w:tcPr>
            <w:tcW w:w="750" w:type="dxa"/>
            <w:vMerge w:val="restart"/>
            <w:tcBorders>
              <w:top w:val="nil"/>
              <w:left w:val="single" w:color="auto" w:sz="4" w:space="0"/>
              <w:bottom w:val="single" w:color="auto" w:sz="4" w:space="0"/>
              <w:right w:val="single" w:color="auto" w:sz="4" w:space="0"/>
            </w:tcBorders>
            <w:vAlign w:val="center"/>
          </w:tcPr>
          <w:p>
            <w:pPr>
              <w:widowControl w:val="0"/>
              <w:autoSpaceDE w:val="0"/>
              <w:rPr>
                <w:sz w:val="20"/>
                <w:szCs w:val="20"/>
              </w:rPr>
            </w:pPr>
            <w:r>
              <w:rPr>
                <w:rFonts w:hint="eastAsia"/>
                <w:sz w:val="20"/>
                <w:szCs w:val="20"/>
              </w:rPr>
              <w:t>年度总体目标</w:t>
            </w:r>
          </w:p>
        </w:tc>
        <w:tc>
          <w:tcPr>
            <w:tcW w:w="4246" w:type="dxa"/>
            <w:gridSpan w:val="3"/>
            <w:tcBorders>
              <w:top w:val="single" w:color="auto" w:sz="4" w:space="0"/>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年初设定目标</w:t>
            </w:r>
          </w:p>
        </w:tc>
        <w:tc>
          <w:tcPr>
            <w:tcW w:w="4973" w:type="dxa"/>
            <w:gridSpan w:val="3"/>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全年目标实际完成情况</w:t>
            </w:r>
          </w:p>
        </w:tc>
      </w:tr>
      <w:tr>
        <w:tblPrEx>
          <w:tblCellMar>
            <w:top w:w="0" w:type="dxa"/>
            <w:left w:w="108" w:type="dxa"/>
            <w:bottom w:w="0" w:type="dxa"/>
            <w:right w:w="108" w:type="dxa"/>
          </w:tblCellMar>
        </w:tblPrEx>
        <w:trPr>
          <w:trHeight w:val="1714"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4246" w:type="dxa"/>
            <w:gridSpan w:val="3"/>
            <w:tcBorders>
              <w:top w:val="single" w:color="auto" w:sz="4" w:space="0"/>
              <w:left w:val="nil"/>
              <w:bottom w:val="single" w:color="auto" w:sz="4" w:space="0"/>
              <w:right w:val="nil"/>
            </w:tcBorders>
            <w:vAlign w:val="center"/>
          </w:tcPr>
          <w:p>
            <w:pPr>
              <w:widowControl w:val="0"/>
              <w:autoSpaceDE w:val="0"/>
              <w:ind w:firstLine="400" w:firstLineChars="200"/>
              <w:rPr>
                <w:sz w:val="20"/>
                <w:szCs w:val="20"/>
              </w:rPr>
            </w:pPr>
            <w:r>
              <w:rPr>
                <w:rFonts w:hint="eastAsia"/>
                <w:sz w:val="20"/>
                <w:szCs w:val="20"/>
              </w:rPr>
              <w:t>2021年保证公立基层医疗卫生机构实施国家基本药物制度覆盖率100%；村卫生实施国家基本药物制度覆盖率90%以上；基层医疗机构基药采购占比、基层医疗机构达到使用要求占比60%以上；基本药物制度持续实施年限5年以上；服务水平较上年提高10%以上；受众满意度90%以上。</w:t>
            </w:r>
            <w:r>
              <w:rPr>
                <w:rFonts w:hint="eastAsia"/>
                <w:sz w:val="20"/>
                <w:szCs w:val="20"/>
              </w:rPr>
              <w:tab/>
            </w:r>
            <w:r>
              <w:rPr>
                <w:rFonts w:hint="eastAsia"/>
                <w:sz w:val="20"/>
                <w:szCs w:val="20"/>
              </w:rPr>
              <w:tab/>
            </w:r>
            <w:r>
              <w:rPr>
                <w:rFonts w:hint="eastAsia"/>
                <w:sz w:val="20"/>
                <w:szCs w:val="20"/>
              </w:rPr>
              <w:tab/>
            </w:r>
            <w:r>
              <w:rPr>
                <w:rFonts w:hint="eastAsia"/>
                <w:sz w:val="20"/>
                <w:szCs w:val="20"/>
              </w:rPr>
              <w:t>　</w:t>
            </w:r>
          </w:p>
        </w:tc>
        <w:tc>
          <w:tcPr>
            <w:tcW w:w="4973"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实现公立基层医疗卫生机构实施国家基本药物制度覆盖率100%；村卫生实施国家基本药物制度覆盖率90%以上；基层医疗机构基药采购占比、基层医疗机构达到使用要求占比60%以上；基本药物制度持续实施年限持续实施；服务水平较上年较大提升；受众满意度达90%以上。</w:t>
            </w:r>
            <w:r>
              <w:rPr>
                <w:rFonts w:hint="eastAsia"/>
                <w:sz w:val="20"/>
                <w:szCs w:val="20"/>
              </w:rPr>
              <w:tab/>
            </w:r>
            <w:r>
              <w:rPr>
                <w:rFonts w:hint="eastAsia"/>
                <w:sz w:val="20"/>
                <w:szCs w:val="20"/>
              </w:rPr>
              <w:tab/>
            </w:r>
            <w:r>
              <w:rPr>
                <w:rFonts w:hint="eastAsia"/>
                <w:sz w:val="20"/>
                <w:szCs w:val="20"/>
              </w:rPr>
              <w:tab/>
            </w:r>
            <w:r>
              <w:rPr>
                <w:rFonts w:hint="eastAsia"/>
                <w:sz w:val="20"/>
                <w:szCs w:val="20"/>
              </w:rPr>
              <w:t>　　</w:t>
            </w:r>
          </w:p>
        </w:tc>
      </w:tr>
      <w:tr>
        <w:tblPrEx>
          <w:tblCellMar>
            <w:top w:w="0" w:type="dxa"/>
            <w:left w:w="108" w:type="dxa"/>
            <w:bottom w:w="0" w:type="dxa"/>
            <w:right w:w="108" w:type="dxa"/>
          </w:tblCellMar>
        </w:tblPrEx>
        <w:trPr>
          <w:trHeight w:val="722" w:hRule="atLeast"/>
          <w:jc w:val="center"/>
        </w:trPr>
        <w:tc>
          <w:tcPr>
            <w:tcW w:w="750" w:type="dxa"/>
            <w:vMerge w:val="restart"/>
            <w:tcBorders>
              <w:top w:val="nil"/>
              <w:left w:val="single" w:color="auto" w:sz="4" w:space="0"/>
              <w:bottom w:val="nil"/>
              <w:right w:val="single" w:color="auto" w:sz="4" w:space="0"/>
            </w:tcBorders>
            <w:vAlign w:val="center"/>
          </w:tcPr>
          <w:p>
            <w:pPr>
              <w:widowControl w:val="0"/>
              <w:autoSpaceDE w:val="0"/>
              <w:rPr>
                <w:sz w:val="20"/>
                <w:szCs w:val="20"/>
              </w:rPr>
            </w:pPr>
            <w:r>
              <w:rPr>
                <w:rFonts w:hint="eastAsia"/>
                <w:sz w:val="20"/>
                <w:szCs w:val="20"/>
              </w:rPr>
              <w:t>绩效指标</w:t>
            </w:r>
          </w:p>
        </w:tc>
        <w:tc>
          <w:tcPr>
            <w:tcW w:w="1501"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指标名称</w:t>
            </w:r>
          </w:p>
        </w:tc>
        <w:tc>
          <w:tcPr>
            <w:tcW w:w="1260" w:type="dxa"/>
            <w:tcBorders>
              <w:top w:val="nil"/>
              <w:left w:val="nil"/>
              <w:bottom w:val="single" w:color="auto" w:sz="4" w:space="0"/>
              <w:right w:val="single" w:color="auto" w:sz="4" w:space="0"/>
            </w:tcBorders>
            <w:noWrap/>
            <w:vAlign w:val="center"/>
          </w:tcPr>
          <w:p>
            <w:pPr>
              <w:widowControl w:val="0"/>
              <w:autoSpaceDE w:val="0"/>
              <w:rPr>
                <w:sz w:val="20"/>
                <w:szCs w:val="20"/>
              </w:rPr>
            </w:pPr>
            <w:r>
              <w:rPr>
                <w:rFonts w:hint="eastAsia"/>
                <w:sz w:val="20"/>
                <w:szCs w:val="20"/>
              </w:rPr>
              <w:t>计量单位</w:t>
            </w:r>
          </w:p>
        </w:tc>
        <w:tc>
          <w:tcPr>
            <w:tcW w:w="1485"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年度指标值</w:t>
            </w:r>
          </w:p>
        </w:tc>
        <w:tc>
          <w:tcPr>
            <w:tcW w:w="1567"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全年完成值</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rPr>
                <w:sz w:val="20"/>
                <w:szCs w:val="20"/>
              </w:rPr>
            </w:pPr>
            <w:r>
              <w:rPr>
                <w:rFonts w:hint="eastAsia"/>
                <w:sz w:val="20"/>
                <w:szCs w:val="20"/>
              </w:rPr>
              <w:t>未完成绩效目标或偏离较多的原因,下一步改进措施</w:t>
            </w:r>
          </w:p>
        </w:tc>
      </w:tr>
      <w:tr>
        <w:tblPrEx>
          <w:tblCellMar>
            <w:top w:w="0" w:type="dxa"/>
            <w:left w:w="108" w:type="dxa"/>
            <w:bottom w:w="0" w:type="dxa"/>
            <w:right w:w="108" w:type="dxa"/>
          </w:tblCellMar>
        </w:tblPrEx>
        <w:trPr>
          <w:trHeight w:val="717" w:hRule="atLeast"/>
          <w:jc w:val="center"/>
        </w:trPr>
        <w:tc>
          <w:tcPr>
            <w:tcW w:w="750" w:type="dxa"/>
            <w:vMerge w:val="continue"/>
            <w:tcBorders>
              <w:top w:val="nil"/>
              <w:left w:val="single" w:color="auto" w:sz="4" w:space="0"/>
              <w:bottom w:val="nil"/>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政府办基层医疗卫生机构实施国家基本药物制度覆盖率　</w:t>
            </w:r>
          </w:p>
        </w:tc>
        <w:tc>
          <w:tcPr>
            <w:tcW w:w="1260" w:type="dxa"/>
            <w:tcBorders>
              <w:top w:val="nil"/>
              <w:left w:val="nil"/>
              <w:bottom w:val="single" w:color="auto" w:sz="4" w:space="0"/>
              <w:right w:val="single" w:color="auto" w:sz="4" w:space="0"/>
            </w:tcBorders>
            <w:noWrap/>
            <w:vAlign w:val="center"/>
          </w:tcPr>
          <w:p>
            <w:pPr>
              <w:widowControl w:val="0"/>
              <w:autoSpaceDE w:val="0"/>
              <w:ind w:firstLine="400" w:firstLineChars="200"/>
              <w:rPr>
                <w:sz w:val="20"/>
                <w:szCs w:val="20"/>
              </w:rPr>
            </w:pPr>
            <w:r>
              <w:rPr>
                <w:rFonts w:hint="eastAsia"/>
                <w:sz w:val="20"/>
                <w:szCs w:val="20"/>
              </w:rPr>
              <w:t>%　</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=100%　</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=100%</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　</w:t>
            </w:r>
          </w:p>
        </w:tc>
      </w:tr>
      <w:tr>
        <w:tblPrEx>
          <w:tblCellMar>
            <w:top w:w="0" w:type="dxa"/>
            <w:left w:w="108" w:type="dxa"/>
            <w:bottom w:w="0" w:type="dxa"/>
            <w:right w:w="108" w:type="dxa"/>
          </w:tblCellMar>
        </w:tblPrEx>
        <w:trPr>
          <w:trHeight w:val="596" w:hRule="atLeast"/>
          <w:jc w:val="center"/>
        </w:trPr>
        <w:tc>
          <w:tcPr>
            <w:tcW w:w="750" w:type="dxa"/>
            <w:vMerge w:val="continue"/>
            <w:tcBorders>
              <w:top w:val="nil"/>
              <w:left w:val="single" w:color="auto" w:sz="4" w:space="0"/>
              <w:bottom w:val="nil"/>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村卫生室实施国家基本药物制度覆盖率</w:t>
            </w:r>
          </w:p>
        </w:tc>
        <w:tc>
          <w:tcPr>
            <w:tcW w:w="1260" w:type="dxa"/>
            <w:tcBorders>
              <w:top w:val="nil"/>
              <w:left w:val="nil"/>
              <w:bottom w:val="single" w:color="auto" w:sz="4" w:space="0"/>
              <w:right w:val="single" w:color="auto" w:sz="4" w:space="0"/>
            </w:tcBorders>
            <w:noWrap/>
            <w:vAlign w:val="center"/>
          </w:tcPr>
          <w:p>
            <w:pPr>
              <w:widowControl w:val="0"/>
              <w:autoSpaceDE w:val="0"/>
              <w:ind w:firstLine="400" w:firstLineChars="200"/>
              <w:rPr>
                <w:sz w:val="20"/>
                <w:szCs w:val="20"/>
              </w:rPr>
            </w:pPr>
            <w:r>
              <w:rPr>
                <w:rFonts w:hint="eastAsia"/>
                <w:sz w:val="20"/>
                <w:szCs w:val="20"/>
              </w:rPr>
              <w:t>%　</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≥90%</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≥90%</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　</w:t>
            </w:r>
          </w:p>
        </w:tc>
      </w:tr>
      <w:tr>
        <w:tblPrEx>
          <w:tblCellMar>
            <w:top w:w="0" w:type="dxa"/>
            <w:left w:w="108" w:type="dxa"/>
            <w:bottom w:w="0" w:type="dxa"/>
            <w:right w:w="108" w:type="dxa"/>
          </w:tblCellMar>
        </w:tblPrEx>
        <w:trPr>
          <w:trHeight w:val="227" w:hRule="atLeast"/>
          <w:jc w:val="center"/>
        </w:trPr>
        <w:tc>
          <w:tcPr>
            <w:tcW w:w="750" w:type="dxa"/>
            <w:vMerge w:val="continue"/>
            <w:tcBorders>
              <w:top w:val="nil"/>
              <w:left w:val="single" w:color="auto" w:sz="4" w:space="0"/>
              <w:bottom w:val="nil"/>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资金有效使用及划拨率</w:t>
            </w:r>
          </w:p>
        </w:tc>
        <w:tc>
          <w:tcPr>
            <w:tcW w:w="1260" w:type="dxa"/>
            <w:tcBorders>
              <w:top w:val="nil"/>
              <w:left w:val="nil"/>
              <w:bottom w:val="single" w:color="auto" w:sz="4" w:space="0"/>
              <w:right w:val="single" w:color="auto" w:sz="4" w:space="0"/>
            </w:tcBorders>
            <w:noWrap/>
            <w:vAlign w:val="center"/>
          </w:tcPr>
          <w:p>
            <w:pPr>
              <w:widowControl w:val="0"/>
              <w:autoSpaceDE w:val="0"/>
              <w:ind w:firstLine="400" w:firstLineChars="200"/>
              <w:rPr>
                <w:sz w:val="20"/>
                <w:szCs w:val="20"/>
              </w:rPr>
            </w:pPr>
            <w:r>
              <w:rPr>
                <w:rFonts w:hint="eastAsia"/>
                <w:sz w:val="20"/>
                <w:szCs w:val="20"/>
              </w:rPr>
              <w:t>　%　</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=100%</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　=100%</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r>
              <w:rPr>
                <w:rFonts w:hint="eastAsia"/>
                <w:sz w:val="20"/>
                <w:szCs w:val="20"/>
              </w:rPr>
              <w:t>　</w:t>
            </w:r>
          </w:p>
          <w:p>
            <w:pPr>
              <w:widowControl w:val="0"/>
              <w:autoSpaceDE w:val="0"/>
              <w:ind w:firstLine="400" w:firstLineChars="200"/>
              <w:rPr>
                <w:sz w:val="20"/>
                <w:szCs w:val="20"/>
              </w:rPr>
            </w:pPr>
          </w:p>
        </w:tc>
      </w:tr>
      <w:tr>
        <w:tblPrEx>
          <w:tblCellMar>
            <w:top w:w="0" w:type="dxa"/>
            <w:left w:w="108" w:type="dxa"/>
            <w:bottom w:w="0" w:type="dxa"/>
            <w:right w:w="108" w:type="dxa"/>
          </w:tblCellMar>
        </w:tblPrEx>
        <w:trPr>
          <w:trHeight w:val="976" w:hRule="atLeast"/>
          <w:jc w:val="center"/>
        </w:trPr>
        <w:tc>
          <w:tcPr>
            <w:tcW w:w="750" w:type="dxa"/>
            <w:vMerge w:val="continue"/>
            <w:tcBorders>
              <w:top w:val="nil"/>
              <w:left w:val="single" w:color="auto" w:sz="4" w:space="0"/>
              <w:bottom w:val="nil"/>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基层对村卫生室指导和服务水平</w:t>
            </w:r>
          </w:p>
        </w:tc>
        <w:tc>
          <w:tcPr>
            <w:tcW w:w="1260" w:type="dxa"/>
            <w:tcBorders>
              <w:top w:val="nil"/>
              <w:left w:val="nil"/>
              <w:bottom w:val="single" w:color="auto" w:sz="4" w:space="0"/>
              <w:right w:val="single" w:color="auto" w:sz="4" w:space="0"/>
            </w:tcBorders>
            <w:noWrap/>
            <w:vAlign w:val="center"/>
          </w:tcPr>
          <w:p>
            <w:pPr>
              <w:widowControl w:val="0"/>
              <w:autoSpaceDE w:val="0"/>
              <w:ind w:firstLine="400" w:firstLineChars="200"/>
              <w:rPr>
                <w:sz w:val="20"/>
                <w:szCs w:val="20"/>
              </w:rPr>
            </w:pPr>
            <w:r>
              <w:rPr>
                <w:rFonts w:hint="eastAsia"/>
                <w:sz w:val="20"/>
                <w:szCs w:val="20"/>
              </w:rPr>
              <w:t>%　</w:t>
            </w:r>
          </w:p>
        </w:tc>
        <w:tc>
          <w:tcPr>
            <w:tcW w:w="1485"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　加强对村卫生室指导，村卫生室服务水平较大提高</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加强对村卫生室指导，村卫生室服务水平较大提高</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p>
        </w:tc>
      </w:tr>
      <w:tr>
        <w:tblPrEx>
          <w:tblCellMar>
            <w:top w:w="0" w:type="dxa"/>
            <w:left w:w="108" w:type="dxa"/>
            <w:bottom w:w="0" w:type="dxa"/>
            <w:right w:w="108" w:type="dxa"/>
          </w:tblCellMar>
        </w:tblPrEx>
        <w:trPr>
          <w:trHeight w:val="477" w:hRule="atLeast"/>
          <w:jc w:val="center"/>
        </w:trPr>
        <w:tc>
          <w:tcPr>
            <w:tcW w:w="750" w:type="dxa"/>
            <w:vMerge w:val="continue"/>
            <w:tcBorders>
              <w:top w:val="nil"/>
              <w:left w:val="single" w:color="auto" w:sz="4" w:space="0"/>
              <w:bottom w:val="nil"/>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村卫生室满意度</w:t>
            </w:r>
          </w:p>
        </w:tc>
        <w:tc>
          <w:tcPr>
            <w:tcW w:w="1260" w:type="dxa"/>
            <w:tcBorders>
              <w:top w:val="nil"/>
              <w:left w:val="nil"/>
              <w:bottom w:val="single" w:color="auto" w:sz="4" w:space="0"/>
              <w:right w:val="single" w:color="auto" w:sz="4" w:space="0"/>
            </w:tcBorders>
            <w:noWrap/>
            <w:vAlign w:val="center"/>
          </w:tcPr>
          <w:p>
            <w:pPr>
              <w:widowControl w:val="0"/>
              <w:autoSpaceDE w:val="0"/>
              <w:ind w:firstLine="400" w:firstLineChars="200"/>
              <w:rPr>
                <w:sz w:val="20"/>
                <w:szCs w:val="20"/>
              </w:rPr>
            </w:pPr>
            <w:r>
              <w:rPr>
                <w:rFonts w:hint="eastAsia"/>
                <w:sz w:val="20"/>
                <w:szCs w:val="20"/>
              </w:rPr>
              <w:t>%　</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≥95%</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≥95%</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p>
        </w:tc>
      </w:tr>
      <w:tr>
        <w:tblPrEx>
          <w:tblCellMar>
            <w:top w:w="0" w:type="dxa"/>
            <w:left w:w="108" w:type="dxa"/>
            <w:bottom w:w="0" w:type="dxa"/>
            <w:right w:w="108" w:type="dxa"/>
          </w:tblCellMar>
        </w:tblPrEx>
        <w:trPr>
          <w:trHeight w:val="478" w:hRule="atLeast"/>
          <w:jc w:val="center"/>
        </w:trPr>
        <w:tc>
          <w:tcPr>
            <w:tcW w:w="750" w:type="dxa"/>
            <w:vMerge w:val="continue"/>
            <w:tcBorders>
              <w:top w:val="nil"/>
              <w:left w:val="single" w:color="auto" w:sz="4" w:space="0"/>
              <w:bottom w:val="nil"/>
              <w:right w:val="single" w:color="auto" w:sz="4" w:space="0"/>
            </w:tcBorders>
            <w:vAlign w:val="center"/>
          </w:tcPr>
          <w:p>
            <w:pPr>
              <w:rPr>
                <w:sz w:val="20"/>
                <w:szCs w:val="20"/>
              </w:rPr>
            </w:pPr>
          </w:p>
        </w:tc>
        <w:tc>
          <w:tcPr>
            <w:tcW w:w="1501" w:type="dxa"/>
            <w:tcBorders>
              <w:top w:val="nil"/>
              <w:left w:val="nil"/>
              <w:bottom w:val="single" w:color="auto" w:sz="4" w:space="0"/>
              <w:right w:val="single" w:color="auto" w:sz="4" w:space="0"/>
            </w:tcBorders>
            <w:vAlign w:val="center"/>
          </w:tcPr>
          <w:p>
            <w:pPr>
              <w:widowControl w:val="0"/>
              <w:autoSpaceDE w:val="0"/>
              <w:rPr>
                <w:sz w:val="20"/>
                <w:szCs w:val="20"/>
              </w:rPr>
            </w:pPr>
            <w:r>
              <w:rPr>
                <w:rFonts w:hint="eastAsia"/>
                <w:sz w:val="20"/>
                <w:szCs w:val="20"/>
              </w:rPr>
              <w:t>受众满意度</w:t>
            </w:r>
          </w:p>
        </w:tc>
        <w:tc>
          <w:tcPr>
            <w:tcW w:w="1260" w:type="dxa"/>
            <w:tcBorders>
              <w:top w:val="nil"/>
              <w:left w:val="nil"/>
              <w:bottom w:val="single" w:color="auto" w:sz="4" w:space="0"/>
              <w:right w:val="single" w:color="auto" w:sz="4" w:space="0"/>
            </w:tcBorders>
            <w:noWrap/>
            <w:vAlign w:val="center"/>
          </w:tcPr>
          <w:p>
            <w:pPr>
              <w:widowControl w:val="0"/>
              <w:autoSpaceDE w:val="0"/>
              <w:ind w:firstLine="400" w:firstLineChars="200"/>
              <w:rPr>
                <w:sz w:val="20"/>
                <w:szCs w:val="20"/>
              </w:rPr>
            </w:pPr>
            <w:r>
              <w:rPr>
                <w:rFonts w:hint="eastAsia"/>
                <w:sz w:val="20"/>
                <w:szCs w:val="20"/>
              </w:rPr>
              <w:t>%</w:t>
            </w:r>
          </w:p>
        </w:tc>
        <w:tc>
          <w:tcPr>
            <w:tcW w:w="1485"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≥90%</w:t>
            </w:r>
          </w:p>
        </w:tc>
        <w:tc>
          <w:tcPr>
            <w:tcW w:w="1567" w:type="dxa"/>
            <w:tcBorders>
              <w:top w:val="nil"/>
              <w:left w:val="nil"/>
              <w:bottom w:val="single" w:color="auto" w:sz="4" w:space="0"/>
              <w:right w:val="single" w:color="auto" w:sz="4" w:space="0"/>
            </w:tcBorders>
            <w:vAlign w:val="center"/>
          </w:tcPr>
          <w:p>
            <w:pPr>
              <w:widowControl w:val="0"/>
              <w:autoSpaceDE w:val="0"/>
              <w:ind w:firstLine="400" w:firstLineChars="200"/>
              <w:rPr>
                <w:sz w:val="20"/>
                <w:szCs w:val="20"/>
              </w:rPr>
            </w:pPr>
            <w:r>
              <w:rPr>
                <w:rFonts w:hint="eastAsia"/>
                <w:sz w:val="20"/>
                <w:szCs w:val="20"/>
              </w:rPr>
              <w:t>≥90%</w:t>
            </w:r>
          </w:p>
        </w:tc>
        <w:tc>
          <w:tcPr>
            <w:tcW w:w="3406" w:type="dxa"/>
            <w:gridSpan w:val="2"/>
            <w:tcBorders>
              <w:top w:val="single" w:color="auto" w:sz="4" w:space="0"/>
              <w:left w:val="nil"/>
              <w:bottom w:val="single" w:color="auto" w:sz="4" w:space="0"/>
              <w:right w:val="single" w:color="000000" w:sz="4" w:space="0"/>
            </w:tcBorders>
            <w:vAlign w:val="center"/>
          </w:tcPr>
          <w:p>
            <w:pPr>
              <w:widowControl w:val="0"/>
              <w:autoSpaceDE w:val="0"/>
              <w:ind w:firstLine="400" w:firstLineChars="200"/>
              <w:rPr>
                <w:sz w:val="20"/>
                <w:szCs w:val="20"/>
              </w:rPr>
            </w:pPr>
          </w:p>
        </w:tc>
      </w:tr>
      <w:tr>
        <w:tblPrEx>
          <w:tblCellMar>
            <w:top w:w="0" w:type="dxa"/>
            <w:left w:w="108" w:type="dxa"/>
            <w:bottom w:w="0" w:type="dxa"/>
            <w:right w:w="108" w:type="dxa"/>
          </w:tblCellMar>
        </w:tblPrEx>
        <w:trPr>
          <w:trHeight w:val="1454" w:hRule="atLeast"/>
          <w:jc w:val="center"/>
        </w:trPr>
        <w:tc>
          <w:tcPr>
            <w:tcW w:w="750" w:type="dxa"/>
            <w:tcBorders>
              <w:top w:val="nil"/>
              <w:left w:val="single" w:color="auto" w:sz="4" w:space="0"/>
              <w:bottom w:val="single" w:color="auto" w:sz="4" w:space="0"/>
              <w:right w:val="single" w:color="auto" w:sz="4" w:space="0"/>
            </w:tcBorders>
            <w:vAlign w:val="center"/>
          </w:tcPr>
          <w:p>
            <w:pPr>
              <w:widowControl w:val="0"/>
              <w:autoSpaceDE w:val="0"/>
              <w:rPr>
                <w:sz w:val="20"/>
                <w:szCs w:val="20"/>
              </w:rPr>
            </w:pPr>
            <w:r>
              <w:rPr>
                <w:rFonts w:hint="eastAsia"/>
                <w:sz w:val="20"/>
                <w:szCs w:val="20"/>
              </w:rPr>
              <w:t>其他说明</w:t>
            </w:r>
          </w:p>
        </w:tc>
        <w:tc>
          <w:tcPr>
            <w:tcW w:w="9219" w:type="dxa"/>
            <w:gridSpan w:val="6"/>
            <w:tcBorders>
              <w:top w:val="single" w:color="auto" w:sz="4" w:space="0"/>
              <w:left w:val="nil"/>
              <w:bottom w:val="single" w:color="auto" w:sz="4" w:space="0"/>
              <w:right w:val="single" w:color="auto" w:sz="4" w:space="0"/>
            </w:tcBorders>
            <w:vAlign w:val="center"/>
          </w:tcPr>
          <w:p>
            <w:pPr>
              <w:widowControl w:val="0"/>
              <w:autoSpaceDE w:val="0"/>
              <w:ind w:firstLine="400" w:firstLineChars="200"/>
              <w:rPr>
                <w:sz w:val="20"/>
                <w:szCs w:val="20"/>
              </w:rPr>
            </w:pPr>
          </w:p>
        </w:tc>
      </w:tr>
    </w:tbl>
    <w:p>
      <w:pPr>
        <w:pStyle w:val="27"/>
        <w:autoSpaceDE w:val="0"/>
        <w:spacing w:line="600" w:lineRule="exact"/>
        <w:ind w:firstLine="64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六、专业名词解释</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（一）财政拨款收入</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指本年度从本级财政单位取得的财政拨款，包括一般公共预算财政拨款和政府性基金预算财政拨款。</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（二）事业收入</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指事业单位开展专业业务活动及其辅助活动取得的收入；事业单位收到的财政专户实际核拨的教育收费等资金在此反映。</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（三）其他收入：</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单位以外的同级单位取得的经费、从非本级财政单位取得的经费，以及行政单位收到的财政专户管理资金填列在本项内。</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（四）用事业基金弥补收支差额</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bookmarkStart w:id="0" w:name="_GoBack"/>
      <w:bookmarkEnd w:id="0"/>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（五）结余分配：</w:t>
      </w:r>
      <w:r>
        <w:rPr>
          <w:rFonts w:hint="eastAsia" w:ascii="方正仿宋_GBK" w:hAnsi="方正仿宋_GBK" w:eastAsia="方正仿宋_GBK" w:cs="方正仿宋_GBK"/>
          <w:sz w:val="32"/>
          <w:szCs w:val="32"/>
        </w:rPr>
        <w:t>指单位当年结余的分配情况。根据《关于事业单位提取专用基金比例问题的通知》（财教（2012）32号）规定，事业单位职工福利基金的提取比例，在单位年度非财政拨款结余的40%以内确定，国家另有规定的从其规定。</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（六）基本支出</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（七）项目支出：</w:t>
      </w:r>
      <w:r>
        <w:rPr>
          <w:rFonts w:hint="eastAsia" w:ascii="方正仿宋_GBK" w:hAnsi="方正仿宋_GBK" w:eastAsia="方正仿宋_GBK" w:cs="方正仿宋_GBK"/>
          <w:sz w:val="32"/>
          <w:szCs w:val="32"/>
        </w:rPr>
        <w:t>指在基本支出之外为完成特定行政任务和事业发展目标所发生的支出。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（八）“三公”经费：</w:t>
      </w:r>
      <w:r>
        <w:rPr>
          <w:rFonts w:hint="eastAsia" w:ascii="方正仿宋_GBK" w:hAnsi="方正仿宋_GBK" w:eastAsia="方正仿宋_GBK" w:cs="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（九）机关运行经费</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（十）工资福利支出（支出经济分类科目类级）</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（十一）商品和服务支出（支出经济分类科目类级）</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（十二）对个人和家庭的补助（支出经济分类科目类级）：</w:t>
      </w:r>
      <w:r>
        <w:rPr>
          <w:rFonts w:hint="eastAsia" w:ascii="方正仿宋_GBK" w:hAnsi="方正仿宋_GBK" w:eastAsia="方正仿宋_GBK" w:cs="方正仿宋_GBK"/>
          <w:sz w:val="32"/>
          <w:szCs w:val="32"/>
        </w:rPr>
        <w:t>反映用于对个人和家庭的补助支出。</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（十三）其他资本性支出（支出经济分类科目类级）：</w:t>
      </w:r>
      <w:r>
        <w:rPr>
          <w:rFonts w:hint="eastAsia" w:ascii="方正仿宋_GBK" w:hAnsi="方正仿宋_GBK" w:eastAsia="方正仿宋_GBK" w:cs="方正仿宋_GBK"/>
          <w:sz w:val="32"/>
          <w:szCs w:val="32"/>
        </w:rPr>
        <w:t>反映非各级发展与改革单位集中安排的用于购置固定资产、战略性和应急性储备、土地和无形资产，以及构建基础设施、大型修缮和财政支持企业更新改造所发生的支出。</w:t>
      </w:r>
    </w:p>
    <w:p>
      <w:pPr>
        <w:widowControl w:val="0"/>
        <w:autoSpaceDE w:val="0"/>
        <w:spacing w:line="600" w:lineRule="exact"/>
        <w:ind w:firstLine="640" w:firstLineChars="200"/>
        <w:jc w:val="both"/>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七、决算公开联系方式</w:t>
      </w:r>
    </w:p>
    <w:p>
      <w:pPr>
        <w:widowControl w:val="0"/>
        <w:autoSpaceDE w:val="0"/>
        <w:spacing w:line="60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本单位决算公开信息反馈和联系方式：023-73336189。</w:t>
      </w:r>
    </w:p>
    <w:p>
      <w:pPr>
        <w:widowControl w:val="0"/>
        <w:autoSpaceDE w:val="0"/>
        <w:spacing w:line="600" w:lineRule="atLeast"/>
        <w:ind w:firstLine="640" w:firstLineChars="200"/>
        <w:jc w:val="both"/>
        <w:rPr>
          <w:rFonts w:ascii="方正仿宋_GBK" w:hAnsi="方正仿宋_GBK"/>
          <w:sz w:val="32"/>
          <w:szCs w:val="32"/>
        </w:rPr>
      </w:pPr>
      <w:r>
        <w:rPr>
          <w:rFonts w:ascii="方正仿宋_GBK" w:hAnsi="方正仿宋_GBK"/>
          <w:sz w:val="32"/>
          <w:szCs w:val="32"/>
        </w:rPr>
        <w:tab/>
      </w:r>
    </w:p>
    <w:p>
      <w:pPr>
        <w:widowControl w:val="0"/>
        <w:autoSpaceDE w:val="0"/>
        <w:spacing w:line="600" w:lineRule="atLeast"/>
        <w:ind w:firstLine="640" w:firstLineChars="200"/>
        <w:jc w:val="both"/>
        <w:rPr>
          <w:rFonts w:ascii="方正仿宋_GBK" w:hAnsi="方正仿宋_GBK"/>
          <w:sz w:val="32"/>
          <w:szCs w:val="32"/>
        </w:rPr>
      </w:pPr>
    </w:p>
    <w:sectPr>
      <w:pgSz w:w="11915" w:h="16840"/>
      <w:pgMar w:top="2098" w:right="1474" w:bottom="1985"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269D4"/>
    <w:multiLevelType w:val="multilevel"/>
    <w:tmpl w:val="0B1269D4"/>
    <w:lvl w:ilvl="0" w:tentative="0">
      <w:start w:val="3"/>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doNotExpandShiftReturn/>
    <w:useFELayout/>
    <w:compatSetting w:name="compatibilityMode" w:uri="http://schemas.microsoft.com/office/word" w:val="12"/>
  </w:compat>
  <w:docVars>
    <w:docVar w:name="commondata" w:val="eyJoZGlkIjoiZTRhOGMyOTk1Y2NkNTY0OWY0NjVkYTZjNDVkYjNiMDEifQ=="/>
  </w:docVars>
  <w:rsids>
    <w:rsidRoot w:val="00D51389"/>
    <w:rsid w:val="000F398D"/>
    <w:rsid w:val="003617D0"/>
    <w:rsid w:val="00382B2E"/>
    <w:rsid w:val="003B5CC0"/>
    <w:rsid w:val="005002A3"/>
    <w:rsid w:val="007B2FD0"/>
    <w:rsid w:val="007B5E8F"/>
    <w:rsid w:val="00892E9B"/>
    <w:rsid w:val="008C52E9"/>
    <w:rsid w:val="009D7675"/>
    <w:rsid w:val="00A26D5E"/>
    <w:rsid w:val="00B22B3E"/>
    <w:rsid w:val="00B66820"/>
    <w:rsid w:val="00D51389"/>
    <w:rsid w:val="00D8240F"/>
    <w:rsid w:val="00E72AAE"/>
    <w:rsid w:val="00F0195A"/>
    <w:rsid w:val="0F0C4EE7"/>
    <w:rsid w:val="17640508"/>
    <w:rsid w:val="230C57C1"/>
    <w:rsid w:val="540100B2"/>
    <w:rsid w:val="6F8F4895"/>
    <w:rsid w:val="70A33309"/>
    <w:rsid w:val="78E724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nhideWhenUsed="0" w:uiPriority="0"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44"/>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paragraph" w:styleId="5">
    <w:name w:val="heading 4"/>
    <w:basedOn w:val="1"/>
    <w:next w:val="1"/>
    <w:link w:val="17"/>
    <w:qFormat/>
    <w:uiPriority w:val="9"/>
    <w:pPr>
      <w:spacing w:before="100" w:beforeAutospacing="1" w:after="100" w:afterAutospacing="1"/>
      <w:outlineLvl w:val="3"/>
    </w:pPr>
    <w:rPr>
      <w:b/>
      <w:bCs/>
    </w:rPr>
  </w:style>
  <w:style w:type="paragraph" w:styleId="6">
    <w:name w:val="heading 5"/>
    <w:basedOn w:val="1"/>
    <w:next w:val="1"/>
    <w:link w:val="18"/>
    <w:qFormat/>
    <w:uiPriority w:val="9"/>
    <w:pPr>
      <w:spacing w:before="100" w:beforeAutospacing="1" w:after="100" w:afterAutospacing="1"/>
      <w:outlineLvl w:val="4"/>
    </w:pPr>
    <w:rPr>
      <w:b/>
      <w:bCs/>
      <w:sz w:val="20"/>
      <w:szCs w:val="20"/>
    </w:rPr>
  </w:style>
  <w:style w:type="paragraph" w:styleId="7">
    <w:name w:val="heading 6"/>
    <w:basedOn w:val="1"/>
    <w:next w:val="1"/>
    <w:link w:val="19"/>
    <w:qFormat/>
    <w:uiPriority w:val="9"/>
    <w:pPr>
      <w:spacing w:before="100" w:beforeAutospacing="1" w:after="100" w:afterAutospacing="1"/>
      <w:outlineLvl w:val="5"/>
    </w:pPr>
    <w:rPr>
      <w:b/>
      <w:bCs/>
      <w:sz w:val="15"/>
      <w:szCs w:val="15"/>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footer"/>
    <w:basedOn w:val="1"/>
    <w:link w:val="20"/>
    <w:qFormat/>
    <w:uiPriority w:val="0"/>
    <w:pPr>
      <w:snapToGrid w:val="0"/>
    </w:pPr>
    <w:rPr>
      <w:sz w:val="18"/>
      <w:szCs w:val="18"/>
    </w:rPr>
  </w:style>
  <w:style w:type="paragraph" w:styleId="9">
    <w:name w:val="header"/>
    <w:basedOn w:val="1"/>
    <w:link w:val="21"/>
    <w:qFormat/>
    <w:uiPriority w:val="0"/>
    <w:pPr>
      <w:pBdr>
        <w:bottom w:val="single" w:color="auto" w:sz="6" w:space="1"/>
      </w:pBdr>
      <w:snapToGrid w:val="0"/>
      <w:jc w:val="center"/>
    </w:pPr>
    <w:rPr>
      <w:sz w:val="18"/>
      <w:szCs w:val="18"/>
    </w:rPr>
  </w:style>
  <w:style w:type="paragraph" w:styleId="10">
    <w:name w:val="HTML Preformatted"/>
    <w:basedOn w:val="1"/>
    <w:link w:val="23"/>
    <w:qFormat/>
    <w:uiPriority w:val="0"/>
  </w:style>
  <w:style w:type="paragraph" w:styleId="11">
    <w:name w:val="Normal (Web)"/>
    <w:basedOn w:val="1"/>
    <w:qFormat/>
    <w:uiPriority w:val="0"/>
    <w:pPr>
      <w:spacing w:before="100" w:beforeAutospacing="1" w:after="100" w:afterAutospacing="1"/>
    </w:pPr>
  </w:style>
  <w:style w:type="character" w:customStyle="1" w:styleId="14">
    <w:name w:val="标题 1 Char"/>
    <w:basedOn w:val="13"/>
    <w:link w:val="2"/>
    <w:qFormat/>
    <w:uiPriority w:val="9"/>
    <w:rPr>
      <w:rFonts w:ascii="宋体" w:hAnsi="宋体" w:eastAsia="宋体" w:cs="宋体"/>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标题 3 Char"/>
    <w:basedOn w:val="13"/>
    <w:link w:val="4"/>
    <w:qFormat/>
    <w:uiPriority w:val="9"/>
    <w:rPr>
      <w:rFonts w:ascii="宋体" w:hAnsi="宋体" w:eastAsia="宋体" w:cs="宋体"/>
      <w:b/>
      <w:bCs/>
      <w:sz w:val="32"/>
      <w:szCs w:val="32"/>
    </w:rPr>
  </w:style>
  <w:style w:type="character" w:customStyle="1" w:styleId="17">
    <w:name w:val="标题 4 Char"/>
    <w:basedOn w:val="13"/>
    <w:link w:val="5"/>
    <w:qFormat/>
    <w:uiPriority w:val="9"/>
    <w:rPr>
      <w:rFonts w:asciiTheme="majorHAnsi" w:hAnsiTheme="majorHAnsi" w:eastAsiaTheme="majorEastAsia" w:cstheme="majorBidi"/>
      <w:b/>
      <w:bCs/>
      <w:sz w:val="28"/>
      <w:szCs w:val="28"/>
    </w:rPr>
  </w:style>
  <w:style w:type="character" w:customStyle="1" w:styleId="18">
    <w:name w:val="标题 5 Char"/>
    <w:basedOn w:val="13"/>
    <w:link w:val="6"/>
    <w:qFormat/>
    <w:uiPriority w:val="9"/>
    <w:rPr>
      <w:rFonts w:ascii="宋体" w:hAnsi="宋体" w:eastAsia="宋体" w:cs="宋体"/>
      <w:b/>
      <w:bCs/>
      <w:sz w:val="28"/>
      <w:szCs w:val="28"/>
    </w:rPr>
  </w:style>
  <w:style w:type="character" w:customStyle="1" w:styleId="19">
    <w:name w:val="标题 6 Char"/>
    <w:basedOn w:val="13"/>
    <w:link w:val="7"/>
    <w:qFormat/>
    <w:uiPriority w:val="9"/>
    <w:rPr>
      <w:rFonts w:asciiTheme="majorHAnsi" w:hAnsiTheme="majorHAnsi" w:eastAsiaTheme="majorEastAsia" w:cstheme="majorBidi"/>
      <w:b/>
      <w:bCs/>
      <w:sz w:val="24"/>
      <w:szCs w:val="24"/>
    </w:rPr>
  </w:style>
  <w:style w:type="character" w:customStyle="1" w:styleId="20">
    <w:name w:val="页脚 Char"/>
    <w:basedOn w:val="13"/>
    <w:link w:val="8"/>
    <w:qFormat/>
    <w:uiPriority w:val="0"/>
    <w:rPr>
      <w:rFonts w:ascii="宋体" w:hAnsi="宋体" w:eastAsia="宋体" w:cs="宋体"/>
      <w:sz w:val="18"/>
      <w:szCs w:val="18"/>
    </w:rPr>
  </w:style>
  <w:style w:type="character" w:customStyle="1" w:styleId="21">
    <w:name w:val="页眉 Char"/>
    <w:basedOn w:val="13"/>
    <w:link w:val="9"/>
    <w:qFormat/>
    <w:uiPriority w:val="0"/>
    <w:rPr>
      <w:rFonts w:ascii="宋体" w:hAnsi="宋体" w:eastAsia="宋体" w:cs="宋体"/>
      <w:sz w:val="18"/>
      <w:szCs w:val="18"/>
    </w:rPr>
  </w:style>
  <w:style w:type="paragraph" w:customStyle="1" w:styleId="22">
    <w:name w:val="普通(网站) Char Char"/>
    <w:basedOn w:val="1"/>
    <w:qFormat/>
    <w:uiPriority w:val="0"/>
    <w:pPr>
      <w:spacing w:before="100" w:beforeAutospacing="1" w:after="100" w:afterAutospacing="1"/>
    </w:pPr>
  </w:style>
  <w:style w:type="character" w:customStyle="1" w:styleId="23">
    <w:name w:val="HTML 预设格式 Char"/>
    <w:basedOn w:val="13"/>
    <w:link w:val="10"/>
    <w:qFormat/>
    <w:uiPriority w:val="0"/>
    <w:rPr>
      <w:rFonts w:ascii="Courier New" w:hAnsi="Courier New" w:eastAsia="宋体" w:cs="Courier New"/>
    </w:rPr>
  </w:style>
  <w:style w:type="paragraph" w:customStyle="1" w:styleId="24">
    <w:name w:val="msonormal1"/>
    <w:basedOn w:val="1"/>
    <w:qFormat/>
    <w:uiPriority w:val="0"/>
    <w:pPr>
      <w:spacing w:before="100" w:beforeAutospacing="1" w:after="100" w:afterAutospacing="1"/>
    </w:pPr>
  </w:style>
  <w:style w:type="paragraph" w:customStyle="1" w:styleId="25">
    <w:name w:val="普通(网站) Char"/>
    <w:basedOn w:val="1"/>
    <w:qFormat/>
    <w:uiPriority w:val="0"/>
    <w:pPr>
      <w:spacing w:before="100" w:beforeAutospacing="1" w:after="100" w:afterAutospacing="1"/>
    </w:pPr>
  </w:style>
  <w:style w:type="paragraph" w:customStyle="1" w:styleId="26">
    <w:name w:val="普通(网站) Char Char Char"/>
    <w:basedOn w:val="1"/>
    <w:qFormat/>
    <w:uiPriority w:val="0"/>
    <w:pPr>
      <w:spacing w:before="100" w:beforeAutospacing="1" w:after="100" w:afterAutospacing="1"/>
    </w:pPr>
  </w:style>
  <w:style w:type="paragraph" w:customStyle="1" w:styleId="27">
    <w:name w:val="msolistparagraph"/>
    <w:basedOn w:val="1"/>
    <w:qFormat/>
    <w:uiPriority w:val="0"/>
    <w:pPr>
      <w:widowControl w:val="0"/>
      <w:ind w:firstLine="420" w:firstLineChars="200"/>
      <w:jc w:val="both"/>
    </w:pPr>
    <w:rPr>
      <w:rFonts w:ascii="Calibri" w:hAnsi="Calibri" w:cs="Times New Roman"/>
      <w:kern w:val="2"/>
      <w:sz w:val="21"/>
      <w:szCs w:val="21"/>
    </w:rPr>
  </w:style>
  <w:style w:type="paragraph" w:customStyle="1" w:styleId="28">
    <w:name w:val="HTML 预设格式 Char Char"/>
    <w:basedOn w:val="1"/>
    <w:qFormat/>
    <w:uiPriority w:val="0"/>
    <w:rPr>
      <w:rFonts w:ascii="Courier New" w:hAnsi="Courier New" w:cs="Courier New"/>
      <w:sz w:val="20"/>
      <w:szCs w:val="20"/>
    </w:rPr>
  </w:style>
  <w:style w:type="paragraph" w:customStyle="1" w:styleId="29">
    <w:name w:val="p Char"/>
    <w:basedOn w:val="1"/>
    <w:qFormat/>
    <w:uiPriority w:val="0"/>
    <w:pPr>
      <w:spacing w:before="100" w:beforeAutospacing="1" w:after="100" w:afterAutospacing="1"/>
    </w:pPr>
  </w:style>
  <w:style w:type="paragraph" w:customStyle="1" w:styleId="30">
    <w:name w:val="HTML 预设格式 Char1"/>
    <w:basedOn w:val="1"/>
    <w:qFormat/>
    <w:uiPriority w:val="0"/>
    <w:rPr>
      <w:rFonts w:ascii="Courier New" w:hAnsi="Courier New" w:cs="Courier New"/>
      <w:sz w:val="20"/>
      <w:szCs w:val="20"/>
    </w:rPr>
  </w:style>
  <w:style w:type="paragraph" w:customStyle="1" w:styleId="31">
    <w:name w:val="HTML 预设格式 Char Char Char"/>
    <w:basedOn w:val="1"/>
    <w:qFormat/>
    <w:uiPriority w:val="0"/>
  </w:style>
  <w:style w:type="paragraph" w:customStyle="1" w:styleId="32">
    <w:name w:val="pre Char"/>
    <w:basedOn w:val="1"/>
    <w:qFormat/>
    <w:uiPriority w:val="0"/>
  </w:style>
  <w:style w:type="paragraph" w:customStyle="1" w:styleId="33">
    <w:name w:val="msolistparagraph1"/>
    <w:basedOn w:val="1"/>
    <w:qFormat/>
    <w:uiPriority w:val="0"/>
    <w:pPr>
      <w:widowControl w:val="0"/>
      <w:ind w:firstLine="420" w:firstLineChars="200"/>
      <w:jc w:val="both"/>
    </w:pPr>
    <w:rPr>
      <w:rFonts w:ascii="Calibri" w:hAnsi="Calibri" w:cs="Times New Roman"/>
      <w:kern w:val="2"/>
      <w:sz w:val="21"/>
      <w:szCs w:val="21"/>
    </w:rPr>
  </w:style>
  <w:style w:type="character" w:customStyle="1" w:styleId="34">
    <w:name w:val="10"/>
    <w:basedOn w:val="13"/>
    <w:qFormat/>
    <w:uiPriority w:val="0"/>
    <w:rPr>
      <w:rFonts w:hint="default" w:ascii="Times New Roman" w:hAnsi="Times New Roman" w:cs="Times New Roman"/>
    </w:rPr>
  </w:style>
  <w:style w:type="character" w:customStyle="1" w:styleId="35">
    <w:name w:val="15"/>
    <w:basedOn w:val="13"/>
    <w:uiPriority w:val="0"/>
    <w:rPr>
      <w:rFonts w:hint="eastAsia" w:ascii="宋体" w:hAnsi="宋体" w:eastAsia="宋体"/>
      <w:sz w:val="18"/>
      <w:szCs w:val="18"/>
    </w:rPr>
  </w:style>
  <w:style w:type="character" w:customStyle="1" w:styleId="36">
    <w:name w:val="16"/>
    <w:basedOn w:val="13"/>
    <w:uiPriority w:val="0"/>
    <w:rPr>
      <w:rFonts w:hint="eastAsia" w:ascii="宋体" w:hAnsi="宋体" w:eastAsia="宋体"/>
      <w:sz w:val="18"/>
      <w:szCs w:val="18"/>
    </w:rPr>
  </w:style>
  <w:style w:type="character" w:customStyle="1" w:styleId="37">
    <w:name w:val="17"/>
    <w:basedOn w:val="13"/>
    <w:qFormat/>
    <w:uiPriority w:val="0"/>
    <w:rPr>
      <w:rFonts w:hint="eastAsia" w:ascii="宋体" w:hAnsi="宋体" w:eastAsia="宋体"/>
      <w:sz w:val="18"/>
      <w:szCs w:val="18"/>
    </w:rPr>
  </w:style>
  <w:style w:type="character" w:customStyle="1" w:styleId="38">
    <w:name w:val="18"/>
    <w:basedOn w:val="13"/>
    <w:qFormat/>
    <w:uiPriority w:val="0"/>
    <w:rPr>
      <w:rFonts w:hint="default" w:ascii="Times New Roman" w:hAnsi="Times New Roman" w:cs="Times New Roman"/>
    </w:rPr>
  </w:style>
  <w:style w:type="character" w:customStyle="1" w:styleId="39">
    <w:name w:val="19"/>
    <w:basedOn w:val="13"/>
    <w:uiPriority w:val="0"/>
    <w:rPr>
      <w:rFonts w:hint="default" w:ascii="Times New Roman" w:hAnsi="Times New Roman" w:cs="Times New Roman"/>
    </w:rPr>
  </w:style>
  <w:style w:type="character" w:customStyle="1" w:styleId="40">
    <w:name w:val="20"/>
    <w:basedOn w:val="13"/>
    <w:uiPriority w:val="0"/>
    <w:rPr>
      <w:rFonts w:hint="eastAsia" w:ascii="宋体" w:hAnsi="宋体" w:eastAsia="宋体"/>
      <w:b/>
      <w:bCs/>
      <w:kern w:val="44"/>
      <w:sz w:val="44"/>
      <w:szCs w:val="44"/>
    </w:rPr>
  </w:style>
  <w:style w:type="character" w:customStyle="1" w:styleId="41">
    <w:name w:val="21"/>
    <w:basedOn w:val="13"/>
    <w:uiPriority w:val="0"/>
    <w:rPr>
      <w:rFonts w:hint="default" w:ascii="Times New Roman" w:hAnsi="Times New Roman" w:cs="Times New Roman"/>
    </w:rPr>
  </w:style>
  <w:style w:type="character" w:customStyle="1" w:styleId="42">
    <w:name w:val="22"/>
    <w:basedOn w:val="13"/>
    <w:uiPriority w:val="0"/>
    <w:rPr>
      <w:rFonts w:hint="default" w:ascii="Times New Roman" w:hAnsi="Times New Roman" w:cs="Times New Roman"/>
    </w:rPr>
  </w:style>
  <w:style w:type="character" w:customStyle="1" w:styleId="43">
    <w:name w:val="23"/>
    <w:basedOn w:val="13"/>
    <w:uiPriority w:val="0"/>
    <w:rPr>
      <w:rFonts w:hint="eastAsia" w:ascii="宋体" w:hAnsi="宋体" w:eastAsia="宋体"/>
      <w:sz w:val="18"/>
      <w:szCs w:val="18"/>
    </w:rPr>
  </w:style>
  <w:style w:type="character" w:customStyle="1" w:styleId="44">
    <w:name w:val="24"/>
    <w:basedOn w:val="13"/>
    <w:uiPriority w:val="0"/>
    <w:rPr>
      <w:rFonts w:hint="default" w:ascii="Courier New" w:hAnsi="Courier New" w:eastAsia="宋体" w:cs="Courier New"/>
    </w:rPr>
  </w:style>
  <w:style w:type="character" w:customStyle="1" w:styleId="45">
    <w:name w:val="25"/>
    <w:basedOn w:val="13"/>
    <w:uiPriority w:val="0"/>
    <w:rPr>
      <w:rFonts w:hint="default" w:ascii="Times New Roman" w:hAnsi="Times New Roman" w:cs="Times New Roman"/>
    </w:rPr>
  </w:style>
  <w:style w:type="character" w:customStyle="1" w:styleId="46">
    <w:name w:val="26"/>
    <w:basedOn w:val="13"/>
    <w:qFormat/>
    <w:uiPriority w:val="0"/>
    <w:rPr>
      <w:rFonts w:hint="default" w:ascii="Times New Roman" w:hAnsi="Times New Roman" w:cs="Times New Roman"/>
    </w:rPr>
  </w:style>
  <w:style w:type="character" w:customStyle="1" w:styleId="47">
    <w:name w:val="27"/>
    <w:basedOn w:val="13"/>
    <w:qFormat/>
    <w:uiPriority w:val="0"/>
    <w:rPr>
      <w:rFonts w:hint="default" w:ascii="Cambria" w:hAnsi="Cambria" w:eastAsia="宋体" w:cs="Times New Roman"/>
      <w:b/>
      <w:bCs/>
      <w:sz w:val="28"/>
      <w:szCs w:val="28"/>
    </w:rPr>
  </w:style>
  <w:style w:type="character" w:customStyle="1" w:styleId="48">
    <w:name w:val="28"/>
    <w:basedOn w:val="13"/>
    <w:uiPriority w:val="0"/>
    <w:rPr>
      <w:rFonts w:hint="eastAsia" w:ascii="宋体" w:hAnsi="宋体" w:eastAsia="宋体"/>
      <w:b/>
      <w:bCs/>
      <w:sz w:val="28"/>
      <w:szCs w:val="28"/>
    </w:rPr>
  </w:style>
  <w:style w:type="character" w:customStyle="1" w:styleId="49">
    <w:name w:val="29"/>
    <w:basedOn w:val="13"/>
    <w:qFormat/>
    <w:uiPriority w:val="0"/>
    <w:rPr>
      <w:rFonts w:hint="eastAsia" w:ascii="宋体" w:hAnsi="宋体" w:eastAsia="宋体"/>
      <w:sz w:val="18"/>
      <w:szCs w:val="18"/>
    </w:rPr>
  </w:style>
  <w:style w:type="character" w:customStyle="1" w:styleId="50">
    <w:name w:val="30"/>
    <w:basedOn w:val="13"/>
    <w:uiPriority w:val="0"/>
    <w:rPr>
      <w:rFonts w:hint="eastAsia" w:ascii="宋体" w:hAnsi="宋体" w:eastAsia="宋体"/>
      <w:sz w:val="18"/>
      <w:szCs w:val="18"/>
    </w:rPr>
  </w:style>
  <w:style w:type="character" w:customStyle="1" w:styleId="51">
    <w:name w:val="31"/>
    <w:basedOn w:val="13"/>
    <w:uiPriority w:val="0"/>
    <w:rPr>
      <w:rFonts w:hint="default" w:ascii="Times New Roman" w:hAnsi="Times New Roman" w:cs="Times New Roman"/>
    </w:rPr>
  </w:style>
  <w:style w:type="character" w:customStyle="1" w:styleId="52">
    <w:name w:val="32"/>
    <w:basedOn w:val="13"/>
    <w:uiPriority w:val="0"/>
    <w:rPr>
      <w:rFonts w:hint="default" w:ascii="Times New Roman" w:hAnsi="Times New Roman" w:cs="Times New Roman"/>
      <w:b/>
      <w:bCs/>
    </w:rPr>
  </w:style>
  <w:style w:type="character" w:customStyle="1" w:styleId="53">
    <w:name w:val="33"/>
    <w:basedOn w:val="13"/>
    <w:uiPriority w:val="0"/>
    <w:rPr>
      <w:rFonts w:hint="eastAsia" w:ascii="宋体" w:hAnsi="宋体" w:eastAsia="宋体"/>
      <w:sz w:val="18"/>
      <w:szCs w:val="18"/>
    </w:rPr>
  </w:style>
  <w:style w:type="character" w:customStyle="1" w:styleId="54">
    <w:name w:val="34"/>
    <w:basedOn w:val="13"/>
    <w:uiPriority w:val="0"/>
    <w:rPr>
      <w:rFonts w:hint="default" w:ascii="Times New Roman" w:hAnsi="Times New Roman" w:cs="Times New Roman"/>
      <w:b/>
    </w:rPr>
  </w:style>
  <w:style w:type="character" w:customStyle="1" w:styleId="55">
    <w:name w:val="35"/>
    <w:basedOn w:val="13"/>
    <w:uiPriority w:val="0"/>
    <w:rPr>
      <w:rFonts w:hint="default" w:ascii="Times New Roman" w:hAnsi="Times New Roman" w:cs="Times New Roman"/>
    </w:rPr>
  </w:style>
  <w:style w:type="character" w:customStyle="1" w:styleId="56">
    <w:name w:val="36"/>
    <w:basedOn w:val="13"/>
    <w:uiPriority w:val="0"/>
    <w:rPr>
      <w:rFonts w:hint="default" w:ascii="Times New Roman" w:hAnsi="Times New Roman" w:cs="Times New Roman"/>
    </w:rPr>
  </w:style>
  <w:style w:type="character" w:customStyle="1" w:styleId="57">
    <w:name w:val="37"/>
    <w:basedOn w:val="13"/>
    <w:qFormat/>
    <w:uiPriority w:val="0"/>
    <w:rPr>
      <w:rFonts w:hint="eastAsia" w:ascii="宋体" w:hAnsi="宋体" w:eastAsia="宋体"/>
      <w:sz w:val="18"/>
      <w:szCs w:val="18"/>
    </w:rPr>
  </w:style>
  <w:style w:type="character" w:customStyle="1" w:styleId="58">
    <w:name w:val="38"/>
    <w:basedOn w:val="13"/>
    <w:qFormat/>
    <w:uiPriority w:val="0"/>
    <w:rPr>
      <w:rFonts w:hint="default" w:ascii="Cambria" w:hAnsi="Cambria" w:eastAsia="宋体" w:cs="Times New Roman"/>
      <w:b/>
      <w:bCs/>
      <w:sz w:val="24"/>
      <w:szCs w:val="24"/>
    </w:rPr>
  </w:style>
  <w:style w:type="character" w:customStyle="1" w:styleId="59">
    <w:name w:val="39"/>
    <w:basedOn w:val="13"/>
    <w:uiPriority w:val="0"/>
    <w:rPr>
      <w:rFonts w:hint="default" w:ascii="Cambria" w:hAnsi="Cambria" w:eastAsia="宋体" w:cs="Times New Roman"/>
      <w:b/>
      <w:bCs/>
      <w:sz w:val="32"/>
      <w:szCs w:val="32"/>
    </w:rPr>
  </w:style>
  <w:style w:type="character" w:customStyle="1" w:styleId="60">
    <w:name w:val="40"/>
    <w:basedOn w:val="13"/>
    <w:qFormat/>
    <w:uiPriority w:val="0"/>
    <w:rPr>
      <w:rFonts w:hint="default" w:ascii="Times New Roman" w:hAnsi="Times New Roman" w:cs="Times New Roman"/>
    </w:rPr>
  </w:style>
  <w:style w:type="character" w:customStyle="1" w:styleId="61">
    <w:name w:val="41"/>
    <w:basedOn w:val="13"/>
    <w:qFormat/>
    <w:uiPriority w:val="0"/>
    <w:rPr>
      <w:rFonts w:hint="eastAsia" w:ascii="宋体" w:hAnsi="宋体" w:eastAsia="宋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10</Pages>
  <Words>3907</Words>
  <Characters>4299</Characters>
  <Lines>32</Lines>
  <Paragraphs>9</Paragraphs>
  <TotalTime>9</TotalTime>
  <ScaleCrop>false</ScaleCrop>
  <LinksUpToDate>false</LinksUpToDate>
  <CharactersWithSpaces>4340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2022-10-26T06:25:00Z</dcterms:created>
  <dc:creator>admin</dc:creator>
  <cp:lastModifiedBy>Administrator</cp:lastModifiedBy>
  <dcterms:modified xsi:type="dcterms:W3CDTF">2023-01-30T09:05:11Z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62A0E12EC2D443DEBBB4BF134EC459DC</vt:lpwstr>
  </property>
</Properties>
</file>