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重庆市石柱土家族自治县龙潭乡卫生院</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2021年度</w:t>
      </w:r>
      <w:r>
        <w:rPr>
          <w:rFonts w:hint="eastAsia" w:ascii="方正小标宋_GBK" w:hAnsi="方正小标宋_GBK" w:eastAsia="方正小标宋_GBK" w:cs="方正小标宋_GBK"/>
          <w:sz w:val="44"/>
          <w:szCs w:val="44"/>
          <w:lang w:eastAsia="zh-CN"/>
        </w:rPr>
        <w:t>单位</w:t>
      </w:r>
      <w:r>
        <w:rPr>
          <w:rFonts w:hint="eastAsia" w:ascii="方正小标宋_GBK" w:hAnsi="方正小标宋_GBK" w:eastAsia="方正小标宋_GBK" w:cs="方正小标宋_GBK"/>
          <w:sz w:val="44"/>
          <w:szCs w:val="44"/>
        </w:rPr>
        <w:t>决算情况说明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textAlignment w:val="auto"/>
      </w:pPr>
      <w:r>
        <w:rPr>
          <w:rStyle w:val="7"/>
          <w:rFonts w:hint="eastAsia" w:ascii="方正黑体_GBK" w:hAnsi="方正黑体_GBK" w:eastAsia="方正黑体_GBK" w:cs="方正黑体_GBK"/>
          <w:sz w:val="32"/>
          <w:szCs w:val="32"/>
        </w:rPr>
        <w:t>一、</w:t>
      </w:r>
      <w:r>
        <w:rPr>
          <w:rStyle w:val="7"/>
          <w:rFonts w:hint="eastAsia" w:ascii="方正黑体_GBK" w:hAnsi="方正黑体_GBK" w:eastAsia="方正黑体_GBK" w:cs="方正黑体_GBK"/>
          <w:sz w:val="32"/>
          <w:szCs w:val="32"/>
          <w:lang w:eastAsia="zh-CN"/>
        </w:rPr>
        <w:t>单位</w:t>
      </w:r>
      <w:r>
        <w:rPr>
          <w:rStyle w:val="7"/>
          <w:rFonts w:hint="eastAsia" w:ascii="方正黑体_GBK" w:hAnsi="方正黑体_GBK" w:eastAsia="方正黑体_GBK" w:cs="方正黑体_GBK"/>
          <w:sz w:val="32"/>
          <w:szCs w:val="32"/>
        </w:rPr>
        <w:t>基本情况</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textAlignment w:val="auto"/>
        <w:rPr>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sz w:val="32"/>
          <w:szCs w:val="32"/>
        </w:rPr>
        <w:t>（一）职能职责</w:t>
      </w:r>
    </w:p>
    <w:p>
      <w:pPr>
        <w:keepNext w:val="0"/>
        <w:keepLines w:val="0"/>
        <w:pageBreakBefore w:val="0"/>
        <w:widowControl/>
        <w:kinsoku/>
        <w:wordWrap/>
        <w:overflowPunct/>
        <w:topLinePunct w:val="0"/>
        <w:autoSpaceDE/>
        <w:autoSpaceDN/>
        <w:bidi w:val="0"/>
        <w:adjustRightInd/>
        <w:snapToGrid/>
        <w:spacing w:beforeAutospacing="0" w:afterAutospacing="0" w:line="600" w:lineRule="atLeast"/>
        <w:ind w:firstLine="440" w:firstLineChars="200"/>
        <w:textAlignment w:val="auto"/>
        <w:rPr>
          <w:rFonts w:hint="eastAsia" w:ascii="方正仿宋_GBK" w:hAnsi="方正仿宋_GBK" w:eastAsia="方正仿宋_GBK" w:cs="方正仿宋_GBK"/>
          <w:kern w:val="0"/>
          <w:sz w:val="32"/>
          <w:szCs w:val="32"/>
        </w:rPr>
      </w:pPr>
      <w:r>
        <w:rPr>
          <w:color w:val="FF0000"/>
          <w:sz w:val="22"/>
          <w:szCs w:val="22"/>
        </w:rPr>
        <w:t xml:space="preserve">  </w:t>
      </w:r>
      <w:r>
        <w:rPr>
          <w:rFonts w:hint="eastAsia" w:ascii="方正仿宋_GBK" w:hAnsi="方正仿宋_GBK" w:eastAsia="方正仿宋_GBK" w:cs="方正仿宋_GBK"/>
          <w:kern w:val="0"/>
          <w:sz w:val="32"/>
          <w:szCs w:val="32"/>
          <w:lang w:val="en-US" w:eastAsia="zh-CN"/>
        </w:rPr>
        <w:t>1.</w:t>
      </w:r>
      <w:r>
        <w:rPr>
          <w:rFonts w:hint="eastAsia" w:ascii="方正仿宋_GBK" w:hAnsi="方正仿宋_GBK" w:eastAsia="方正仿宋_GBK" w:cs="方正仿宋_GBK"/>
          <w:kern w:val="0"/>
          <w:sz w:val="32"/>
          <w:szCs w:val="32"/>
        </w:rPr>
        <w:t>承担基本公共卫生服务：提供城乡居民健康档案管理、健康教育、预防接种、0～6岁儿童健康管理、孕产妇健康管理、老年人健康管理、高血压患者健康管理、2型糖尿病患者健康管理、重性精神疾病患者管理。</w:t>
      </w:r>
    </w:p>
    <w:p>
      <w:pPr>
        <w:keepNext w:val="0"/>
        <w:keepLines w:val="0"/>
        <w:pageBreakBefore w:val="0"/>
        <w:widowControl/>
        <w:kinsoku/>
        <w:wordWrap/>
        <w:overflowPunct/>
        <w:topLinePunct w:val="0"/>
        <w:autoSpaceDE/>
        <w:autoSpaceDN/>
        <w:bidi w:val="0"/>
        <w:adjustRightInd/>
        <w:snapToGrid/>
        <w:spacing w:beforeAutospacing="0" w:afterAutospacing="0" w:line="600" w:lineRule="atLeast"/>
        <w:ind w:firstLine="640" w:firstLineChars="20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lang w:val="en-US" w:eastAsia="zh-CN"/>
        </w:rPr>
        <w:t>2.</w:t>
      </w:r>
      <w:r>
        <w:rPr>
          <w:rFonts w:hint="eastAsia" w:ascii="方正仿宋_GBK" w:hAnsi="方正仿宋_GBK" w:eastAsia="方正仿宋_GBK" w:cs="方正仿宋_GBK"/>
          <w:kern w:val="0"/>
          <w:sz w:val="32"/>
          <w:szCs w:val="32"/>
        </w:rPr>
        <w:t>负责乡镇卫生诊断，传染病疫情报告和监测，预防接种，结核病、艾滋病等重大传染病预防，常见传染病防治，地方病、寄生虫病防治等服务，协助卫生监督。</w:t>
      </w:r>
    </w:p>
    <w:p>
      <w:pPr>
        <w:keepNext w:val="0"/>
        <w:keepLines w:val="0"/>
        <w:pageBreakBefore w:val="0"/>
        <w:widowControl/>
        <w:kinsoku/>
        <w:wordWrap/>
        <w:overflowPunct/>
        <w:topLinePunct w:val="0"/>
        <w:autoSpaceDE/>
        <w:autoSpaceDN/>
        <w:bidi w:val="0"/>
        <w:adjustRightInd/>
        <w:snapToGrid/>
        <w:spacing w:beforeAutospacing="0" w:afterAutospacing="0" w:line="600" w:lineRule="atLeast"/>
        <w:ind w:firstLine="640" w:firstLineChars="20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lang w:val="en-US" w:eastAsia="zh-CN"/>
        </w:rPr>
        <w:t>3.</w:t>
      </w:r>
      <w:r>
        <w:rPr>
          <w:rFonts w:hint="eastAsia" w:ascii="方正仿宋_GBK" w:hAnsi="方正仿宋_GBK" w:eastAsia="方正仿宋_GBK" w:cs="方正仿宋_GBK"/>
          <w:kern w:val="0"/>
          <w:sz w:val="32"/>
          <w:szCs w:val="32"/>
        </w:rPr>
        <w:t>使用适宜技术、设备和基本药物，开展常见病、多发病的门诊和住院诊治、院内外急救、转诊和中医药等服务。</w:t>
      </w:r>
    </w:p>
    <w:p>
      <w:pPr>
        <w:keepNext w:val="0"/>
        <w:keepLines w:val="0"/>
        <w:pageBreakBefore w:val="0"/>
        <w:widowControl/>
        <w:kinsoku/>
        <w:wordWrap/>
        <w:overflowPunct/>
        <w:topLinePunct w:val="0"/>
        <w:autoSpaceDE/>
        <w:autoSpaceDN/>
        <w:bidi w:val="0"/>
        <w:adjustRightInd/>
        <w:snapToGrid/>
        <w:spacing w:beforeAutospacing="0" w:afterAutospacing="0" w:line="600" w:lineRule="atLeast"/>
        <w:ind w:firstLine="640" w:firstLineChars="20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lang w:val="en-US" w:eastAsia="zh-CN"/>
        </w:rPr>
        <w:t>4.</w:t>
      </w:r>
      <w:r>
        <w:rPr>
          <w:rFonts w:hint="eastAsia" w:ascii="方正仿宋_GBK" w:hAnsi="方正仿宋_GBK" w:eastAsia="方正仿宋_GBK" w:cs="方正仿宋_GBK"/>
          <w:kern w:val="0"/>
          <w:sz w:val="32"/>
          <w:szCs w:val="32"/>
        </w:rPr>
        <w:t>承担生殖生育健康技术服务、优生指导、药具发放、随访服务；信息咨询、生殖健康宣传教育、人员培训等公共服务。</w:t>
      </w:r>
    </w:p>
    <w:p>
      <w:pPr>
        <w:keepNext w:val="0"/>
        <w:keepLines w:val="0"/>
        <w:pageBreakBefore w:val="0"/>
        <w:widowControl/>
        <w:kinsoku/>
        <w:wordWrap/>
        <w:overflowPunct/>
        <w:topLinePunct w:val="0"/>
        <w:autoSpaceDE/>
        <w:autoSpaceDN/>
        <w:bidi w:val="0"/>
        <w:adjustRightInd/>
        <w:snapToGrid/>
        <w:spacing w:beforeAutospacing="0" w:afterAutospacing="0" w:line="600" w:lineRule="atLeast"/>
        <w:ind w:firstLine="640" w:firstLineChars="20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lang w:val="en-US" w:eastAsia="zh-CN"/>
        </w:rPr>
        <w:t>5.</w:t>
      </w:r>
      <w:r>
        <w:rPr>
          <w:rFonts w:hint="eastAsia" w:ascii="方正仿宋_GBK" w:hAnsi="方正仿宋_GBK" w:eastAsia="方正仿宋_GBK" w:cs="方正仿宋_GBK"/>
          <w:kern w:val="0"/>
          <w:sz w:val="32"/>
          <w:szCs w:val="32"/>
        </w:rPr>
        <w:t>协助卫健行政主管</w:t>
      </w:r>
      <w:r>
        <w:rPr>
          <w:rFonts w:hint="eastAsia" w:ascii="方正仿宋_GBK" w:hAnsi="方正仿宋_GBK" w:eastAsia="方正仿宋_GBK" w:cs="方正仿宋_GBK"/>
          <w:kern w:val="0"/>
          <w:sz w:val="32"/>
          <w:szCs w:val="32"/>
          <w:lang w:eastAsia="zh-CN"/>
        </w:rPr>
        <w:t>单位</w:t>
      </w:r>
      <w:r>
        <w:rPr>
          <w:rFonts w:hint="eastAsia" w:ascii="方正仿宋_GBK" w:hAnsi="方正仿宋_GBK" w:eastAsia="方正仿宋_GBK" w:cs="方正仿宋_GBK"/>
          <w:kern w:val="0"/>
          <w:sz w:val="32"/>
          <w:szCs w:val="32"/>
        </w:rPr>
        <w:t>做好辖区内社区卫生服务站、村卫生室和诊所的管理及技术指导工作。</w:t>
      </w:r>
    </w:p>
    <w:p>
      <w:pPr>
        <w:keepNext w:val="0"/>
        <w:keepLines w:val="0"/>
        <w:pageBreakBefore w:val="0"/>
        <w:widowControl/>
        <w:kinsoku/>
        <w:wordWrap/>
        <w:overflowPunct/>
        <w:topLinePunct w:val="0"/>
        <w:autoSpaceDE/>
        <w:autoSpaceDN/>
        <w:bidi w:val="0"/>
        <w:adjustRightInd/>
        <w:snapToGrid/>
        <w:spacing w:beforeAutospacing="0" w:afterAutospacing="0" w:line="600" w:lineRule="atLeast"/>
        <w:ind w:firstLine="640" w:firstLineChars="20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lang w:val="en-US" w:eastAsia="zh-CN"/>
        </w:rPr>
        <w:t>6.</w:t>
      </w:r>
      <w:r>
        <w:rPr>
          <w:rFonts w:hint="eastAsia" w:ascii="方正仿宋_GBK" w:hAnsi="方正仿宋_GBK" w:eastAsia="方正仿宋_GBK" w:cs="方正仿宋_GBK"/>
          <w:kern w:val="0"/>
          <w:sz w:val="32"/>
          <w:szCs w:val="32"/>
        </w:rPr>
        <w:t>负责辖区内医疗卫生计生信息统计报告工作。</w:t>
      </w:r>
    </w:p>
    <w:p>
      <w:pPr>
        <w:keepNext w:val="0"/>
        <w:keepLines w:val="0"/>
        <w:pageBreakBefore w:val="0"/>
        <w:widowControl/>
        <w:kinsoku/>
        <w:wordWrap/>
        <w:overflowPunct/>
        <w:topLinePunct w:val="0"/>
        <w:autoSpaceDE/>
        <w:autoSpaceDN/>
        <w:bidi w:val="0"/>
        <w:adjustRightInd/>
        <w:snapToGrid/>
        <w:spacing w:beforeAutospacing="0" w:afterAutospacing="0" w:line="600" w:lineRule="atLeast"/>
        <w:ind w:firstLine="640" w:firstLineChars="20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lang w:val="en-US" w:eastAsia="zh-CN"/>
        </w:rPr>
        <w:t>7.</w:t>
      </w:r>
      <w:r>
        <w:rPr>
          <w:rFonts w:hint="eastAsia" w:ascii="方正仿宋_GBK" w:hAnsi="方正仿宋_GBK" w:eastAsia="方正仿宋_GBK" w:cs="方正仿宋_GBK"/>
          <w:kern w:val="0"/>
          <w:sz w:val="32"/>
          <w:szCs w:val="32"/>
        </w:rPr>
        <w:t>协助政府制定、实施农村基本医疗卫生保健规划，开展爱国卫生工作。</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pPr>
      <w:r>
        <w:rPr>
          <w:rFonts w:hint="eastAsia" w:ascii="方正仿宋_GBK" w:hAnsi="方正仿宋_GBK" w:eastAsia="方正仿宋_GBK" w:cs="方正仿宋_GBK"/>
          <w:kern w:val="0"/>
          <w:sz w:val="32"/>
          <w:szCs w:val="32"/>
          <w:lang w:val="en-US" w:eastAsia="zh-CN"/>
        </w:rPr>
        <w:t>8.</w:t>
      </w:r>
      <w:r>
        <w:rPr>
          <w:rFonts w:hint="eastAsia" w:ascii="方正仿宋_GBK" w:hAnsi="方正仿宋_GBK" w:eastAsia="方正仿宋_GBK" w:cs="方正仿宋_GBK"/>
          <w:kern w:val="0"/>
          <w:sz w:val="32"/>
          <w:szCs w:val="32"/>
        </w:rPr>
        <w:t>承办县卫生健康委员会交办的其他工作。</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sz w:val="32"/>
          <w:szCs w:val="32"/>
        </w:rPr>
        <w:t>（二）机构设置</w:t>
      </w:r>
    </w:p>
    <w:p>
      <w:pPr>
        <w:keepNext w:val="0"/>
        <w:keepLines w:val="0"/>
        <w:pageBreakBefore w:val="0"/>
        <w:widowControl/>
        <w:kinsoku/>
        <w:wordWrap/>
        <w:overflowPunct/>
        <w:topLinePunct w:val="0"/>
        <w:autoSpaceDE/>
        <w:autoSpaceDN/>
        <w:bidi w:val="0"/>
        <w:adjustRightInd/>
        <w:snapToGrid/>
        <w:spacing w:beforeAutospacing="0" w:afterAutospacing="0" w:line="600" w:lineRule="atLeast"/>
        <w:ind w:firstLine="640" w:firstLineChars="200"/>
        <w:textAlignment w:val="auto"/>
        <w:rPr>
          <w:rFonts w:hint="eastAsia" w:ascii="方正仿宋_GBK" w:hAnsi="宋体" w:eastAsia="方正仿宋_GBK" w:cs="宋体"/>
          <w:kern w:val="0"/>
          <w:sz w:val="32"/>
          <w:szCs w:val="32"/>
          <w:lang w:eastAsia="zh-CN"/>
        </w:rPr>
      </w:pPr>
      <w:r>
        <w:rPr>
          <w:rFonts w:hint="eastAsia" w:ascii="方正仿宋_GBK" w:hAnsi="宋体" w:eastAsia="方正仿宋_GBK" w:cs="宋体"/>
          <w:kern w:val="0"/>
          <w:sz w:val="32"/>
          <w:szCs w:val="32"/>
        </w:rPr>
        <w:t>龙潭乡卫生院位于龙潭乡街上，属于公益一类医疗事业单位，单位建筑面积为840平方米，单位编制人数为7人，在职在编人数为</w:t>
      </w:r>
      <w:r>
        <w:rPr>
          <w:rFonts w:hint="eastAsia" w:ascii="方正仿宋_GBK" w:eastAsia="方正仿宋_GBK" w:cs="宋体"/>
          <w:kern w:val="0"/>
          <w:sz w:val="32"/>
          <w:szCs w:val="32"/>
          <w:lang w:val="en-US" w:eastAsia="zh-CN"/>
        </w:rPr>
        <w:t>5</w:t>
      </w:r>
      <w:r>
        <w:rPr>
          <w:rFonts w:hint="eastAsia" w:ascii="方正仿宋_GBK" w:hAnsi="宋体" w:eastAsia="方正仿宋_GBK" w:cs="宋体"/>
          <w:kern w:val="0"/>
          <w:sz w:val="32"/>
          <w:szCs w:val="32"/>
        </w:rPr>
        <w:t>人，临时工人数为</w:t>
      </w:r>
      <w:r>
        <w:rPr>
          <w:rFonts w:hint="eastAsia" w:ascii="方正仿宋_GBK" w:eastAsia="方正仿宋_GBK" w:cs="宋体"/>
          <w:kern w:val="0"/>
          <w:sz w:val="32"/>
          <w:szCs w:val="32"/>
          <w:lang w:val="en-US" w:eastAsia="zh-CN"/>
        </w:rPr>
        <w:t>2</w:t>
      </w:r>
      <w:r>
        <w:rPr>
          <w:rFonts w:hint="eastAsia" w:ascii="方正仿宋_GBK" w:hAnsi="宋体" w:eastAsia="方正仿宋_GBK" w:cs="宋体"/>
          <w:kern w:val="0"/>
          <w:sz w:val="32"/>
          <w:szCs w:val="32"/>
        </w:rPr>
        <w:t>人</w:t>
      </w:r>
      <w:r>
        <w:rPr>
          <w:rFonts w:hint="eastAsia" w:ascii="方正仿宋_GBK" w:eastAsia="方正仿宋_GBK" w:cs="宋体"/>
          <w:kern w:val="0"/>
          <w:sz w:val="32"/>
          <w:szCs w:val="32"/>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sz w:val="32"/>
          <w:szCs w:val="32"/>
        </w:rPr>
        <w:t>（三）单位构成</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color w:val="auto"/>
        </w:rPr>
      </w:pPr>
      <w:r>
        <w:rPr>
          <w:rFonts w:hint="eastAsia" w:ascii="方正仿宋_GBK" w:hAnsi="方正仿宋_GBK" w:eastAsia="方正仿宋_GBK" w:cs="方正仿宋_GBK"/>
          <w:color w:val="auto"/>
          <w:sz w:val="32"/>
          <w:szCs w:val="32"/>
        </w:rPr>
        <w:t>从预算单位构成看，</w:t>
      </w:r>
      <w:r>
        <w:rPr>
          <w:rFonts w:hint="eastAsia" w:ascii="方正仿宋_GBK" w:hAnsi="方正仿宋_GBK" w:eastAsia="方正仿宋_GBK" w:cs="方正仿宋_GBK"/>
          <w:color w:val="auto"/>
          <w:sz w:val="32"/>
          <w:szCs w:val="32"/>
          <w:lang w:val="en-US" w:eastAsia="zh-CN"/>
        </w:rPr>
        <w:t>该卫生院下设门诊、住院部、护理部、办公室等科室</w:t>
      </w:r>
      <w:r>
        <w:rPr>
          <w:rFonts w:hint="eastAsia" w:ascii="方正仿宋_GBK" w:hAnsi="方正仿宋_GBK" w:eastAsia="方正仿宋_GBK" w:cs="方正仿宋_GBK"/>
          <w:color w:val="auto"/>
          <w:sz w:val="32"/>
          <w:szCs w:val="32"/>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黑体_GBK" w:hAnsi="方正黑体_GBK" w:eastAsia="方正黑体_GBK" w:cs="方正黑体_GBK"/>
          <w:sz w:val="32"/>
          <w:szCs w:val="32"/>
        </w:rPr>
      </w:pPr>
      <w:r>
        <w:rPr>
          <w:rStyle w:val="7"/>
          <w:rFonts w:hint="eastAsia" w:ascii="方正黑体_GBK" w:hAnsi="方正黑体_GBK" w:eastAsia="方正黑体_GBK" w:cs="方正黑体_GBK"/>
          <w:sz w:val="32"/>
          <w:szCs w:val="32"/>
        </w:rPr>
        <w:t>二、</w:t>
      </w:r>
      <w:r>
        <w:rPr>
          <w:rStyle w:val="7"/>
          <w:rFonts w:hint="eastAsia" w:ascii="方正黑体_GBK" w:hAnsi="方正黑体_GBK" w:eastAsia="方正黑体_GBK" w:cs="方正黑体_GBK"/>
          <w:sz w:val="32"/>
          <w:szCs w:val="32"/>
          <w:lang w:eastAsia="zh-CN"/>
        </w:rPr>
        <w:t>单位</w:t>
      </w:r>
      <w:r>
        <w:rPr>
          <w:rStyle w:val="7"/>
          <w:rFonts w:hint="eastAsia" w:ascii="方正黑体_GBK" w:hAnsi="方正黑体_GBK" w:eastAsia="方正黑体_GBK" w:cs="方正黑体_GBK"/>
          <w:sz w:val="32"/>
          <w:szCs w:val="32"/>
        </w:rPr>
        <w:t>决算情况说明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sz w:val="32"/>
          <w:szCs w:val="32"/>
        </w:rPr>
        <w:t>（一）收入支出决算总体情况说明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color w:val="FF0000"/>
          <w:sz w:val="32"/>
          <w:szCs w:val="32"/>
          <w:lang w:val="en-US" w:eastAsia="zh-CN"/>
        </w:rPr>
      </w:pPr>
      <w:r>
        <w:rPr>
          <w:rStyle w:val="7"/>
          <w:rFonts w:hint="eastAsia" w:ascii="方正仿宋_GBK" w:hAnsi="方正仿宋_GBK" w:eastAsia="方正仿宋_GBK" w:cs="方正仿宋_GBK"/>
          <w:sz w:val="32"/>
          <w:szCs w:val="32"/>
        </w:rPr>
        <w:t>1.总体情况。</w:t>
      </w:r>
      <w:r>
        <w:rPr>
          <w:rFonts w:hint="eastAsia" w:ascii="方正仿宋_GBK" w:hAnsi="方正仿宋_GBK" w:eastAsia="方正仿宋_GBK" w:cs="方正仿宋_GBK"/>
          <w:sz w:val="32"/>
          <w:szCs w:val="32"/>
        </w:rPr>
        <w:t>2021年度收入总计150.75万元，支出总计150.75万元。收支较上年决算数减少25.39万元、下降14.4%，主要原因是</w:t>
      </w:r>
      <w:r>
        <w:rPr>
          <w:rFonts w:hint="eastAsia" w:ascii="方正仿宋_GBK" w:hAnsi="方正仿宋_GBK" w:eastAsia="方正仿宋_GBK" w:cs="方正仿宋_GBK"/>
          <w:color w:val="auto"/>
          <w:sz w:val="32"/>
          <w:szCs w:val="32"/>
          <w:lang w:val="en-US" w:eastAsia="zh-CN"/>
        </w:rPr>
        <w:t>财政拨款减少。</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rPr>
        <w:t>2.收入情况。</w:t>
      </w:r>
      <w:r>
        <w:rPr>
          <w:rFonts w:hint="eastAsia" w:ascii="方正仿宋_GBK" w:hAnsi="方正仿宋_GBK" w:eastAsia="方正仿宋_GBK" w:cs="方正仿宋_GBK"/>
          <w:sz w:val="32"/>
          <w:szCs w:val="32"/>
        </w:rPr>
        <w:t>2021年度收入合计139.80万元，较上年决算数减少36.34万元，下降20.6%，主要原因是</w:t>
      </w:r>
      <w:r>
        <w:rPr>
          <w:rFonts w:hint="eastAsia" w:ascii="方正仿宋_GBK" w:hAnsi="方正仿宋_GBK" w:eastAsia="方正仿宋_GBK" w:cs="方正仿宋_GBK"/>
          <w:color w:val="auto"/>
          <w:sz w:val="32"/>
          <w:szCs w:val="32"/>
          <w:lang w:val="en-US" w:eastAsia="zh-CN"/>
        </w:rPr>
        <w:t>财政拨款减少。</w:t>
      </w:r>
      <w:r>
        <w:rPr>
          <w:rFonts w:hint="eastAsia" w:ascii="方正仿宋_GBK" w:hAnsi="方正仿宋_GBK" w:eastAsia="方正仿宋_GBK" w:cs="方正仿宋_GBK"/>
          <w:sz w:val="32"/>
          <w:szCs w:val="32"/>
        </w:rPr>
        <w:t>其中：财政拨款收入79.28万元，占56.7%；事业收入60.51万元，占43.3%</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此外，使用非财政拨款结余10.95万元，年初结转和结余0.00万元。</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rPr>
        <w:t>3.支出情况。</w:t>
      </w:r>
      <w:r>
        <w:rPr>
          <w:rFonts w:hint="eastAsia" w:ascii="方正仿宋_GBK" w:hAnsi="方正仿宋_GBK" w:eastAsia="方正仿宋_GBK" w:cs="方正仿宋_GBK"/>
          <w:sz w:val="32"/>
          <w:szCs w:val="32"/>
        </w:rPr>
        <w:t>2021年度支出合计150.75万元，较上年决算数减少6.29万元，下降4%，主要原因是</w:t>
      </w:r>
      <w:r>
        <w:rPr>
          <w:rFonts w:hint="eastAsia" w:ascii="方正仿宋_GBK" w:hAnsi="方正仿宋_GBK" w:eastAsia="方正仿宋_GBK" w:cs="方正仿宋_GBK"/>
          <w:color w:val="auto"/>
          <w:sz w:val="32"/>
          <w:szCs w:val="32"/>
          <w:lang w:val="en-US" w:eastAsia="zh-CN"/>
        </w:rPr>
        <w:t>收入减少导致相对应的支出减少。</w:t>
      </w:r>
      <w:r>
        <w:rPr>
          <w:rFonts w:hint="eastAsia" w:ascii="方正仿宋_GBK" w:hAnsi="方正仿宋_GBK" w:eastAsia="方正仿宋_GBK" w:cs="方正仿宋_GBK"/>
          <w:sz w:val="32"/>
          <w:szCs w:val="32"/>
        </w:rPr>
        <w:t>其中：基本支出140.10万元，占92.9%；项目支出10.64万元，占7.1%。</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lang w:eastAsia="zh-CN"/>
        </w:rPr>
      </w:pPr>
      <w:r>
        <w:rPr>
          <w:rStyle w:val="7"/>
          <w:rFonts w:hint="eastAsia" w:ascii="方正仿宋_GBK" w:hAnsi="方正仿宋_GBK" w:eastAsia="方正仿宋_GBK" w:cs="方正仿宋_GBK"/>
          <w:sz w:val="32"/>
          <w:szCs w:val="32"/>
        </w:rPr>
        <w:t>4.结转结余情况。</w:t>
      </w:r>
      <w:r>
        <w:rPr>
          <w:rFonts w:hint="eastAsia" w:ascii="方正仿宋_GBK" w:hAnsi="方正仿宋_GBK" w:eastAsia="方正仿宋_GBK" w:cs="方正仿宋_GBK"/>
          <w:sz w:val="32"/>
          <w:szCs w:val="32"/>
        </w:rPr>
        <w:t>2021年度年末结转和结余0.00万元</w:t>
      </w:r>
      <w:r>
        <w:rPr>
          <w:rFonts w:hint="eastAsia" w:ascii="方正仿宋_GBK" w:hAnsi="方正仿宋_GBK" w:eastAsia="方正仿宋_GBK" w:cs="方正仿宋_GBK"/>
          <w:sz w:val="32"/>
          <w:szCs w:val="32"/>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sz w:val="32"/>
          <w:szCs w:val="32"/>
        </w:rPr>
        <w:t>（二）财政拨款收入支出决算总体情况说明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2021年度财政拨款收、支总计79.28万元。与2020年相比，财政拨款收、支总计各减少35.47万元，下降30.9%。主要原因是</w:t>
      </w:r>
      <w:r>
        <w:rPr>
          <w:rFonts w:hint="eastAsia" w:ascii="方正仿宋_GBK" w:hAnsi="方正仿宋_GBK" w:eastAsia="方正仿宋_GBK" w:cs="方正仿宋_GBK"/>
          <w:sz w:val="32"/>
          <w:szCs w:val="32"/>
          <w:lang w:val="en-US" w:eastAsia="zh-CN"/>
        </w:rPr>
        <w:t>本年度财政拨款项目建设资金减少。</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sz w:val="32"/>
          <w:szCs w:val="32"/>
        </w:rPr>
        <w:t>（三）一般公共预算财政拨款收入支出决算情况说明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rPr>
        <w:t>1.收入情况。</w:t>
      </w:r>
      <w:r>
        <w:rPr>
          <w:rFonts w:hint="eastAsia" w:ascii="方正仿宋_GBK" w:hAnsi="方正仿宋_GBK" w:eastAsia="方正仿宋_GBK" w:cs="方正仿宋_GBK"/>
          <w:sz w:val="32"/>
          <w:szCs w:val="32"/>
        </w:rPr>
        <w:t>2021年度一般公共预算财政拨款收入79.28万元，较上年决算数减少33.57万元，下降29.7%。主要原因是</w:t>
      </w:r>
      <w:r>
        <w:rPr>
          <w:rFonts w:hint="eastAsia" w:ascii="方正仿宋_GBK" w:hAnsi="方正仿宋_GBK" w:eastAsia="方正仿宋_GBK" w:cs="方正仿宋_GBK"/>
          <w:sz w:val="32"/>
          <w:szCs w:val="32"/>
          <w:lang w:val="en-US" w:eastAsia="zh-CN"/>
        </w:rPr>
        <w:t>本年度财政拨款项目建设资金减少。</w:t>
      </w:r>
      <w:r>
        <w:rPr>
          <w:rFonts w:hint="eastAsia" w:ascii="方正仿宋_GBK" w:hAnsi="方正仿宋_GBK" w:eastAsia="方正仿宋_GBK" w:cs="方正仿宋_GBK"/>
          <w:sz w:val="32"/>
          <w:szCs w:val="32"/>
        </w:rPr>
        <w:t>较年初预算数增加36.58万元，增长85.7%。主要原因是</w:t>
      </w:r>
      <w:r>
        <w:rPr>
          <w:rFonts w:hint="eastAsia" w:ascii="方正仿宋_GBK" w:hAnsi="方正仿宋_GBK" w:eastAsia="方正仿宋_GBK" w:cs="方正仿宋_GBK"/>
          <w:color w:val="auto"/>
          <w:sz w:val="32"/>
          <w:szCs w:val="32"/>
          <w:lang w:val="en-US" w:eastAsia="zh-CN"/>
        </w:rPr>
        <w:t>年初在进行预算时并未将发热门诊等项目编入预算，以及未将市级拨款等不可预估类特殊项目纳入预算。</w:t>
      </w:r>
      <w:r>
        <w:rPr>
          <w:rFonts w:hint="eastAsia" w:ascii="方正仿宋_GBK" w:hAnsi="方正仿宋_GBK" w:eastAsia="方正仿宋_GBK" w:cs="方正仿宋_GBK"/>
          <w:sz w:val="32"/>
          <w:szCs w:val="32"/>
        </w:rPr>
        <w:t>此外，年初财政拨款结转和结余0.00万元。</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color w:val="auto"/>
          <w:sz w:val="32"/>
          <w:szCs w:val="32"/>
          <w:lang w:val="en-US" w:eastAsia="zh-CN"/>
        </w:rPr>
      </w:pPr>
      <w:r>
        <w:rPr>
          <w:rStyle w:val="7"/>
          <w:rFonts w:hint="eastAsia" w:ascii="方正仿宋_GBK" w:hAnsi="方正仿宋_GBK" w:eastAsia="方正仿宋_GBK" w:cs="方正仿宋_GBK"/>
          <w:sz w:val="32"/>
          <w:szCs w:val="32"/>
        </w:rPr>
        <w:t>2.支出情况。</w:t>
      </w:r>
      <w:r>
        <w:rPr>
          <w:rFonts w:hint="eastAsia" w:ascii="方正仿宋_GBK" w:hAnsi="方正仿宋_GBK" w:eastAsia="方正仿宋_GBK" w:cs="方正仿宋_GBK"/>
          <w:sz w:val="32"/>
          <w:szCs w:val="32"/>
        </w:rPr>
        <w:t>2021年度一般公共预算财政拨款支出79.28万元，较上年决算数减少33.57万元，下降29.7%。主要原因是</w:t>
      </w:r>
      <w:r>
        <w:rPr>
          <w:rFonts w:hint="eastAsia" w:ascii="方正仿宋_GBK" w:hAnsi="方正仿宋_GBK" w:eastAsia="方正仿宋_GBK" w:cs="方正仿宋_GBK"/>
          <w:color w:val="auto"/>
          <w:sz w:val="32"/>
          <w:szCs w:val="32"/>
          <w:lang w:val="en-US" w:eastAsia="zh-CN"/>
        </w:rPr>
        <w:t>财政拨款收入减少，导致对应的支出就减少。</w:t>
      </w:r>
      <w:r>
        <w:rPr>
          <w:rFonts w:hint="eastAsia" w:ascii="方正仿宋_GBK" w:hAnsi="方正仿宋_GBK" w:eastAsia="方正仿宋_GBK" w:cs="方正仿宋_GBK"/>
          <w:sz w:val="32"/>
          <w:szCs w:val="32"/>
        </w:rPr>
        <w:t>较年初预算数增加36.58万元，增长85.7%。主要原因是</w:t>
      </w:r>
      <w:r>
        <w:rPr>
          <w:rFonts w:hint="eastAsia" w:ascii="方正仿宋_GBK" w:hAnsi="方正仿宋_GBK" w:eastAsia="方正仿宋_GBK" w:cs="方正仿宋_GBK"/>
          <w:color w:val="auto"/>
          <w:sz w:val="32"/>
          <w:szCs w:val="32"/>
          <w:lang w:val="en-US" w:eastAsia="zh-CN"/>
        </w:rPr>
        <w:t>年初在进行预算时并未将发热门诊等项目编入预算，以及未将市级拨款等不可预估类特殊项目纳入预算。</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lang w:eastAsia="zh-CN"/>
        </w:rPr>
      </w:pPr>
      <w:r>
        <w:rPr>
          <w:rStyle w:val="7"/>
          <w:rFonts w:hint="eastAsia" w:ascii="方正仿宋_GBK" w:hAnsi="方正仿宋_GBK" w:eastAsia="方正仿宋_GBK" w:cs="方正仿宋_GBK"/>
          <w:sz w:val="32"/>
          <w:szCs w:val="32"/>
        </w:rPr>
        <w:t>3.结转结余情况。</w:t>
      </w:r>
      <w:r>
        <w:rPr>
          <w:rFonts w:hint="eastAsia" w:ascii="方正仿宋_GBK" w:hAnsi="方正仿宋_GBK" w:eastAsia="方正仿宋_GBK" w:cs="方正仿宋_GBK"/>
          <w:sz w:val="32"/>
          <w:szCs w:val="32"/>
        </w:rPr>
        <w:t>2021年度年末一般公共预算财政拨款结转和结余0.00万元</w:t>
      </w:r>
      <w:r>
        <w:rPr>
          <w:rFonts w:hint="eastAsia" w:ascii="方正仿宋_GBK" w:hAnsi="方正仿宋_GBK" w:eastAsia="方正仿宋_GBK" w:cs="方正仿宋_GBK"/>
          <w:sz w:val="32"/>
          <w:szCs w:val="32"/>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rPr>
        <w:t>4.比较情况。</w:t>
      </w:r>
      <w:r>
        <w:rPr>
          <w:rFonts w:hint="eastAsia" w:ascii="方正仿宋_GBK" w:hAnsi="方正仿宋_GBK" w:eastAsia="方正仿宋_GBK" w:cs="方正仿宋_GBK"/>
          <w:sz w:val="32"/>
          <w:szCs w:val="32"/>
        </w:rPr>
        <w:t>本</w:t>
      </w:r>
      <w:r>
        <w:rPr>
          <w:rFonts w:hint="eastAsia" w:ascii="方正仿宋_GBK" w:hAnsi="方正仿宋_GBK" w:eastAsia="方正仿宋_GBK" w:cs="方正仿宋_GBK"/>
          <w:sz w:val="32"/>
          <w:szCs w:val="32"/>
          <w:lang w:eastAsia="zh-CN"/>
        </w:rPr>
        <w:t>单位</w:t>
      </w:r>
      <w:r>
        <w:rPr>
          <w:rFonts w:hint="eastAsia" w:ascii="方正仿宋_GBK" w:hAnsi="方正仿宋_GBK" w:eastAsia="方正仿宋_GBK" w:cs="方正仿宋_GBK"/>
          <w:sz w:val="32"/>
          <w:szCs w:val="32"/>
        </w:rPr>
        <w:t>2021年度一般公共预算财政拨款支出主要用于以下几个方面：</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Fonts w:hint="eastAsia" w:ascii="方正仿宋_GBK" w:hAnsi="方正仿宋_GBK" w:eastAsia="方正仿宋_GBK" w:cs="方正仿宋_GBK"/>
          <w:sz w:val="32"/>
          <w:szCs w:val="32"/>
          <w:shd w:val="clear" w:color="auto" w:fill="auto"/>
          <w:lang w:val="en-US" w:eastAsia="zh-CN"/>
        </w:rPr>
      </w:pPr>
      <w:r>
        <w:rPr>
          <w:rFonts w:hint="eastAsia" w:ascii="方正仿宋_GBK" w:hAnsi="方正仿宋_GBK" w:eastAsia="方正仿宋_GBK" w:cs="方正仿宋_GBK"/>
          <w:sz w:val="32"/>
          <w:szCs w:val="32"/>
          <w:shd w:val="clear" w:color="auto" w:fill="auto"/>
        </w:rPr>
        <w:t>（</w:t>
      </w:r>
      <w:r>
        <w:rPr>
          <w:rFonts w:hint="eastAsia" w:ascii="方正仿宋_GBK" w:hAnsi="方正仿宋_GBK" w:eastAsia="方正仿宋_GBK" w:cs="方正仿宋_GBK"/>
          <w:sz w:val="32"/>
          <w:szCs w:val="32"/>
          <w:shd w:val="clear" w:color="auto" w:fill="auto"/>
          <w:lang w:val="en-US" w:eastAsia="zh-CN"/>
        </w:rPr>
        <w:t>1</w:t>
      </w:r>
      <w:r>
        <w:rPr>
          <w:rFonts w:hint="eastAsia" w:ascii="方正仿宋_GBK" w:hAnsi="方正仿宋_GBK" w:eastAsia="方正仿宋_GBK" w:cs="方正仿宋_GBK"/>
          <w:sz w:val="32"/>
          <w:szCs w:val="32"/>
          <w:shd w:val="clear" w:color="auto" w:fill="auto"/>
        </w:rPr>
        <w:t>）社会保障与就业支出6.70万元，占8.5%，较年初预算数增加6.70万元，增长</w:t>
      </w:r>
      <w:r>
        <w:rPr>
          <w:rFonts w:hint="eastAsia" w:ascii="方正仿宋_GBK" w:hAnsi="方正仿宋_GBK" w:eastAsia="方正仿宋_GBK" w:cs="方正仿宋_GBK"/>
          <w:sz w:val="32"/>
          <w:szCs w:val="32"/>
          <w:shd w:val="clear" w:color="auto" w:fill="auto"/>
          <w:lang w:val="en-US" w:eastAsia="zh-CN"/>
        </w:rPr>
        <w:t>100</w:t>
      </w:r>
      <w:r>
        <w:rPr>
          <w:rFonts w:hint="eastAsia" w:ascii="方正仿宋_GBK" w:hAnsi="方正仿宋_GBK" w:eastAsia="方正仿宋_GBK" w:cs="方正仿宋_GBK"/>
          <w:sz w:val="32"/>
          <w:szCs w:val="32"/>
          <w:shd w:val="clear" w:color="auto" w:fill="auto"/>
        </w:rPr>
        <w:t>%，主要原因是</w:t>
      </w:r>
      <w:r>
        <w:rPr>
          <w:rFonts w:hint="eastAsia" w:ascii="方正仿宋_GBK" w:hAnsi="方正仿宋_GBK" w:eastAsia="方正仿宋_GBK" w:cs="方正仿宋_GBK"/>
          <w:sz w:val="32"/>
          <w:szCs w:val="32"/>
          <w:shd w:val="clear" w:color="auto" w:fill="auto"/>
          <w:lang w:val="en-US" w:eastAsia="zh-CN"/>
        </w:rPr>
        <w:t>预算系统、决算系统对“社会保障与就业支出”的核算不一样。</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Fonts w:hint="default" w:ascii="方正仿宋_GBK" w:hAnsi="方正仿宋_GBK" w:eastAsia="方正仿宋_GBK" w:cs="方正仿宋_GBK"/>
          <w:sz w:val="32"/>
          <w:szCs w:val="32"/>
          <w:shd w:val="clear" w:color="auto" w:fill="auto"/>
          <w:lang w:val="en-US" w:eastAsia="zh-CN"/>
        </w:rPr>
      </w:pPr>
      <w:r>
        <w:rPr>
          <w:rFonts w:hint="eastAsia" w:ascii="方正仿宋_GBK" w:hAnsi="方正仿宋_GBK" w:eastAsia="方正仿宋_GBK" w:cs="方正仿宋_GBK"/>
          <w:sz w:val="32"/>
          <w:szCs w:val="32"/>
          <w:shd w:val="clear" w:color="auto" w:fill="auto"/>
        </w:rPr>
        <w:t>（</w:t>
      </w:r>
      <w:r>
        <w:rPr>
          <w:rFonts w:hint="eastAsia" w:ascii="方正仿宋_GBK" w:hAnsi="方正仿宋_GBK" w:eastAsia="方正仿宋_GBK" w:cs="方正仿宋_GBK"/>
          <w:sz w:val="32"/>
          <w:szCs w:val="32"/>
          <w:shd w:val="clear" w:color="auto" w:fill="auto"/>
          <w:lang w:val="en-US" w:eastAsia="zh-CN"/>
        </w:rPr>
        <w:t>2</w:t>
      </w:r>
      <w:r>
        <w:rPr>
          <w:rFonts w:hint="eastAsia" w:ascii="方正仿宋_GBK" w:hAnsi="方正仿宋_GBK" w:eastAsia="方正仿宋_GBK" w:cs="方正仿宋_GBK"/>
          <w:sz w:val="32"/>
          <w:szCs w:val="32"/>
          <w:shd w:val="clear" w:color="auto" w:fill="auto"/>
        </w:rPr>
        <w:t>）卫生健康支出71.54万元，占90.2%，较年初预算数增加28.84万元，增长67.5%，主要原因是</w:t>
      </w:r>
      <w:r>
        <w:rPr>
          <w:rFonts w:hint="eastAsia" w:ascii="方正仿宋_GBK" w:hAnsi="方正仿宋_GBK" w:eastAsia="方正仿宋_GBK" w:cs="方正仿宋_GBK"/>
          <w:sz w:val="32"/>
          <w:szCs w:val="32"/>
          <w:shd w:val="clear" w:color="auto" w:fill="auto"/>
          <w:lang w:val="en-US" w:eastAsia="zh-CN"/>
        </w:rPr>
        <w:t>本年度事业收入较上一年有所增加，对应的支出也增加，而年初预算是根据上一年度的收支进行预算的，所以决算支出比年初预算增加。</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Fonts w:hint="eastAsia" w:ascii="方正仿宋_GBK" w:hAnsi="方正仿宋_GBK" w:eastAsia="方正仿宋_GBK" w:cs="方正仿宋_GBK"/>
          <w:sz w:val="32"/>
          <w:szCs w:val="32"/>
          <w:shd w:val="clear" w:color="auto" w:fill="auto"/>
          <w:lang w:val="en-US" w:eastAsia="zh-CN"/>
        </w:rPr>
      </w:pPr>
      <w:r>
        <w:rPr>
          <w:rFonts w:hint="eastAsia" w:ascii="方正仿宋_GBK" w:hAnsi="方正仿宋_GBK" w:eastAsia="方正仿宋_GBK" w:cs="方正仿宋_GBK"/>
          <w:sz w:val="32"/>
          <w:szCs w:val="32"/>
          <w:shd w:val="clear" w:color="auto" w:fill="auto"/>
        </w:rPr>
        <w:t>（</w:t>
      </w:r>
      <w:r>
        <w:rPr>
          <w:rFonts w:hint="eastAsia" w:ascii="方正仿宋_GBK" w:hAnsi="方正仿宋_GBK" w:eastAsia="方正仿宋_GBK" w:cs="方正仿宋_GBK"/>
          <w:sz w:val="32"/>
          <w:szCs w:val="32"/>
          <w:shd w:val="clear" w:color="auto" w:fill="auto"/>
          <w:lang w:val="en-US" w:eastAsia="zh-CN"/>
        </w:rPr>
        <w:t>3</w:t>
      </w:r>
      <w:r>
        <w:rPr>
          <w:rFonts w:hint="eastAsia" w:ascii="方正仿宋_GBK" w:hAnsi="方正仿宋_GBK" w:eastAsia="方正仿宋_GBK" w:cs="方正仿宋_GBK"/>
          <w:sz w:val="32"/>
          <w:szCs w:val="32"/>
          <w:shd w:val="clear" w:color="auto" w:fill="auto"/>
        </w:rPr>
        <w:t>）农林水支出1.04万元，占1.3%，较年初预算数增加1.04万元，增长</w:t>
      </w:r>
      <w:r>
        <w:rPr>
          <w:rFonts w:hint="eastAsia" w:ascii="方正仿宋_GBK" w:hAnsi="方正仿宋_GBK" w:eastAsia="方正仿宋_GBK" w:cs="方正仿宋_GBK"/>
          <w:sz w:val="32"/>
          <w:szCs w:val="32"/>
          <w:shd w:val="clear" w:color="auto" w:fill="auto"/>
          <w:lang w:val="en-US" w:eastAsia="zh-CN"/>
        </w:rPr>
        <w:t>100</w:t>
      </w:r>
      <w:r>
        <w:rPr>
          <w:rFonts w:hint="eastAsia" w:ascii="方正仿宋_GBK" w:hAnsi="方正仿宋_GBK" w:eastAsia="方正仿宋_GBK" w:cs="方正仿宋_GBK"/>
          <w:sz w:val="32"/>
          <w:szCs w:val="32"/>
          <w:shd w:val="clear" w:color="auto" w:fill="auto"/>
        </w:rPr>
        <w:t>%，主要原因是</w:t>
      </w:r>
      <w:r>
        <w:rPr>
          <w:rFonts w:hint="eastAsia" w:ascii="方正仿宋_GBK" w:hAnsi="方正仿宋_GBK" w:eastAsia="方正仿宋_GBK" w:cs="方正仿宋_GBK"/>
          <w:sz w:val="32"/>
          <w:szCs w:val="32"/>
          <w:shd w:val="clear" w:color="auto" w:fill="auto"/>
          <w:lang w:val="en-US" w:eastAsia="zh-CN"/>
        </w:rPr>
        <w:t>本年度的</w:t>
      </w:r>
      <w:bookmarkStart w:id="0" w:name="_GoBack"/>
      <w:bookmarkEnd w:id="0"/>
      <w:r>
        <w:rPr>
          <w:rFonts w:hint="eastAsia" w:ascii="方正仿宋_GBK" w:hAnsi="方正仿宋_GBK" w:eastAsia="方正仿宋_GBK" w:cs="方正仿宋_GBK"/>
          <w:sz w:val="32"/>
          <w:szCs w:val="32"/>
          <w:shd w:val="clear" w:color="auto" w:fill="auto"/>
          <w:lang w:val="en-US" w:eastAsia="zh-CN"/>
        </w:rPr>
        <w:t>“三支一扶”人员相关的收支均通过“高校毕业生到基层任职补助”项目来进行核算。</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sz w:val="32"/>
          <w:szCs w:val="32"/>
        </w:rPr>
        <w:t>（四）一般公共预算财政拨款基本支出决算情况说明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2021年度一般公共财政拨款基本支出68.64万元。其中：人员经费56.77万元，较上年决算数减少10.93万元，下降16.1%，主要原因是</w:t>
      </w:r>
      <w:r>
        <w:rPr>
          <w:rFonts w:hint="eastAsia" w:ascii="方正仿宋_GBK" w:hAnsi="方正仿宋_GBK" w:eastAsia="方正仿宋_GBK" w:cs="方正仿宋_GBK"/>
          <w:color w:val="auto"/>
          <w:sz w:val="32"/>
          <w:szCs w:val="32"/>
          <w:lang w:val="en-US" w:eastAsia="zh-CN"/>
        </w:rPr>
        <w:t>财政拨款减少。</w:t>
      </w:r>
      <w:r>
        <w:rPr>
          <w:rFonts w:hint="eastAsia" w:ascii="方正仿宋_GBK" w:hAnsi="方正仿宋_GBK" w:eastAsia="方正仿宋_GBK" w:cs="方正仿宋_GBK"/>
          <w:sz w:val="32"/>
          <w:szCs w:val="32"/>
        </w:rPr>
        <w:t>人员经费用途主要包括</w:t>
      </w:r>
      <w:r>
        <w:rPr>
          <w:rFonts w:hint="eastAsia" w:ascii="方正仿宋_GBK" w:hAnsi="方正仿宋_GBK" w:eastAsia="方正仿宋_GBK" w:cs="方正仿宋_GBK"/>
          <w:b w:val="0"/>
          <w:bCs w:val="0"/>
          <w:color w:val="auto"/>
          <w:sz w:val="32"/>
          <w:szCs w:val="32"/>
          <w:lang w:val="en-US" w:eastAsia="zh-CN"/>
        </w:rPr>
        <w:t>基本工资、基础绩效、五险二金的发放。</w:t>
      </w:r>
      <w:r>
        <w:rPr>
          <w:rFonts w:hint="eastAsia" w:ascii="方正仿宋_GBK" w:hAnsi="方正仿宋_GBK" w:eastAsia="方正仿宋_GBK" w:cs="方正仿宋_GBK"/>
          <w:sz w:val="32"/>
          <w:szCs w:val="32"/>
        </w:rPr>
        <w:t>公用经费11.87万元，较上年决算数减少1.54万元，下降11.5%，主要原因是</w:t>
      </w:r>
      <w:r>
        <w:rPr>
          <w:rFonts w:hint="eastAsia" w:ascii="方正仿宋_GBK" w:hAnsi="方正仿宋_GBK" w:eastAsia="方正仿宋_GBK" w:cs="方正仿宋_GBK"/>
          <w:color w:val="auto"/>
          <w:sz w:val="32"/>
          <w:szCs w:val="32"/>
          <w:shd w:val="clear" w:color="auto" w:fill="auto"/>
          <w:lang w:val="en-US" w:eastAsia="zh-CN"/>
        </w:rPr>
        <w:t>财政实际拨款资金与当前年度实际报账的财政资金存在一定差额，该差额较上年有所缩小，故调账至公用经费的金额减少。</w:t>
      </w:r>
      <w:r>
        <w:rPr>
          <w:rFonts w:hint="eastAsia" w:ascii="方正仿宋_GBK" w:hAnsi="方正仿宋_GBK" w:eastAsia="方正仿宋_GBK" w:cs="方正仿宋_GBK"/>
          <w:color w:val="auto"/>
          <w:sz w:val="32"/>
          <w:szCs w:val="32"/>
          <w:shd w:val="clear" w:color="auto" w:fill="auto"/>
        </w:rPr>
        <w:t>公用经费用途主要包括</w:t>
      </w:r>
      <w:r>
        <w:rPr>
          <w:rFonts w:hint="eastAsia" w:ascii="方正仿宋_GBK" w:hAnsi="方正仿宋_GBK" w:eastAsia="方正仿宋_GBK" w:cs="方正仿宋_GBK"/>
          <w:color w:val="auto"/>
          <w:sz w:val="32"/>
          <w:szCs w:val="32"/>
          <w:shd w:val="clear" w:color="auto" w:fill="auto"/>
          <w:lang w:val="en-US" w:eastAsia="zh-CN"/>
        </w:rPr>
        <w:t>支付劳务费等。</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sz w:val="32"/>
          <w:szCs w:val="32"/>
        </w:rPr>
        <w:t>（五）政府性基金预算收支决算情况说明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b w:val="0"/>
          <w:bCs w:val="0"/>
          <w:sz w:val="32"/>
          <w:szCs w:val="32"/>
          <w:shd w:val="clear" w:color="auto" w:fill="auto"/>
        </w:rPr>
        <w:t>本</w:t>
      </w:r>
      <w:r>
        <w:rPr>
          <w:rStyle w:val="7"/>
          <w:rFonts w:hint="eastAsia" w:ascii="方正仿宋_GBK" w:hAnsi="方正仿宋_GBK" w:eastAsia="方正仿宋_GBK" w:cs="方正仿宋_GBK"/>
          <w:b w:val="0"/>
          <w:bCs w:val="0"/>
          <w:sz w:val="32"/>
          <w:szCs w:val="32"/>
          <w:shd w:val="clear" w:color="auto" w:fill="auto"/>
          <w:lang w:val="en-US" w:eastAsia="zh-CN"/>
        </w:rPr>
        <w:t>单位</w:t>
      </w:r>
      <w:r>
        <w:rPr>
          <w:rStyle w:val="7"/>
          <w:rFonts w:hint="eastAsia" w:ascii="方正仿宋_GBK" w:hAnsi="方正仿宋_GBK" w:eastAsia="方正仿宋_GBK" w:cs="方正仿宋_GBK"/>
          <w:b w:val="0"/>
          <w:bCs w:val="0"/>
          <w:sz w:val="32"/>
          <w:szCs w:val="32"/>
          <w:shd w:val="clear" w:color="auto" w:fill="auto"/>
        </w:rPr>
        <w:t>2021年度无政府性基金预算财政拨款收支。</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sz w:val="32"/>
          <w:szCs w:val="32"/>
        </w:rPr>
        <w:t>（六）国有资本经营预算财政拨款支出决算情况说明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Fonts w:hint="eastAsia" w:ascii="方正仿宋_GBK" w:hAnsi="方正仿宋_GBK" w:eastAsia="方正仿宋_GBK" w:cs="方正仿宋_GBK"/>
          <w:b w:val="0"/>
          <w:bCs w:val="0"/>
          <w:sz w:val="32"/>
          <w:szCs w:val="32"/>
          <w:shd w:val="clear" w:color="auto" w:fill="auto"/>
        </w:rPr>
      </w:pPr>
      <w:r>
        <w:rPr>
          <w:rStyle w:val="7"/>
          <w:rFonts w:hint="eastAsia" w:ascii="方正仿宋_GBK" w:hAnsi="方正仿宋_GBK" w:eastAsia="方正仿宋_GBK" w:cs="方正仿宋_GBK"/>
          <w:b w:val="0"/>
          <w:bCs w:val="0"/>
          <w:sz w:val="32"/>
          <w:szCs w:val="32"/>
          <w:shd w:val="clear" w:color="auto" w:fill="auto"/>
        </w:rPr>
        <w:t>本</w:t>
      </w:r>
      <w:r>
        <w:rPr>
          <w:rStyle w:val="7"/>
          <w:rFonts w:hint="eastAsia" w:ascii="方正仿宋_GBK" w:hAnsi="方正仿宋_GBK" w:eastAsia="方正仿宋_GBK" w:cs="方正仿宋_GBK"/>
          <w:b w:val="0"/>
          <w:bCs w:val="0"/>
          <w:sz w:val="32"/>
          <w:szCs w:val="32"/>
          <w:shd w:val="clear" w:color="auto" w:fill="auto"/>
          <w:lang w:val="en-US" w:eastAsia="zh-CN"/>
        </w:rPr>
        <w:t>单位</w:t>
      </w:r>
      <w:r>
        <w:rPr>
          <w:rStyle w:val="7"/>
          <w:rFonts w:hint="eastAsia" w:ascii="方正仿宋_GBK" w:hAnsi="方正仿宋_GBK" w:eastAsia="方正仿宋_GBK" w:cs="方正仿宋_GBK"/>
          <w:b w:val="0"/>
          <w:bCs w:val="0"/>
          <w:sz w:val="32"/>
          <w:szCs w:val="32"/>
          <w:shd w:val="clear" w:color="auto" w:fill="auto"/>
        </w:rPr>
        <w:t>2021年度无国有资本经营预算财政拨款支出。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黑体_GBK" w:hAnsi="方正黑体_GBK" w:eastAsia="方正黑体_GBK" w:cs="方正黑体_GBK"/>
          <w:sz w:val="32"/>
          <w:szCs w:val="32"/>
        </w:rPr>
      </w:pPr>
      <w:r>
        <w:rPr>
          <w:rStyle w:val="7"/>
          <w:rFonts w:hint="eastAsia" w:ascii="方正黑体_GBK" w:hAnsi="方正黑体_GBK" w:eastAsia="方正黑体_GBK" w:cs="方正黑体_GBK"/>
          <w:sz w:val="32"/>
          <w:szCs w:val="32"/>
        </w:rPr>
        <w:t>三、“三公”经费情况说明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sz w:val="32"/>
          <w:szCs w:val="32"/>
        </w:rPr>
        <w:t>（一）“三公”经费支出总体情况说明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Style w:val="7"/>
          <w:rFonts w:hint="eastAsia" w:ascii="方正仿宋_GBK" w:hAnsi="方正仿宋_GBK" w:eastAsia="方正仿宋_GBK" w:cs="方正仿宋_GBK"/>
          <w:b w:val="0"/>
          <w:bCs w:val="0"/>
          <w:sz w:val="32"/>
          <w:szCs w:val="32"/>
          <w:shd w:val="clear" w:color="auto" w:fill="auto"/>
        </w:rPr>
      </w:pPr>
      <w:r>
        <w:rPr>
          <w:rStyle w:val="7"/>
          <w:rFonts w:hint="eastAsia" w:ascii="方正仿宋_GBK" w:hAnsi="方正仿宋_GBK" w:eastAsia="方正仿宋_GBK" w:cs="方正仿宋_GBK"/>
          <w:b w:val="0"/>
          <w:bCs w:val="0"/>
          <w:sz w:val="32"/>
          <w:szCs w:val="32"/>
          <w:shd w:val="clear" w:color="auto" w:fill="auto"/>
        </w:rPr>
        <w:t>我单位属于</w:t>
      </w:r>
      <w:r>
        <w:rPr>
          <w:rStyle w:val="7"/>
          <w:rFonts w:hint="eastAsia" w:ascii="方正仿宋_GBK" w:hAnsi="方正仿宋_GBK" w:eastAsia="方正仿宋_GBK" w:cs="方正仿宋_GBK"/>
          <w:b w:val="0"/>
          <w:bCs w:val="0"/>
          <w:sz w:val="32"/>
          <w:szCs w:val="32"/>
          <w:shd w:val="clear" w:color="auto" w:fill="auto"/>
          <w:lang w:val="en-US" w:eastAsia="zh-CN"/>
        </w:rPr>
        <w:t>差额拨款单位</w:t>
      </w:r>
      <w:r>
        <w:rPr>
          <w:rStyle w:val="7"/>
          <w:rFonts w:hint="eastAsia" w:ascii="方正仿宋_GBK" w:hAnsi="方正仿宋_GBK" w:eastAsia="方正仿宋_GBK" w:cs="方正仿宋_GBK"/>
          <w:b w:val="0"/>
          <w:bCs w:val="0"/>
          <w:sz w:val="32"/>
          <w:szCs w:val="32"/>
          <w:shd w:val="clear" w:color="auto" w:fill="auto"/>
        </w:rPr>
        <w:t>，财政未保障我单位“三公”经费。</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sz w:val="32"/>
          <w:szCs w:val="32"/>
        </w:rPr>
        <w:t>（二）“三公”经费分项支出情况</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pPr>
      <w:r>
        <w:rPr>
          <w:rStyle w:val="7"/>
          <w:rFonts w:hint="eastAsia" w:ascii="方正仿宋_GBK" w:hAnsi="方正仿宋_GBK" w:eastAsia="方正仿宋_GBK" w:cs="方正仿宋_GBK"/>
          <w:b w:val="0"/>
          <w:bCs w:val="0"/>
          <w:sz w:val="32"/>
          <w:szCs w:val="32"/>
          <w:shd w:val="clear" w:color="auto" w:fill="auto"/>
        </w:rPr>
        <w:t>我单位属于</w:t>
      </w:r>
      <w:r>
        <w:rPr>
          <w:rStyle w:val="7"/>
          <w:rFonts w:hint="eastAsia" w:ascii="方正仿宋_GBK" w:hAnsi="方正仿宋_GBK" w:eastAsia="方正仿宋_GBK" w:cs="方正仿宋_GBK"/>
          <w:b w:val="0"/>
          <w:bCs w:val="0"/>
          <w:sz w:val="32"/>
          <w:szCs w:val="32"/>
          <w:shd w:val="clear" w:color="auto" w:fill="auto"/>
          <w:lang w:val="en-US" w:eastAsia="zh-CN"/>
        </w:rPr>
        <w:t>差额拨款单位</w:t>
      </w:r>
      <w:r>
        <w:rPr>
          <w:rStyle w:val="7"/>
          <w:rFonts w:hint="eastAsia" w:ascii="方正仿宋_GBK" w:hAnsi="方正仿宋_GBK" w:eastAsia="方正仿宋_GBK" w:cs="方正仿宋_GBK"/>
          <w:b w:val="0"/>
          <w:bCs w:val="0"/>
          <w:sz w:val="32"/>
          <w:szCs w:val="32"/>
          <w:shd w:val="clear" w:color="auto" w:fill="auto"/>
        </w:rPr>
        <w:t>，财政未保障我单位“三公”经费。</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sz w:val="32"/>
          <w:szCs w:val="32"/>
        </w:rPr>
        <w:t>（三）“三公”经费实物量情况</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pPr>
      <w:r>
        <w:rPr>
          <w:rStyle w:val="7"/>
          <w:rFonts w:hint="eastAsia" w:ascii="方正仿宋_GBK" w:hAnsi="方正仿宋_GBK" w:eastAsia="方正仿宋_GBK" w:cs="方正仿宋_GBK"/>
          <w:b w:val="0"/>
          <w:bCs w:val="0"/>
          <w:sz w:val="32"/>
          <w:szCs w:val="32"/>
          <w:shd w:val="clear" w:color="auto" w:fill="auto"/>
        </w:rPr>
        <w:t>我单位属于</w:t>
      </w:r>
      <w:r>
        <w:rPr>
          <w:rStyle w:val="7"/>
          <w:rFonts w:hint="eastAsia" w:ascii="方正仿宋_GBK" w:hAnsi="方正仿宋_GBK" w:eastAsia="方正仿宋_GBK" w:cs="方正仿宋_GBK"/>
          <w:b w:val="0"/>
          <w:bCs w:val="0"/>
          <w:sz w:val="32"/>
          <w:szCs w:val="32"/>
          <w:shd w:val="clear" w:color="auto" w:fill="auto"/>
          <w:lang w:val="en-US" w:eastAsia="zh-CN"/>
        </w:rPr>
        <w:t>差额拨款单位</w:t>
      </w:r>
      <w:r>
        <w:rPr>
          <w:rStyle w:val="7"/>
          <w:rFonts w:hint="eastAsia" w:ascii="方正仿宋_GBK" w:hAnsi="方正仿宋_GBK" w:eastAsia="方正仿宋_GBK" w:cs="方正仿宋_GBK"/>
          <w:b w:val="0"/>
          <w:bCs w:val="0"/>
          <w:sz w:val="32"/>
          <w:szCs w:val="32"/>
          <w:shd w:val="clear" w:color="auto" w:fill="auto"/>
        </w:rPr>
        <w:t>，财政未保障我单位“三公”经费。</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黑体_GBK" w:hAnsi="方正黑体_GBK" w:eastAsia="方正黑体_GBK" w:cs="方正黑体_GBK"/>
          <w:sz w:val="32"/>
          <w:szCs w:val="32"/>
        </w:rPr>
      </w:pPr>
      <w:r>
        <w:rPr>
          <w:rStyle w:val="7"/>
          <w:rFonts w:hint="eastAsia" w:ascii="方正黑体_GBK" w:hAnsi="方正黑体_GBK" w:eastAsia="方正黑体_GBK" w:cs="方正黑体_GBK"/>
          <w:sz w:val="32"/>
          <w:szCs w:val="32"/>
        </w:rPr>
        <w:t>四、其他需要说明的事项</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sz w:val="32"/>
          <w:szCs w:val="32"/>
        </w:rPr>
        <w:t>（一）一般公共预算财政拨款会议费和培训费情况说明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pPr>
      <w:r>
        <w:rPr>
          <w:rStyle w:val="7"/>
          <w:rFonts w:hint="eastAsia" w:ascii="方正仿宋_GBK" w:hAnsi="方正仿宋_GBK" w:eastAsia="方正仿宋_GBK" w:cs="方正仿宋_GBK"/>
          <w:b w:val="0"/>
          <w:bCs w:val="0"/>
          <w:sz w:val="32"/>
          <w:szCs w:val="32"/>
          <w:shd w:val="clear" w:color="auto" w:fill="auto"/>
        </w:rPr>
        <w:t>因</w:t>
      </w:r>
      <w:r>
        <w:rPr>
          <w:rStyle w:val="7"/>
          <w:rFonts w:hint="eastAsia" w:ascii="方正仿宋_GBK" w:hAnsi="方正仿宋_GBK" w:eastAsia="方正仿宋_GBK" w:cs="方正仿宋_GBK"/>
          <w:b w:val="0"/>
          <w:bCs w:val="0"/>
          <w:sz w:val="32"/>
          <w:szCs w:val="32"/>
          <w:shd w:val="clear" w:color="auto" w:fill="auto"/>
          <w:lang w:val="en-US" w:eastAsia="zh-CN"/>
        </w:rPr>
        <w:t>我单位属于差额拨款单位</w:t>
      </w:r>
      <w:r>
        <w:rPr>
          <w:rStyle w:val="7"/>
          <w:rFonts w:hint="eastAsia" w:ascii="方正仿宋_GBK" w:hAnsi="方正仿宋_GBK" w:eastAsia="方正仿宋_GBK" w:cs="方正仿宋_GBK"/>
          <w:b w:val="0"/>
          <w:bCs w:val="0"/>
          <w:sz w:val="32"/>
          <w:szCs w:val="32"/>
          <w:shd w:val="clear" w:color="auto" w:fill="auto"/>
        </w:rPr>
        <w:t>，财政未保障我单位会议费和培训费。</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sz w:val="32"/>
          <w:szCs w:val="32"/>
        </w:rPr>
        <w:t>（二）机关运行经费情况说明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pPr>
      <w:r>
        <w:rPr>
          <w:rStyle w:val="7"/>
          <w:rFonts w:hint="eastAsia" w:ascii="方正仿宋_GBK" w:hAnsi="方正仿宋_GBK" w:eastAsia="方正仿宋_GBK" w:cs="方正仿宋_GBK"/>
          <w:b w:val="0"/>
          <w:bCs w:val="0"/>
          <w:sz w:val="32"/>
          <w:szCs w:val="32"/>
          <w:shd w:val="clear" w:color="auto" w:fill="auto"/>
        </w:rPr>
        <w:t>因</w:t>
      </w:r>
      <w:r>
        <w:rPr>
          <w:rStyle w:val="7"/>
          <w:rFonts w:hint="eastAsia" w:ascii="方正仿宋_GBK" w:hAnsi="方正仿宋_GBK" w:eastAsia="方正仿宋_GBK" w:cs="方正仿宋_GBK"/>
          <w:b w:val="0"/>
          <w:bCs w:val="0"/>
          <w:sz w:val="32"/>
          <w:szCs w:val="32"/>
          <w:shd w:val="clear" w:color="auto" w:fill="auto"/>
          <w:lang w:val="en-US" w:eastAsia="zh-CN"/>
        </w:rPr>
        <w:t>我单位属于差额拨款单位</w:t>
      </w:r>
      <w:r>
        <w:rPr>
          <w:rStyle w:val="7"/>
          <w:rFonts w:hint="eastAsia" w:ascii="方正仿宋_GBK" w:hAnsi="方正仿宋_GBK" w:eastAsia="方正仿宋_GBK" w:cs="方正仿宋_GBK"/>
          <w:b w:val="0"/>
          <w:bCs w:val="0"/>
          <w:sz w:val="32"/>
          <w:szCs w:val="32"/>
          <w:shd w:val="clear" w:color="auto" w:fill="auto"/>
        </w:rPr>
        <w:t>，财政未保障我单位</w:t>
      </w:r>
      <w:r>
        <w:rPr>
          <w:rStyle w:val="7"/>
          <w:rFonts w:hint="eastAsia" w:ascii="方正仿宋_GBK" w:hAnsi="方正仿宋_GBK" w:eastAsia="方正仿宋_GBK" w:cs="方正仿宋_GBK"/>
          <w:b w:val="0"/>
          <w:bCs w:val="0"/>
          <w:sz w:val="32"/>
          <w:szCs w:val="32"/>
          <w:shd w:val="clear" w:color="auto" w:fill="auto"/>
          <w:lang w:val="en-US" w:eastAsia="zh-CN"/>
        </w:rPr>
        <w:t>机关运行经费。</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sz w:val="32"/>
          <w:szCs w:val="32"/>
        </w:rPr>
        <w:t>（三）国有资产占用情况说明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pPr>
      <w:r>
        <w:rPr>
          <w:rFonts w:hint="eastAsia" w:ascii="方正仿宋_GBK" w:hAnsi="方正仿宋_GBK" w:eastAsia="方正仿宋_GBK" w:cs="方正仿宋_GBK"/>
          <w:sz w:val="32"/>
          <w:szCs w:val="32"/>
        </w:rPr>
        <w:t>截至2021年12月31日，本</w:t>
      </w:r>
      <w:r>
        <w:rPr>
          <w:rFonts w:hint="eastAsia" w:ascii="方正仿宋_GBK" w:hAnsi="方正仿宋_GBK" w:eastAsia="方正仿宋_GBK" w:cs="方正仿宋_GBK"/>
          <w:sz w:val="32"/>
          <w:szCs w:val="32"/>
          <w:lang w:eastAsia="zh-CN"/>
        </w:rPr>
        <w:t>单位</w:t>
      </w:r>
      <w:r>
        <w:rPr>
          <w:rFonts w:hint="eastAsia" w:ascii="方正仿宋_GBK" w:hAnsi="方正仿宋_GBK" w:eastAsia="方正仿宋_GBK" w:cs="方正仿宋_GBK"/>
          <w:sz w:val="32"/>
          <w:szCs w:val="32"/>
        </w:rPr>
        <w:t>共有车辆1辆，其中，副部（省）级及以上领导用车0辆、主要领导干部用车0辆、机要通信用车0辆、应急保障用车0辆、执法执勤用车0辆，特种专业技术用车1辆，离退休干部用车0辆，其他用车0辆</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单价50万元（含）以上通用设备0台（套），单价100万元（含）以上专用设备0台（套）。</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sz w:val="32"/>
          <w:szCs w:val="32"/>
        </w:rPr>
        <w:t>（四）政府采购支出情况说明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pPr>
      <w:r>
        <w:rPr>
          <w:rStyle w:val="7"/>
          <w:rFonts w:hint="eastAsia" w:ascii="方正仿宋_GBK" w:hAnsi="方正仿宋_GBK" w:eastAsia="方正仿宋_GBK" w:cs="方正仿宋_GBK"/>
          <w:b w:val="0"/>
          <w:bCs w:val="0"/>
          <w:sz w:val="32"/>
          <w:szCs w:val="32"/>
          <w:shd w:val="clear" w:color="auto" w:fill="auto"/>
        </w:rPr>
        <w:t>2021年度我单位未发生政府采购事项，无相关经费支出。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黑体_GBK" w:hAnsi="方正黑体_GBK" w:eastAsia="方正黑体_GBK" w:cs="方正黑体_GBK"/>
          <w:sz w:val="32"/>
          <w:szCs w:val="32"/>
        </w:rPr>
      </w:pPr>
      <w:r>
        <w:rPr>
          <w:rStyle w:val="7"/>
          <w:rFonts w:hint="eastAsia" w:ascii="方正黑体_GBK" w:hAnsi="方正黑体_GBK" w:eastAsia="方正黑体_GBK" w:cs="方正黑体_GBK"/>
          <w:sz w:val="32"/>
          <w:szCs w:val="32"/>
        </w:rPr>
        <w:t>五、预算绩效管理情况说明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Style w:val="7"/>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sz w:val="32"/>
          <w:szCs w:val="32"/>
        </w:rPr>
        <w:t>（一）预算绩效管理工作开展情况</w:t>
      </w:r>
    </w:p>
    <w:p>
      <w:pPr>
        <w:keepNext w:val="0"/>
        <w:keepLines w:val="0"/>
        <w:pageBreakBefore w:val="0"/>
        <w:widowControl/>
        <w:kinsoku/>
        <w:wordWrap/>
        <w:overflowPunct/>
        <w:topLinePunct w:val="0"/>
        <w:autoSpaceDE/>
        <w:autoSpaceDN/>
        <w:bidi w:val="0"/>
        <w:adjustRightInd/>
        <w:snapToGrid/>
        <w:spacing w:beforeAutospacing="0" w:afterAutospacing="0" w:line="600" w:lineRule="atLeast"/>
        <w:ind w:firstLine="640" w:firstLineChars="200"/>
        <w:textAlignment w:val="auto"/>
        <w:rPr>
          <w:rStyle w:val="7"/>
          <w:rFonts w:hint="eastAsia" w:ascii="方正楷体_GBK" w:hAnsi="方正楷体_GBK" w:eastAsia="方正楷体_GBK" w:cs="方正楷体_GBK"/>
          <w:sz w:val="32"/>
          <w:szCs w:val="32"/>
        </w:rPr>
      </w:pPr>
      <w:r>
        <w:rPr>
          <w:rFonts w:hint="eastAsia" w:ascii="方正仿宋_GBK" w:eastAsia="方正仿宋_GBK"/>
          <w:sz w:val="32"/>
          <w:szCs w:val="32"/>
          <w:lang w:eastAsia="zh-CN"/>
        </w:rPr>
        <w:t>202</w:t>
      </w:r>
      <w:r>
        <w:rPr>
          <w:rFonts w:hint="eastAsia" w:ascii="方正仿宋_GBK" w:eastAsia="方正仿宋_GBK"/>
          <w:sz w:val="32"/>
          <w:szCs w:val="32"/>
          <w:lang w:val="en-US" w:eastAsia="zh-CN"/>
        </w:rPr>
        <w:t>1</w:t>
      </w:r>
      <w:r>
        <w:rPr>
          <w:rFonts w:hint="eastAsia" w:ascii="方正仿宋_GBK" w:eastAsia="方正仿宋_GBK"/>
          <w:sz w:val="32"/>
          <w:szCs w:val="32"/>
        </w:rPr>
        <w:t>年，本部门编制绩效目标的项目</w:t>
      </w:r>
      <w:r>
        <w:rPr>
          <w:rFonts w:hint="eastAsia" w:ascii="方正仿宋_GBK" w:eastAsia="方正仿宋_GBK"/>
          <w:sz w:val="32"/>
          <w:szCs w:val="32"/>
          <w:lang w:val="en-US" w:eastAsia="zh-CN"/>
        </w:rPr>
        <w:t>3</w:t>
      </w:r>
      <w:r>
        <w:rPr>
          <w:rFonts w:hint="eastAsia" w:ascii="方正仿宋_GBK" w:eastAsia="方正仿宋_GBK"/>
          <w:sz w:val="32"/>
          <w:szCs w:val="32"/>
        </w:rPr>
        <w:t>个，涉及支出预算</w:t>
      </w:r>
      <w:r>
        <w:rPr>
          <w:rFonts w:hint="eastAsia" w:ascii="方正仿宋_GBK" w:eastAsia="方正仿宋_GBK"/>
          <w:sz w:val="32"/>
          <w:szCs w:val="32"/>
          <w:lang w:val="en-US" w:eastAsia="zh-CN"/>
        </w:rPr>
        <w:t>10.64</w:t>
      </w:r>
      <w:r>
        <w:rPr>
          <w:rFonts w:hint="eastAsia" w:ascii="方正仿宋_GBK" w:eastAsia="方正仿宋_GBK"/>
          <w:sz w:val="32"/>
          <w:szCs w:val="32"/>
        </w:rPr>
        <w:t>万元。开展绩效评价的项目1个，涉及支出</w:t>
      </w:r>
      <w:r>
        <w:rPr>
          <w:rFonts w:hint="eastAsia" w:ascii="方正仿宋_GBK" w:eastAsia="方正仿宋_GBK"/>
          <w:sz w:val="32"/>
          <w:szCs w:val="32"/>
          <w:lang w:val="en-US" w:eastAsia="zh-CN"/>
        </w:rPr>
        <w:t>5.8</w:t>
      </w:r>
      <w:r>
        <w:rPr>
          <w:rFonts w:hint="eastAsia" w:ascii="方正仿宋_GBK" w:eastAsia="方正仿宋_GBK"/>
          <w:sz w:val="32"/>
          <w:szCs w:val="32"/>
        </w:rPr>
        <w:t>万元。</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楷体_GBK" w:hAnsi="方正楷体_GBK" w:eastAsia="方正楷体_GBK" w:cs="方正楷体_GBK"/>
          <w:sz w:val="32"/>
          <w:szCs w:val="32"/>
        </w:rPr>
      </w:pPr>
      <w:r>
        <w:rPr>
          <w:rStyle w:val="7"/>
          <w:rFonts w:hint="eastAsia" w:ascii="方正楷体_GBK" w:hAnsi="方正楷体_GBK" w:eastAsia="方正楷体_GBK" w:cs="方正楷体_GBK"/>
          <w:sz w:val="32"/>
          <w:szCs w:val="32"/>
        </w:rPr>
        <w:t>（二）绩效自评结果</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Style w:val="7"/>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rPr>
        <w:t>1.绩效目标自评表</w:t>
      </w:r>
    </w:p>
    <w:tbl>
      <w:tblPr>
        <w:tblStyle w:val="5"/>
        <w:tblW w:w="9781" w:type="dxa"/>
        <w:jc w:val="center"/>
        <w:tblLayout w:type="fixed"/>
        <w:tblCellMar>
          <w:top w:w="0" w:type="dxa"/>
          <w:left w:w="108" w:type="dxa"/>
          <w:bottom w:w="0" w:type="dxa"/>
          <w:right w:w="108" w:type="dxa"/>
        </w:tblCellMar>
      </w:tblPr>
      <w:tblGrid>
        <w:gridCol w:w="616"/>
        <w:gridCol w:w="1980"/>
        <w:gridCol w:w="1515"/>
        <w:gridCol w:w="1461"/>
        <w:gridCol w:w="1418"/>
        <w:gridCol w:w="948"/>
        <w:gridCol w:w="1843"/>
      </w:tblGrid>
      <w:tr>
        <w:tblPrEx>
          <w:tblCellMar>
            <w:top w:w="0" w:type="dxa"/>
            <w:left w:w="108" w:type="dxa"/>
            <w:bottom w:w="0" w:type="dxa"/>
            <w:right w:w="108" w:type="dxa"/>
          </w:tblCellMar>
        </w:tblPrEx>
        <w:trPr>
          <w:trHeight w:val="585" w:hRule="atLeast"/>
          <w:jc w:val="center"/>
        </w:trPr>
        <w:tc>
          <w:tcPr>
            <w:tcW w:w="9781" w:type="dxa"/>
            <w:gridSpan w:val="7"/>
            <w:tcBorders>
              <w:top w:val="nil"/>
              <w:left w:val="nil"/>
              <w:bottom w:val="nil"/>
              <w:right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b/>
                <w:bCs/>
                <w:color w:val="000000"/>
                <w:kern w:val="0"/>
                <w:sz w:val="32"/>
                <w:szCs w:val="32"/>
              </w:rPr>
            </w:pPr>
            <w:r>
              <w:rPr>
                <w:rFonts w:hint="eastAsia" w:ascii="方正仿宋_GBK" w:hAnsi="方正仿宋_GBK" w:eastAsia="方正仿宋_GBK" w:cs="方正仿宋_GBK"/>
                <w:b/>
                <w:bCs/>
                <w:color w:val="000000"/>
                <w:kern w:val="0"/>
                <w:sz w:val="32"/>
                <w:szCs w:val="32"/>
              </w:rPr>
              <w:t>202</w:t>
            </w:r>
            <w:r>
              <w:rPr>
                <w:rFonts w:hint="eastAsia" w:ascii="方正仿宋_GBK" w:hAnsi="方正仿宋_GBK" w:eastAsia="方正仿宋_GBK" w:cs="方正仿宋_GBK"/>
                <w:b/>
                <w:bCs/>
                <w:color w:val="000000"/>
                <w:kern w:val="0"/>
                <w:sz w:val="32"/>
                <w:szCs w:val="32"/>
                <w:lang w:val="en-US" w:eastAsia="zh-CN"/>
              </w:rPr>
              <w:t>1</w:t>
            </w:r>
            <w:r>
              <w:rPr>
                <w:rFonts w:hint="eastAsia" w:ascii="方正仿宋_GBK" w:hAnsi="方正仿宋_GBK" w:eastAsia="方正仿宋_GBK" w:cs="方正仿宋_GBK"/>
                <w:b/>
                <w:bCs/>
                <w:color w:val="000000"/>
                <w:kern w:val="0"/>
                <w:sz w:val="32"/>
                <w:szCs w:val="32"/>
              </w:rPr>
              <w:t xml:space="preserve">年度项目绩效目标自评表 </w:t>
            </w:r>
          </w:p>
        </w:tc>
      </w:tr>
      <w:tr>
        <w:tblPrEx>
          <w:tblCellMar>
            <w:top w:w="0" w:type="dxa"/>
            <w:left w:w="108" w:type="dxa"/>
            <w:bottom w:w="0" w:type="dxa"/>
            <w:right w:w="108" w:type="dxa"/>
          </w:tblCellMar>
        </w:tblPrEx>
        <w:trPr>
          <w:trHeight w:val="645" w:hRule="atLeast"/>
          <w:jc w:val="center"/>
        </w:trPr>
        <w:tc>
          <w:tcPr>
            <w:tcW w:w="61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专项名称</w:t>
            </w:r>
          </w:p>
        </w:tc>
        <w:tc>
          <w:tcPr>
            <w:tcW w:w="4956" w:type="dxa"/>
            <w:gridSpan w:val="3"/>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村卫生室乡村医生基本运行补助经费</w:t>
            </w:r>
          </w:p>
        </w:tc>
        <w:tc>
          <w:tcPr>
            <w:tcW w:w="1418"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联系人</w:t>
            </w:r>
            <w:r>
              <w:rPr>
                <w:rFonts w:hint="eastAsia" w:ascii="方正仿宋_GBK" w:hAnsi="方正仿宋_GBK" w:eastAsia="方正仿宋_GBK" w:cs="方正仿宋_GBK"/>
                <w:color w:val="000000"/>
                <w:kern w:val="0"/>
                <w:sz w:val="20"/>
                <w:szCs w:val="20"/>
              </w:rPr>
              <w:br w:type="textWrapping"/>
            </w:r>
            <w:r>
              <w:rPr>
                <w:rFonts w:hint="eastAsia" w:ascii="方正仿宋_GBK" w:hAnsi="方正仿宋_GBK" w:eastAsia="方正仿宋_GBK" w:cs="方正仿宋_GBK"/>
                <w:color w:val="000000"/>
                <w:kern w:val="0"/>
                <w:sz w:val="20"/>
                <w:szCs w:val="20"/>
              </w:rPr>
              <w:t>及电话</w:t>
            </w:r>
          </w:p>
        </w:tc>
        <w:tc>
          <w:tcPr>
            <w:tcW w:w="2791" w:type="dxa"/>
            <w:gridSpan w:val="2"/>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lang w:val="en-US" w:eastAsia="zh-CN"/>
              </w:rPr>
              <w:t>易清清</w:t>
            </w:r>
            <w:r>
              <w:rPr>
                <w:rFonts w:hint="eastAsia" w:ascii="方正仿宋_GBK" w:hAnsi="方正仿宋_GBK" w:eastAsia="方正仿宋_GBK" w:cs="方正仿宋_GBK"/>
                <w:color w:val="000000"/>
                <w:kern w:val="0"/>
                <w:sz w:val="20"/>
                <w:szCs w:val="20"/>
              </w:rPr>
              <w:t>73336189</w:t>
            </w:r>
          </w:p>
        </w:tc>
      </w:tr>
      <w:tr>
        <w:tblPrEx>
          <w:tblCellMar>
            <w:top w:w="0" w:type="dxa"/>
            <w:left w:w="108" w:type="dxa"/>
            <w:bottom w:w="0" w:type="dxa"/>
            <w:right w:w="108" w:type="dxa"/>
          </w:tblCellMar>
        </w:tblPrEx>
        <w:trPr>
          <w:trHeight w:val="645" w:hRule="atLeast"/>
          <w:jc w:val="center"/>
        </w:trPr>
        <w:tc>
          <w:tcPr>
            <w:tcW w:w="616"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主管部门</w:t>
            </w:r>
          </w:p>
        </w:tc>
        <w:tc>
          <w:tcPr>
            <w:tcW w:w="4956" w:type="dxa"/>
            <w:gridSpan w:val="3"/>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石柱县卫生健康委员会　</w:t>
            </w:r>
          </w:p>
        </w:tc>
        <w:tc>
          <w:tcPr>
            <w:tcW w:w="1418"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预算单位</w:t>
            </w:r>
          </w:p>
        </w:tc>
        <w:tc>
          <w:tcPr>
            <w:tcW w:w="2791" w:type="dxa"/>
            <w:gridSpan w:val="2"/>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石柱土家族自治县</w:t>
            </w:r>
            <w:r>
              <w:rPr>
                <w:rFonts w:hint="eastAsia" w:ascii="方正仿宋_GBK" w:hAnsi="方正仿宋_GBK" w:eastAsia="方正仿宋_GBK" w:cs="方正仿宋_GBK"/>
                <w:color w:val="000000"/>
                <w:kern w:val="0"/>
                <w:sz w:val="20"/>
                <w:szCs w:val="20"/>
                <w:lang w:val="en-US" w:eastAsia="zh-CN"/>
              </w:rPr>
              <w:t>龙潭乡卫生院</w:t>
            </w:r>
            <w:r>
              <w:rPr>
                <w:rFonts w:hint="eastAsia" w:ascii="方正仿宋_GBK" w:hAnsi="方正仿宋_GBK" w:eastAsia="方正仿宋_GBK" w:cs="方正仿宋_GBK"/>
                <w:color w:val="000000"/>
                <w:kern w:val="0"/>
                <w:sz w:val="20"/>
                <w:szCs w:val="20"/>
              </w:rPr>
              <w:t>　</w:t>
            </w:r>
          </w:p>
        </w:tc>
      </w:tr>
      <w:tr>
        <w:tblPrEx>
          <w:tblCellMar>
            <w:top w:w="0" w:type="dxa"/>
            <w:left w:w="108" w:type="dxa"/>
            <w:bottom w:w="0" w:type="dxa"/>
            <w:right w:w="108" w:type="dxa"/>
          </w:tblCellMar>
        </w:tblPrEx>
        <w:trPr>
          <w:trHeight w:val="705" w:hRule="atLeast"/>
          <w:jc w:val="center"/>
        </w:trPr>
        <w:tc>
          <w:tcPr>
            <w:tcW w:w="616" w:type="dxa"/>
            <w:vMerge w:val="restart"/>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项目资金（万元）</w:t>
            </w:r>
          </w:p>
        </w:tc>
        <w:tc>
          <w:tcPr>
            <w:tcW w:w="198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tc>
        <w:tc>
          <w:tcPr>
            <w:tcW w:w="151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年初预算数</w:t>
            </w:r>
          </w:p>
        </w:tc>
        <w:tc>
          <w:tcPr>
            <w:tcW w:w="146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全年预算数</w:t>
            </w:r>
          </w:p>
        </w:tc>
        <w:tc>
          <w:tcPr>
            <w:tcW w:w="1418"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全年执行数</w:t>
            </w:r>
          </w:p>
        </w:tc>
        <w:tc>
          <w:tcPr>
            <w:tcW w:w="948"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资金执行率</w:t>
            </w:r>
            <w:r>
              <w:rPr>
                <w:rFonts w:hint="eastAsia" w:ascii="方正仿宋_GBK" w:hAnsi="方正仿宋_GBK" w:eastAsia="方正仿宋_GBK" w:cs="方正仿宋_GBK"/>
                <w:color w:val="000000"/>
                <w:kern w:val="0"/>
                <w:sz w:val="20"/>
                <w:szCs w:val="20"/>
              </w:rPr>
              <w:br w:type="textWrapping"/>
            </w:r>
            <w:r>
              <w:rPr>
                <w:rFonts w:hint="eastAsia" w:ascii="方正仿宋_GBK" w:hAnsi="方正仿宋_GBK" w:eastAsia="方正仿宋_GBK" w:cs="方正仿宋_GBK"/>
                <w:color w:val="000000"/>
                <w:kern w:val="0"/>
                <w:sz w:val="20"/>
                <w:szCs w:val="20"/>
              </w:rPr>
              <w:t>（%)</w:t>
            </w:r>
          </w:p>
        </w:tc>
        <w:tc>
          <w:tcPr>
            <w:tcW w:w="1843"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执行率未达100%原因、下一步措施</w:t>
            </w:r>
          </w:p>
        </w:tc>
      </w:tr>
      <w:tr>
        <w:tblPrEx>
          <w:tblCellMar>
            <w:top w:w="0" w:type="dxa"/>
            <w:left w:w="108" w:type="dxa"/>
            <w:bottom w:w="0" w:type="dxa"/>
            <w:right w:w="108" w:type="dxa"/>
          </w:tblCellMar>
        </w:tblPrEx>
        <w:trPr>
          <w:trHeight w:val="774" w:hRule="atLeast"/>
          <w:jc w:val="center"/>
        </w:trPr>
        <w:tc>
          <w:tcPr>
            <w:tcW w:w="616"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p>
        </w:tc>
        <w:tc>
          <w:tcPr>
            <w:tcW w:w="198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年度总金额</w:t>
            </w:r>
          </w:p>
        </w:tc>
        <w:tc>
          <w:tcPr>
            <w:tcW w:w="151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lang w:val="en-US" w:eastAsia="zh-CN"/>
              </w:rPr>
            </w:pPr>
            <w:r>
              <w:rPr>
                <w:rFonts w:hint="eastAsia" w:ascii="方正仿宋_GBK" w:hAnsi="方正仿宋_GBK" w:eastAsia="方正仿宋_GBK" w:cs="方正仿宋_GBK"/>
                <w:color w:val="000000"/>
                <w:kern w:val="0"/>
                <w:sz w:val="20"/>
                <w:szCs w:val="20"/>
              </w:rPr>
              <w:t>　</w:t>
            </w:r>
            <w:r>
              <w:rPr>
                <w:rFonts w:hint="eastAsia" w:ascii="方正仿宋_GBK" w:hAnsi="方正仿宋_GBK" w:eastAsia="方正仿宋_GBK" w:cs="方正仿宋_GBK"/>
                <w:color w:val="000000"/>
                <w:kern w:val="0"/>
                <w:sz w:val="20"/>
                <w:szCs w:val="20"/>
                <w:lang w:val="en-US" w:eastAsia="zh-CN"/>
              </w:rPr>
              <w:t>5.8</w:t>
            </w:r>
          </w:p>
        </w:tc>
        <w:tc>
          <w:tcPr>
            <w:tcW w:w="146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r>
              <w:rPr>
                <w:rFonts w:hint="eastAsia" w:ascii="方正仿宋_GBK" w:hAnsi="方正仿宋_GBK" w:eastAsia="方正仿宋_GBK" w:cs="方正仿宋_GBK"/>
                <w:color w:val="000000"/>
                <w:kern w:val="0"/>
                <w:sz w:val="20"/>
                <w:szCs w:val="20"/>
                <w:lang w:val="en-US" w:eastAsia="zh-CN"/>
              </w:rPr>
              <w:t>5.8</w:t>
            </w:r>
          </w:p>
        </w:tc>
        <w:tc>
          <w:tcPr>
            <w:tcW w:w="1418"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lang w:val="en-US" w:eastAsia="zh-CN"/>
              </w:rPr>
              <w:t>5.8</w:t>
            </w:r>
          </w:p>
        </w:tc>
        <w:tc>
          <w:tcPr>
            <w:tcW w:w="948"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lang w:val="en-US"/>
              </w:rPr>
            </w:pPr>
            <w:r>
              <w:rPr>
                <w:rFonts w:hint="eastAsia" w:ascii="方正仿宋_GBK" w:hAnsi="方正仿宋_GBK" w:eastAsia="方正仿宋_GBK" w:cs="方正仿宋_GBK"/>
                <w:color w:val="000000"/>
                <w:kern w:val="0"/>
                <w:sz w:val="20"/>
                <w:szCs w:val="20"/>
              </w:rPr>
              <w:t>　</w:t>
            </w:r>
            <w:r>
              <w:rPr>
                <w:rFonts w:hint="eastAsia" w:ascii="方正仿宋_GBK" w:hAnsi="方正仿宋_GBK" w:eastAsia="方正仿宋_GBK" w:cs="方正仿宋_GBK"/>
                <w:color w:val="000000"/>
                <w:kern w:val="0"/>
                <w:sz w:val="20"/>
                <w:szCs w:val="20"/>
                <w:lang w:val="en-US" w:eastAsia="zh-CN"/>
              </w:rPr>
              <w:t>100</w:t>
            </w:r>
          </w:p>
        </w:tc>
        <w:tc>
          <w:tcPr>
            <w:tcW w:w="1843"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tc>
      </w:tr>
      <w:tr>
        <w:tblPrEx>
          <w:tblCellMar>
            <w:top w:w="0" w:type="dxa"/>
            <w:left w:w="108" w:type="dxa"/>
            <w:bottom w:w="0" w:type="dxa"/>
            <w:right w:w="108" w:type="dxa"/>
          </w:tblCellMar>
        </w:tblPrEx>
        <w:trPr>
          <w:trHeight w:val="645" w:hRule="atLeast"/>
          <w:jc w:val="center"/>
        </w:trPr>
        <w:tc>
          <w:tcPr>
            <w:tcW w:w="616"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p>
        </w:tc>
        <w:tc>
          <w:tcPr>
            <w:tcW w:w="198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right"/>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其中：市级支出</w:t>
            </w:r>
          </w:p>
        </w:tc>
        <w:tc>
          <w:tcPr>
            <w:tcW w:w="151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tc>
        <w:tc>
          <w:tcPr>
            <w:tcW w:w="146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tc>
        <w:tc>
          <w:tcPr>
            <w:tcW w:w="1418"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tc>
        <w:tc>
          <w:tcPr>
            <w:tcW w:w="2791" w:type="dxa"/>
            <w:gridSpan w:val="2"/>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w:t>
            </w:r>
          </w:p>
        </w:tc>
      </w:tr>
      <w:tr>
        <w:tblPrEx>
          <w:tblCellMar>
            <w:top w:w="0" w:type="dxa"/>
            <w:left w:w="108" w:type="dxa"/>
            <w:bottom w:w="0" w:type="dxa"/>
            <w:right w:w="108" w:type="dxa"/>
          </w:tblCellMar>
        </w:tblPrEx>
        <w:trPr>
          <w:trHeight w:val="645" w:hRule="atLeast"/>
          <w:jc w:val="center"/>
        </w:trPr>
        <w:tc>
          <w:tcPr>
            <w:tcW w:w="616"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p>
        </w:tc>
        <w:tc>
          <w:tcPr>
            <w:tcW w:w="198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right"/>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补助区县</w:t>
            </w:r>
          </w:p>
        </w:tc>
        <w:tc>
          <w:tcPr>
            <w:tcW w:w="151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tc>
        <w:tc>
          <w:tcPr>
            <w:tcW w:w="146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tc>
        <w:tc>
          <w:tcPr>
            <w:tcW w:w="1418"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tc>
        <w:tc>
          <w:tcPr>
            <w:tcW w:w="2791" w:type="dxa"/>
            <w:gridSpan w:val="2"/>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w:t>
            </w:r>
          </w:p>
        </w:tc>
      </w:tr>
      <w:tr>
        <w:tblPrEx>
          <w:tblCellMar>
            <w:top w:w="0" w:type="dxa"/>
            <w:left w:w="108" w:type="dxa"/>
            <w:bottom w:w="0" w:type="dxa"/>
            <w:right w:w="108" w:type="dxa"/>
          </w:tblCellMar>
        </w:tblPrEx>
        <w:trPr>
          <w:trHeight w:val="645" w:hRule="atLeast"/>
          <w:jc w:val="center"/>
        </w:trPr>
        <w:tc>
          <w:tcPr>
            <w:tcW w:w="616" w:type="dxa"/>
            <w:vMerge w:val="restart"/>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年度总体目标</w:t>
            </w:r>
          </w:p>
        </w:tc>
        <w:tc>
          <w:tcPr>
            <w:tcW w:w="4956" w:type="dxa"/>
            <w:gridSpan w:val="3"/>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年初设定目标</w:t>
            </w:r>
          </w:p>
        </w:tc>
        <w:tc>
          <w:tcPr>
            <w:tcW w:w="4209" w:type="dxa"/>
            <w:gridSpan w:val="3"/>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全年目标实际完成情况</w:t>
            </w:r>
          </w:p>
        </w:tc>
      </w:tr>
      <w:tr>
        <w:tblPrEx>
          <w:tblCellMar>
            <w:top w:w="0" w:type="dxa"/>
            <w:left w:w="108" w:type="dxa"/>
            <w:bottom w:w="0" w:type="dxa"/>
            <w:right w:w="108" w:type="dxa"/>
          </w:tblCellMar>
        </w:tblPrEx>
        <w:trPr>
          <w:trHeight w:val="720" w:hRule="atLeast"/>
          <w:jc w:val="center"/>
        </w:trPr>
        <w:tc>
          <w:tcPr>
            <w:tcW w:w="616"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p>
        </w:tc>
        <w:tc>
          <w:tcPr>
            <w:tcW w:w="4956" w:type="dxa"/>
            <w:gridSpan w:val="3"/>
            <w:tcBorders>
              <w:top w:val="single" w:color="auto" w:sz="4" w:space="0"/>
              <w:left w:val="nil"/>
              <w:bottom w:val="single" w:color="auto" w:sz="4" w:space="0"/>
              <w:right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202</w:t>
            </w:r>
            <w:r>
              <w:rPr>
                <w:rFonts w:hint="eastAsia" w:ascii="方正仿宋_GBK" w:hAnsi="方正仿宋_GBK" w:eastAsia="方正仿宋_GBK" w:cs="方正仿宋_GBK"/>
                <w:color w:val="000000"/>
                <w:kern w:val="0"/>
                <w:sz w:val="20"/>
                <w:szCs w:val="20"/>
                <w:lang w:val="en-US" w:eastAsia="zh-CN"/>
              </w:rPr>
              <w:t>1</w:t>
            </w:r>
            <w:r>
              <w:rPr>
                <w:rFonts w:hint="eastAsia" w:ascii="方正仿宋_GBK" w:hAnsi="方正仿宋_GBK" w:eastAsia="方正仿宋_GBK" w:cs="方正仿宋_GBK"/>
                <w:color w:val="000000"/>
                <w:kern w:val="0"/>
                <w:sz w:val="20"/>
                <w:szCs w:val="20"/>
              </w:rPr>
              <w:t>年保证公立基层医疗卫生机构实施国家基本药物制度覆盖率100%；村卫生实施国家基本药物制度覆盖率90%以上；基层医疗机构基药采购占比、基层医疗机构达到使用要求占比60%以上；基本药物制度持续实施年限5年以上；服务水平较上年提高10%以上；受众满意度90%以上。</w:t>
            </w:r>
            <w:r>
              <w:rPr>
                <w:rFonts w:hint="eastAsia" w:ascii="方正仿宋_GBK" w:hAnsi="方正仿宋_GBK" w:eastAsia="方正仿宋_GBK" w:cs="方正仿宋_GBK"/>
                <w:color w:val="000000"/>
                <w:kern w:val="0"/>
                <w:sz w:val="20"/>
                <w:szCs w:val="20"/>
              </w:rPr>
              <w:tab/>
            </w:r>
            <w:r>
              <w:rPr>
                <w:rFonts w:hint="eastAsia" w:ascii="方正仿宋_GBK" w:hAnsi="方正仿宋_GBK" w:eastAsia="方正仿宋_GBK" w:cs="方正仿宋_GBK"/>
                <w:color w:val="000000"/>
                <w:kern w:val="0"/>
                <w:sz w:val="20"/>
                <w:szCs w:val="20"/>
              </w:rPr>
              <w:tab/>
            </w:r>
            <w:r>
              <w:rPr>
                <w:rFonts w:hint="eastAsia" w:ascii="方正仿宋_GBK" w:hAnsi="方正仿宋_GBK" w:eastAsia="方正仿宋_GBK" w:cs="方正仿宋_GBK"/>
                <w:color w:val="000000"/>
                <w:kern w:val="0"/>
                <w:sz w:val="20"/>
                <w:szCs w:val="20"/>
              </w:rPr>
              <w:tab/>
            </w:r>
            <w:r>
              <w:rPr>
                <w:rFonts w:hint="eastAsia" w:ascii="方正仿宋_GBK" w:hAnsi="方正仿宋_GBK" w:eastAsia="方正仿宋_GBK" w:cs="方正仿宋_GBK"/>
                <w:color w:val="000000"/>
                <w:kern w:val="0"/>
                <w:sz w:val="20"/>
                <w:szCs w:val="20"/>
              </w:rPr>
              <w:t>　</w:t>
            </w:r>
          </w:p>
        </w:tc>
        <w:tc>
          <w:tcPr>
            <w:tcW w:w="4209"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实现公立基层医疗卫生机构实施国家基本药物制度覆盖率100%；村卫生实施国家基本药物制度覆盖率90%以上；基层医疗机构基药采购占比、基层医疗机构达到使用要求占比60%以上；基本药物制度持续实施年限持续实施；服务水平较上年较大提升；受众满意度达90%以上。</w:t>
            </w:r>
            <w:r>
              <w:rPr>
                <w:rFonts w:hint="eastAsia" w:ascii="方正仿宋_GBK" w:hAnsi="方正仿宋_GBK" w:eastAsia="方正仿宋_GBK" w:cs="方正仿宋_GBK"/>
                <w:color w:val="000000"/>
                <w:kern w:val="0"/>
                <w:sz w:val="20"/>
                <w:szCs w:val="20"/>
              </w:rPr>
              <w:tab/>
            </w:r>
            <w:r>
              <w:rPr>
                <w:rFonts w:hint="eastAsia" w:ascii="方正仿宋_GBK" w:hAnsi="方正仿宋_GBK" w:eastAsia="方正仿宋_GBK" w:cs="方正仿宋_GBK"/>
                <w:color w:val="000000"/>
                <w:kern w:val="0"/>
                <w:sz w:val="20"/>
                <w:szCs w:val="20"/>
              </w:rPr>
              <w:tab/>
            </w:r>
            <w:r>
              <w:rPr>
                <w:rFonts w:hint="eastAsia" w:ascii="方正仿宋_GBK" w:hAnsi="方正仿宋_GBK" w:eastAsia="方正仿宋_GBK" w:cs="方正仿宋_GBK"/>
                <w:color w:val="000000"/>
                <w:kern w:val="0"/>
                <w:sz w:val="20"/>
                <w:szCs w:val="20"/>
              </w:rPr>
              <w:tab/>
            </w:r>
            <w:r>
              <w:rPr>
                <w:rFonts w:hint="eastAsia" w:ascii="方正仿宋_GBK" w:hAnsi="方正仿宋_GBK" w:eastAsia="方正仿宋_GBK" w:cs="方正仿宋_GBK"/>
                <w:color w:val="000000"/>
                <w:kern w:val="0"/>
                <w:sz w:val="20"/>
                <w:szCs w:val="20"/>
              </w:rPr>
              <w:t>　　</w:t>
            </w:r>
          </w:p>
        </w:tc>
      </w:tr>
      <w:tr>
        <w:tblPrEx>
          <w:tblCellMar>
            <w:top w:w="0" w:type="dxa"/>
            <w:left w:w="108" w:type="dxa"/>
            <w:bottom w:w="0" w:type="dxa"/>
            <w:right w:w="108" w:type="dxa"/>
          </w:tblCellMar>
        </w:tblPrEx>
        <w:trPr>
          <w:trHeight w:val="645" w:hRule="atLeast"/>
          <w:jc w:val="center"/>
        </w:trPr>
        <w:tc>
          <w:tcPr>
            <w:tcW w:w="616" w:type="dxa"/>
            <w:vMerge w:val="restart"/>
            <w:tcBorders>
              <w:top w:val="nil"/>
              <w:left w:val="single" w:color="auto" w:sz="4" w:space="0"/>
              <w:right w:val="single" w:color="auto" w:sz="4" w:space="0"/>
            </w:tcBorders>
            <w:shd w:val="clear" w:color="auto" w:fill="auto"/>
            <w:noWrap w:val="0"/>
            <w:textDirection w:val="tbRlV"/>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绩效指标</w:t>
            </w:r>
          </w:p>
        </w:tc>
        <w:tc>
          <w:tcPr>
            <w:tcW w:w="198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指标名称</w:t>
            </w:r>
          </w:p>
        </w:tc>
        <w:tc>
          <w:tcPr>
            <w:tcW w:w="151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计量单位</w:t>
            </w:r>
          </w:p>
        </w:tc>
        <w:tc>
          <w:tcPr>
            <w:tcW w:w="146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年度指标值</w:t>
            </w:r>
          </w:p>
        </w:tc>
        <w:tc>
          <w:tcPr>
            <w:tcW w:w="1418"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全年完成值</w:t>
            </w:r>
          </w:p>
        </w:tc>
        <w:tc>
          <w:tcPr>
            <w:tcW w:w="2791" w:type="dxa"/>
            <w:gridSpan w:val="2"/>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未完成绩效目标或偏离较多的原因,下一步改进措施</w:t>
            </w:r>
          </w:p>
        </w:tc>
      </w:tr>
      <w:tr>
        <w:tblPrEx>
          <w:tblCellMar>
            <w:top w:w="0" w:type="dxa"/>
            <w:left w:w="108" w:type="dxa"/>
            <w:bottom w:w="0" w:type="dxa"/>
            <w:right w:w="108" w:type="dxa"/>
          </w:tblCellMar>
        </w:tblPrEx>
        <w:trPr>
          <w:trHeight w:val="480" w:hRule="atLeast"/>
          <w:jc w:val="center"/>
        </w:trPr>
        <w:tc>
          <w:tcPr>
            <w:tcW w:w="616"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p>
        </w:tc>
        <w:tc>
          <w:tcPr>
            <w:tcW w:w="198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政府办基层医疗卫生机构实施国家基本药物制度覆盖率　</w:t>
            </w:r>
          </w:p>
        </w:tc>
        <w:tc>
          <w:tcPr>
            <w:tcW w:w="151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tc>
        <w:tc>
          <w:tcPr>
            <w:tcW w:w="146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=100%　</w:t>
            </w:r>
          </w:p>
        </w:tc>
        <w:tc>
          <w:tcPr>
            <w:tcW w:w="1418"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=100%</w:t>
            </w:r>
          </w:p>
        </w:tc>
        <w:tc>
          <w:tcPr>
            <w:tcW w:w="2791" w:type="dxa"/>
            <w:gridSpan w:val="2"/>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tc>
      </w:tr>
      <w:tr>
        <w:tblPrEx>
          <w:tblCellMar>
            <w:top w:w="0" w:type="dxa"/>
            <w:left w:w="108" w:type="dxa"/>
            <w:bottom w:w="0" w:type="dxa"/>
            <w:right w:w="108" w:type="dxa"/>
          </w:tblCellMar>
        </w:tblPrEx>
        <w:trPr>
          <w:trHeight w:val="480" w:hRule="atLeast"/>
          <w:jc w:val="center"/>
        </w:trPr>
        <w:tc>
          <w:tcPr>
            <w:tcW w:w="616"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p>
        </w:tc>
        <w:tc>
          <w:tcPr>
            <w:tcW w:w="198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村卫生室实施国家基本药物制度覆盖率</w:t>
            </w:r>
          </w:p>
        </w:tc>
        <w:tc>
          <w:tcPr>
            <w:tcW w:w="151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tc>
        <w:tc>
          <w:tcPr>
            <w:tcW w:w="146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≥90%</w:t>
            </w:r>
          </w:p>
        </w:tc>
        <w:tc>
          <w:tcPr>
            <w:tcW w:w="1418"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≥90%</w:t>
            </w:r>
          </w:p>
        </w:tc>
        <w:tc>
          <w:tcPr>
            <w:tcW w:w="2791" w:type="dxa"/>
            <w:gridSpan w:val="2"/>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tc>
      </w:tr>
      <w:tr>
        <w:tblPrEx>
          <w:tblCellMar>
            <w:top w:w="0" w:type="dxa"/>
            <w:left w:w="108" w:type="dxa"/>
            <w:bottom w:w="0" w:type="dxa"/>
            <w:right w:w="108" w:type="dxa"/>
          </w:tblCellMar>
        </w:tblPrEx>
        <w:trPr>
          <w:trHeight w:val="480" w:hRule="atLeast"/>
          <w:jc w:val="center"/>
        </w:trPr>
        <w:tc>
          <w:tcPr>
            <w:tcW w:w="616"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p>
        </w:tc>
        <w:tc>
          <w:tcPr>
            <w:tcW w:w="198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资金有效使用及划拨率</w:t>
            </w:r>
          </w:p>
        </w:tc>
        <w:tc>
          <w:tcPr>
            <w:tcW w:w="151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400" w:firstLineChars="200"/>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　</w:t>
            </w:r>
          </w:p>
        </w:tc>
        <w:tc>
          <w:tcPr>
            <w:tcW w:w="146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=100%</w:t>
            </w:r>
          </w:p>
        </w:tc>
        <w:tc>
          <w:tcPr>
            <w:tcW w:w="1418"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=100%</w:t>
            </w:r>
          </w:p>
        </w:tc>
        <w:tc>
          <w:tcPr>
            <w:tcW w:w="2791" w:type="dxa"/>
            <w:gridSpan w:val="2"/>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p>
            <w:pPr>
              <w:keepNext w:val="0"/>
              <w:keepLines w:val="0"/>
              <w:pageBreakBefore w:val="0"/>
              <w:widowControl/>
              <w:kinsoku/>
              <w:wordWrap/>
              <w:overflowPunct/>
              <w:topLinePunct w:val="0"/>
              <w:autoSpaceDE/>
              <w:autoSpaceDN/>
              <w:bidi w:val="0"/>
              <w:adjustRightInd/>
              <w:snapToGrid/>
              <w:spacing w:beforeAutospacing="0" w:afterAutospacing="0" w:line="240" w:lineRule="auto"/>
              <w:textAlignment w:val="auto"/>
              <w:rPr>
                <w:rFonts w:hint="eastAsia" w:ascii="方正仿宋_GBK" w:hAnsi="方正仿宋_GBK" w:eastAsia="方正仿宋_GBK" w:cs="方正仿宋_GBK"/>
                <w:color w:val="000000"/>
                <w:kern w:val="0"/>
                <w:sz w:val="20"/>
                <w:szCs w:val="20"/>
              </w:rPr>
            </w:pPr>
          </w:p>
        </w:tc>
      </w:tr>
      <w:tr>
        <w:tblPrEx>
          <w:tblCellMar>
            <w:top w:w="0" w:type="dxa"/>
            <w:left w:w="108" w:type="dxa"/>
            <w:bottom w:w="0" w:type="dxa"/>
            <w:right w:w="108" w:type="dxa"/>
          </w:tblCellMar>
        </w:tblPrEx>
        <w:trPr>
          <w:trHeight w:val="480" w:hRule="atLeast"/>
          <w:jc w:val="center"/>
        </w:trPr>
        <w:tc>
          <w:tcPr>
            <w:tcW w:w="616"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p>
        </w:tc>
        <w:tc>
          <w:tcPr>
            <w:tcW w:w="198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基层对村卫生室指导和服务水平</w:t>
            </w:r>
          </w:p>
        </w:tc>
        <w:tc>
          <w:tcPr>
            <w:tcW w:w="151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tc>
        <w:tc>
          <w:tcPr>
            <w:tcW w:w="146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加强对村卫生室指导，村卫生室服务水平较大提高</w:t>
            </w:r>
          </w:p>
        </w:tc>
        <w:tc>
          <w:tcPr>
            <w:tcW w:w="1418"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加强对村卫生室指导，村卫生室服务水平较大提高</w:t>
            </w:r>
          </w:p>
        </w:tc>
        <w:tc>
          <w:tcPr>
            <w:tcW w:w="2791" w:type="dxa"/>
            <w:gridSpan w:val="2"/>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p>
        </w:tc>
      </w:tr>
      <w:tr>
        <w:tblPrEx>
          <w:tblCellMar>
            <w:top w:w="0" w:type="dxa"/>
            <w:left w:w="108" w:type="dxa"/>
            <w:bottom w:w="0" w:type="dxa"/>
            <w:right w:w="108" w:type="dxa"/>
          </w:tblCellMar>
        </w:tblPrEx>
        <w:trPr>
          <w:trHeight w:val="480" w:hRule="atLeast"/>
          <w:jc w:val="center"/>
        </w:trPr>
        <w:tc>
          <w:tcPr>
            <w:tcW w:w="616"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p>
        </w:tc>
        <w:tc>
          <w:tcPr>
            <w:tcW w:w="198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村卫生室满意度</w:t>
            </w:r>
          </w:p>
        </w:tc>
        <w:tc>
          <w:tcPr>
            <w:tcW w:w="151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　</w:t>
            </w:r>
          </w:p>
        </w:tc>
        <w:tc>
          <w:tcPr>
            <w:tcW w:w="146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≥95%</w:t>
            </w:r>
          </w:p>
        </w:tc>
        <w:tc>
          <w:tcPr>
            <w:tcW w:w="1418"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≥95%</w:t>
            </w:r>
          </w:p>
        </w:tc>
        <w:tc>
          <w:tcPr>
            <w:tcW w:w="2791" w:type="dxa"/>
            <w:gridSpan w:val="2"/>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textAlignment w:val="auto"/>
              <w:rPr>
                <w:rFonts w:hint="eastAsia" w:ascii="方正仿宋_GBK" w:hAnsi="方正仿宋_GBK" w:eastAsia="方正仿宋_GBK" w:cs="方正仿宋_GBK"/>
                <w:color w:val="000000"/>
                <w:kern w:val="0"/>
                <w:sz w:val="20"/>
                <w:szCs w:val="20"/>
              </w:rPr>
            </w:pPr>
          </w:p>
        </w:tc>
      </w:tr>
      <w:tr>
        <w:tblPrEx>
          <w:tblCellMar>
            <w:top w:w="0" w:type="dxa"/>
            <w:left w:w="108" w:type="dxa"/>
            <w:bottom w:w="0" w:type="dxa"/>
            <w:right w:w="108" w:type="dxa"/>
          </w:tblCellMar>
        </w:tblPrEx>
        <w:trPr>
          <w:trHeight w:val="480" w:hRule="atLeast"/>
          <w:jc w:val="center"/>
        </w:trPr>
        <w:tc>
          <w:tcPr>
            <w:tcW w:w="616" w:type="dxa"/>
            <w:vMerge w:val="continue"/>
            <w:tcBorders>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p>
        </w:tc>
        <w:tc>
          <w:tcPr>
            <w:tcW w:w="198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受众满意度</w:t>
            </w:r>
          </w:p>
        </w:tc>
        <w:tc>
          <w:tcPr>
            <w:tcW w:w="151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w:t>
            </w:r>
          </w:p>
        </w:tc>
        <w:tc>
          <w:tcPr>
            <w:tcW w:w="146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≥90%</w:t>
            </w:r>
          </w:p>
        </w:tc>
        <w:tc>
          <w:tcPr>
            <w:tcW w:w="1418"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≥90%</w:t>
            </w:r>
          </w:p>
        </w:tc>
        <w:tc>
          <w:tcPr>
            <w:tcW w:w="2791" w:type="dxa"/>
            <w:gridSpan w:val="2"/>
            <w:tcBorders>
              <w:top w:val="single" w:color="auto" w:sz="4" w:space="0"/>
              <w:left w:val="nil"/>
              <w:bottom w:val="single" w:color="auto"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textAlignment w:val="auto"/>
              <w:rPr>
                <w:rFonts w:hint="eastAsia" w:ascii="方正仿宋_GBK" w:hAnsi="方正仿宋_GBK" w:eastAsia="方正仿宋_GBK" w:cs="方正仿宋_GBK"/>
                <w:color w:val="000000"/>
                <w:kern w:val="0"/>
                <w:sz w:val="20"/>
                <w:szCs w:val="20"/>
              </w:rPr>
            </w:pPr>
          </w:p>
        </w:tc>
      </w:tr>
      <w:tr>
        <w:tblPrEx>
          <w:tblCellMar>
            <w:top w:w="0" w:type="dxa"/>
            <w:left w:w="108" w:type="dxa"/>
            <w:bottom w:w="0" w:type="dxa"/>
            <w:right w:w="108" w:type="dxa"/>
          </w:tblCellMar>
        </w:tblPrEx>
        <w:trPr>
          <w:trHeight w:val="1005" w:hRule="atLeast"/>
          <w:jc w:val="center"/>
        </w:trPr>
        <w:tc>
          <w:tcPr>
            <w:tcW w:w="616"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其他说明</w:t>
            </w:r>
          </w:p>
        </w:tc>
        <w:tc>
          <w:tcPr>
            <w:tcW w:w="9165" w:type="dxa"/>
            <w:gridSpan w:val="6"/>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方正仿宋_GBK" w:hAnsi="方正仿宋_GBK" w:eastAsia="方正仿宋_GBK" w:cs="方正仿宋_GBK"/>
                <w:color w:val="000000"/>
                <w:kern w:val="0"/>
                <w:sz w:val="20"/>
                <w:szCs w:val="20"/>
              </w:rPr>
            </w:pPr>
          </w:p>
        </w:tc>
      </w:tr>
    </w:tbl>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textAlignment w:val="auto"/>
        <w:rPr>
          <w:rStyle w:val="7"/>
          <w:rFonts w:hint="eastAsia" w:ascii="方正仿宋_GBK" w:hAnsi="方正仿宋_GBK" w:eastAsia="方正仿宋_GBK" w:cs="方正仿宋_GBK"/>
          <w:sz w:val="32"/>
          <w:szCs w:val="32"/>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Style w:val="7"/>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rPr>
        <w:t>2.绩效自评报告或案例</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Style w:val="7"/>
          <w:rFonts w:hint="eastAsia" w:ascii="方正仿宋_GBK" w:hAnsi="方正仿宋_GBK" w:eastAsia="方正仿宋_GBK" w:cs="方正仿宋_GBK"/>
          <w:b w:val="0"/>
          <w:bCs w:val="0"/>
          <w:sz w:val="32"/>
          <w:szCs w:val="32"/>
          <w:lang w:val="en-US" w:eastAsia="zh-CN"/>
        </w:rPr>
      </w:pPr>
      <w:r>
        <w:rPr>
          <w:rStyle w:val="7"/>
          <w:rFonts w:hint="eastAsia" w:ascii="方正仿宋_GBK" w:hAnsi="方正仿宋_GBK" w:eastAsia="方正仿宋_GBK" w:cs="方正仿宋_GBK"/>
          <w:b w:val="0"/>
          <w:bCs w:val="0"/>
          <w:sz w:val="32"/>
          <w:szCs w:val="32"/>
          <w:lang w:val="en-US" w:eastAsia="zh-CN"/>
        </w:rPr>
        <w:t>无</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rPr>
        <w:t>3.关于绩效自评结果的说明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Style w:val="7"/>
          <w:sz w:val="22"/>
          <w:szCs w:val="22"/>
        </w:rPr>
      </w:pPr>
      <w:r>
        <w:rPr>
          <w:rStyle w:val="7"/>
          <w:rFonts w:hint="eastAsia" w:ascii="方正仿宋_GBK" w:hAnsi="方正仿宋_GBK" w:eastAsia="方正仿宋_GBK" w:cs="方正仿宋_GBK"/>
          <w:b w:val="0"/>
          <w:bCs w:val="0"/>
          <w:sz w:val="32"/>
          <w:szCs w:val="32"/>
          <w:lang w:val="en-US" w:eastAsia="zh-CN"/>
        </w:rPr>
        <w:t>已完成本年度自评绩效目标</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Style w:val="7"/>
          <w:rFonts w:hint="eastAsia" w:ascii="方正楷体_GBK" w:hAnsi="方正楷体_GBK" w:eastAsia="方正楷体_GBK" w:cs="方正楷体_GBK"/>
          <w:sz w:val="32"/>
          <w:szCs w:val="32"/>
          <w:shd w:val="clear" w:color="auto" w:fill="FFFF00"/>
          <w:lang w:val="en-US" w:eastAsia="zh-CN"/>
        </w:rPr>
      </w:pPr>
      <w:r>
        <w:rPr>
          <w:rStyle w:val="7"/>
          <w:rFonts w:hint="eastAsia" w:ascii="方正楷体_GBK" w:hAnsi="方正楷体_GBK" w:eastAsia="方正楷体_GBK" w:cs="方正楷体_GBK"/>
          <w:sz w:val="32"/>
          <w:szCs w:val="32"/>
          <w:lang w:eastAsia="zh-CN"/>
        </w:rPr>
        <w:t>（</w:t>
      </w:r>
      <w:r>
        <w:rPr>
          <w:rStyle w:val="7"/>
          <w:rFonts w:hint="eastAsia" w:ascii="方正楷体_GBK" w:hAnsi="方正楷体_GBK" w:eastAsia="方正楷体_GBK" w:cs="方正楷体_GBK"/>
          <w:sz w:val="32"/>
          <w:szCs w:val="32"/>
          <w:lang w:val="en-US" w:eastAsia="zh-CN"/>
        </w:rPr>
        <w:t>三</w:t>
      </w:r>
      <w:r>
        <w:rPr>
          <w:rStyle w:val="7"/>
          <w:rFonts w:hint="eastAsia" w:ascii="方正楷体_GBK" w:hAnsi="方正楷体_GBK" w:eastAsia="方正楷体_GBK" w:cs="方正楷体_GBK"/>
          <w:sz w:val="32"/>
          <w:szCs w:val="32"/>
          <w:lang w:eastAsia="zh-CN"/>
        </w:rPr>
        <w:t>）</w:t>
      </w:r>
      <w:r>
        <w:rPr>
          <w:rStyle w:val="7"/>
          <w:rFonts w:hint="eastAsia" w:ascii="方正楷体_GBK" w:hAnsi="方正楷体_GBK" w:eastAsia="方正楷体_GBK" w:cs="方正楷体_GBK"/>
          <w:sz w:val="32"/>
          <w:szCs w:val="32"/>
        </w:rPr>
        <w:t>重点绩效评价结果</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Style w:val="7"/>
          <w:rFonts w:hint="eastAsia" w:ascii="方正仿宋_GBK" w:hAnsi="方正仿宋_GBK" w:eastAsia="方正仿宋_GBK" w:cs="方正仿宋_GBK"/>
          <w:sz w:val="32"/>
          <w:szCs w:val="32"/>
          <w:shd w:val="clear" w:color="auto" w:fill="FFFF00"/>
          <w:lang w:val="en-US" w:eastAsia="zh-CN"/>
        </w:rPr>
      </w:pPr>
      <w:r>
        <w:rPr>
          <w:rStyle w:val="7"/>
          <w:rFonts w:hint="eastAsia" w:ascii="方正仿宋_GBK" w:hAnsi="方正仿宋_GBK" w:eastAsia="方正仿宋_GBK" w:cs="方正仿宋_GBK"/>
          <w:b w:val="0"/>
          <w:bCs w:val="0"/>
          <w:sz w:val="32"/>
          <w:szCs w:val="32"/>
          <w:shd w:val="clear" w:color="auto" w:fill="auto"/>
          <w:lang w:val="en-US" w:eastAsia="zh-CN"/>
        </w:rPr>
        <w:t>无</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黑体_GBK" w:hAnsi="方正黑体_GBK" w:eastAsia="方正黑体_GBK" w:cs="方正黑体_GBK"/>
          <w:sz w:val="32"/>
          <w:szCs w:val="32"/>
        </w:rPr>
      </w:pPr>
      <w:r>
        <w:rPr>
          <w:rStyle w:val="7"/>
          <w:rFonts w:hint="eastAsia" w:ascii="方正黑体_GBK" w:hAnsi="方正黑体_GBK" w:eastAsia="方正黑体_GBK" w:cs="方正黑体_GBK"/>
          <w:sz w:val="32"/>
          <w:szCs w:val="32"/>
        </w:rPr>
        <w:t>六、专业名词解释</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sz w:val="32"/>
          <w:szCs w:val="32"/>
        </w:rPr>
        <w:t>（一）财政拨款收入</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指本年度从本级财政</w:t>
      </w:r>
      <w:r>
        <w:rPr>
          <w:rFonts w:hint="eastAsia" w:ascii="方正仿宋_GBK" w:hAnsi="方正仿宋_GBK" w:eastAsia="方正仿宋_GBK" w:cs="方正仿宋_GBK"/>
          <w:sz w:val="32"/>
          <w:szCs w:val="32"/>
          <w:lang w:eastAsia="zh-CN"/>
        </w:rPr>
        <w:t>单位</w:t>
      </w:r>
      <w:r>
        <w:rPr>
          <w:rFonts w:hint="eastAsia" w:ascii="方正仿宋_GBK" w:hAnsi="方正仿宋_GBK" w:eastAsia="方正仿宋_GBK" w:cs="方正仿宋_GBK"/>
          <w:sz w:val="32"/>
          <w:szCs w:val="32"/>
        </w:rPr>
        <w:t>取得的财政拨款，包括一般公共预算财政拨款和政府性基金预算财政拨款。</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sz w:val="32"/>
          <w:szCs w:val="32"/>
        </w:rPr>
        <w:t>（二）事业收入</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指事业单位开展专业业务活动及其辅助活动取得的现金流入；事业单位收到的财政专户实际核拨的教育收费等资金在此反映。</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sz w:val="32"/>
          <w:szCs w:val="32"/>
        </w:rPr>
        <w:t>（三）经营收入</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指事业单位在专业业务活动及其辅助活动之外开展非独立核算经营活动取得的现金流入。</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sz w:val="32"/>
          <w:szCs w:val="32"/>
        </w:rPr>
        <w:t>（四）其他收入</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w:t>
      </w:r>
      <w:r>
        <w:rPr>
          <w:rFonts w:hint="eastAsia" w:ascii="方正仿宋_GBK" w:hAnsi="方正仿宋_GBK" w:eastAsia="方正仿宋_GBK" w:cs="方正仿宋_GBK"/>
          <w:sz w:val="32"/>
          <w:szCs w:val="32"/>
          <w:lang w:eastAsia="zh-CN"/>
        </w:rPr>
        <w:t>单位</w:t>
      </w:r>
      <w:r>
        <w:rPr>
          <w:rFonts w:hint="eastAsia" w:ascii="方正仿宋_GBK" w:hAnsi="方正仿宋_GBK" w:eastAsia="方正仿宋_GBK" w:cs="方正仿宋_GBK"/>
          <w:sz w:val="32"/>
          <w:szCs w:val="32"/>
        </w:rPr>
        <w:t>以外的同级单位取得的经费、从非本级财政</w:t>
      </w:r>
      <w:r>
        <w:rPr>
          <w:rFonts w:hint="eastAsia" w:ascii="方正仿宋_GBK" w:hAnsi="方正仿宋_GBK" w:eastAsia="方正仿宋_GBK" w:cs="方正仿宋_GBK"/>
          <w:sz w:val="32"/>
          <w:szCs w:val="32"/>
          <w:lang w:eastAsia="zh-CN"/>
        </w:rPr>
        <w:t>单位</w:t>
      </w:r>
      <w:r>
        <w:rPr>
          <w:rFonts w:hint="eastAsia" w:ascii="方正仿宋_GBK" w:hAnsi="方正仿宋_GBK" w:eastAsia="方正仿宋_GBK" w:cs="方正仿宋_GBK"/>
          <w:sz w:val="32"/>
          <w:szCs w:val="32"/>
        </w:rPr>
        <w:t>取得的经费，以及行政单位收到的财政专户管理资金反映在本项内。</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sz w:val="32"/>
          <w:szCs w:val="32"/>
        </w:rPr>
        <w:t>（五）使用非财政拨款结余</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指单位在当年的“财政拨款收入”、“事业收入”、“经营收入”、“其他收入”等不足以安排当年支出的情况下，使用以前年度积累的非财政拨款结余弥补本年度收支缺口的资金。</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sz w:val="32"/>
          <w:szCs w:val="32"/>
        </w:rPr>
        <w:t>（六）年初结转和结余</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指单位上年结转本年使用的基本支出结转、项目支出结转和结余、经营结余。</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sz w:val="32"/>
          <w:szCs w:val="32"/>
        </w:rPr>
        <w:t>（七）结余分配</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指单位按照国家有关规定，缴纳所得税、提取专用基金、转入非财政拨款结余等当年结余的分配情况。</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sz w:val="32"/>
          <w:szCs w:val="32"/>
        </w:rPr>
        <w:t>（八）年末结转和结余</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指单位结转下年的基本支出结转、项目支出结转和结余、经营结余。</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sz w:val="32"/>
          <w:szCs w:val="32"/>
        </w:rPr>
        <w:t>（九）基本支出</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sz w:val="32"/>
          <w:szCs w:val="32"/>
        </w:rPr>
        <w:t>（十）项目支出</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指在基本支出之外为完成特定行政任务和事业发展目标所发生的支出。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sz w:val="32"/>
          <w:szCs w:val="32"/>
        </w:rPr>
        <w:t>（十一）经营支出</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指事业单位在专业业务活动及其辅助活动之外开展非独立核算经营活动发生的支出。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sz w:val="32"/>
          <w:szCs w:val="32"/>
        </w:rPr>
        <w:t>（十二）“三公”经费</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sz w:val="32"/>
          <w:szCs w:val="32"/>
        </w:rPr>
        <w:t>（十三）机关运行经费</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sz w:val="32"/>
          <w:szCs w:val="32"/>
        </w:rPr>
        <w:t>（十四）工资福利支出（支出经济分类科目类级）</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反映单位开支的在职职工和编制外长期聘用人员的各类劳动报酬，以及为上述人员缴纳的各项社会保险费等。</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sz w:val="32"/>
          <w:szCs w:val="32"/>
        </w:rPr>
        <w:t>（十五）商品和服务支出（支出经济分类科目类级）</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反映单位购买商品和服务的支出（不包括用于购置固定资产的支出、战略性和应急储备支出）。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sz w:val="32"/>
          <w:szCs w:val="32"/>
        </w:rPr>
        <w:t>（十六）对个人和家庭的补助（支出经济分类科目类级）</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反映用于对个人和家庭的补助支出。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仿宋_GBK" w:hAnsi="方正仿宋_GBK" w:eastAsia="方正仿宋_GBK" w:cs="方正仿宋_GBK"/>
          <w:sz w:val="32"/>
          <w:szCs w:val="32"/>
        </w:rPr>
      </w:pPr>
      <w:r>
        <w:rPr>
          <w:rStyle w:val="7"/>
          <w:rFonts w:hint="eastAsia" w:ascii="方正楷体_GBK" w:hAnsi="方正楷体_GBK" w:eastAsia="方正楷体_GBK" w:cs="方正楷体_GBK"/>
          <w:sz w:val="32"/>
          <w:szCs w:val="32"/>
        </w:rPr>
        <w:t>（十七）其他资本性支出（支出经济分类科目类级）</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反映非各级发展与改革</w:t>
      </w:r>
      <w:r>
        <w:rPr>
          <w:rFonts w:hint="eastAsia" w:ascii="方正仿宋_GBK" w:hAnsi="方正仿宋_GBK" w:eastAsia="方正仿宋_GBK" w:cs="方正仿宋_GBK"/>
          <w:sz w:val="32"/>
          <w:szCs w:val="32"/>
          <w:lang w:eastAsia="zh-CN"/>
        </w:rPr>
        <w:t>单位</w:t>
      </w:r>
      <w:r>
        <w:rPr>
          <w:rFonts w:hint="eastAsia" w:ascii="方正仿宋_GBK" w:hAnsi="方正仿宋_GBK" w:eastAsia="方正仿宋_GBK" w:cs="方正仿宋_GBK"/>
          <w:sz w:val="32"/>
          <w:szCs w:val="32"/>
        </w:rPr>
        <w:t>集中安排的用于购置固定资产、战略性和应急性储备、土地和无形资产，以及构建基础设施、大型修缮和财政支持企业更新改造所发生的支出。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3" w:firstLineChars="200"/>
        <w:textAlignment w:val="auto"/>
        <w:rPr>
          <w:rFonts w:hint="eastAsia" w:ascii="方正黑体_GBK" w:hAnsi="方正黑体_GBK" w:eastAsia="方正黑体_GBK" w:cs="方正黑体_GBK"/>
          <w:sz w:val="32"/>
          <w:szCs w:val="32"/>
        </w:rPr>
      </w:pPr>
      <w:r>
        <w:rPr>
          <w:rStyle w:val="7"/>
          <w:rFonts w:hint="eastAsia" w:ascii="方正黑体_GBK" w:hAnsi="方正黑体_GBK" w:eastAsia="方正黑体_GBK" w:cs="方正黑体_GBK"/>
          <w:sz w:val="32"/>
          <w:szCs w:val="32"/>
        </w:rPr>
        <w:t>七、决算公开联系方式及信息反馈渠道</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atLeast"/>
        <w:ind w:firstLine="640" w:firstLineChars="200"/>
        <w:textAlignment w:val="auto"/>
        <w:rPr>
          <w:rFonts w:hint="eastAsia" w:eastAsia="宋体"/>
          <w:lang w:eastAsia="zh-CN"/>
        </w:rPr>
      </w:pPr>
      <w:r>
        <w:rPr>
          <w:rFonts w:hint="eastAsia" w:ascii="方正仿宋_GBK" w:hAnsi="方正仿宋_GBK" w:eastAsia="方正仿宋_GBK" w:cs="方正仿宋_GBK"/>
          <w:sz w:val="32"/>
          <w:szCs w:val="32"/>
        </w:rPr>
        <w:t>本单位决算公开信息反馈和联系方式</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shd w:val="clear" w:color="auto" w:fill="FFFFFF"/>
        </w:rPr>
        <w:t>023-73336189</w:t>
      </w:r>
    </w:p>
    <w:sectPr>
      <w:pgSz w:w="11907"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2"/>
  </w:compat>
  <w:docVars>
    <w:docVar w:name="commondata" w:val="eyJoZGlkIjoiZGQxZWMxNDhiNTQ4ZTI4OTZkNDlkYTY2MzY4ZWZjNDcifQ=="/>
  </w:docVars>
  <w:rsids>
    <w:rsidRoot w:val="00F43BC7"/>
    <w:rsid w:val="00937F35"/>
    <w:rsid w:val="00F43BC7"/>
    <w:rsid w:val="0627597A"/>
    <w:rsid w:val="156A21FE"/>
    <w:rsid w:val="26F877ED"/>
    <w:rsid w:val="343209D1"/>
    <w:rsid w:val="37310864"/>
    <w:rsid w:val="445F7B14"/>
    <w:rsid w:val="4A2821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100" w:beforeAutospacing="1" w:after="100" w:afterAutospacing="1"/>
    </w:pPr>
  </w:style>
  <w:style w:type="character" w:styleId="7">
    <w:name w:val="Strong"/>
    <w:basedOn w:val="6"/>
    <w:qFormat/>
    <w:uiPriority w:val="22"/>
    <w:rPr>
      <w:b/>
      <w:bCs/>
    </w:rPr>
  </w:style>
  <w:style w:type="character" w:customStyle="1" w:styleId="8">
    <w:name w:val="页眉 Char"/>
    <w:basedOn w:val="6"/>
    <w:link w:val="3"/>
    <w:semiHidden/>
    <w:qFormat/>
    <w:uiPriority w:val="99"/>
    <w:rPr>
      <w:rFonts w:ascii="宋体" w:hAnsi="宋体" w:eastAsia="宋体" w:cs="宋体"/>
      <w:sz w:val="18"/>
      <w:szCs w:val="18"/>
    </w:rPr>
  </w:style>
  <w:style w:type="character" w:customStyle="1" w:styleId="9">
    <w:name w:val="页脚 Char"/>
    <w:basedOn w:val="6"/>
    <w:link w:val="2"/>
    <w:semiHidden/>
    <w:qFormat/>
    <w:uiPriority w:val="99"/>
    <w:rPr>
      <w:rFonts w:ascii="宋体" w:hAnsi="宋体" w:eastAsia="宋体" w:cs="宋体"/>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 Inc.</Company>
  <Pages>11</Pages>
  <Words>4449</Words>
  <Characters>4823</Characters>
  <Lines>64</Lines>
  <Paragraphs>18</Paragraphs>
  <TotalTime>8</TotalTime>
  <ScaleCrop>false</ScaleCrop>
  <LinksUpToDate>false</LinksUpToDate>
  <CharactersWithSpaces>4864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2022-10-22T03:17:00Z</dcterms:created>
  <dc:creator>HP</dc:creator>
  <cp:lastModifiedBy>admin</cp:lastModifiedBy>
  <dcterms:modified xsi:type="dcterms:W3CDTF">2023-01-30T08:42:59Z</dcterms:modified>
  <dc:title>公开报告模板</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35ABB369A2E24E0FB46736E387C23A29</vt:lpwstr>
  </property>
</Properties>
</file>