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重庆市石柱土家族自治县河嘴乡卫生院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 xml:space="preserve"> 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hint="eastAsia" w:ascii="方正仿宋_GBK" w:hAnsi="方正仿宋_GBK" w:eastAsia="方正仿宋_GBK" w:cs="方正仿宋_GBK"/>
          <w:kern w:val="0"/>
          <w:sz w:val="32"/>
          <w:szCs w:val="32"/>
        </w:rPr>
      </w:pPr>
      <w:r>
        <w:rPr>
          <w:color w:val="FF0000"/>
          <w:sz w:val="22"/>
          <w:szCs w:val="22"/>
        </w:rPr>
        <w:t> </w:t>
      </w:r>
      <w:r>
        <w:rPr>
          <w:rFonts w:hint="eastAsia" w:ascii="方正仿宋_GBK" w:hAnsi="方正仿宋_GBK" w:eastAsia="方正仿宋_GBK" w:cs="方正仿宋_GBK"/>
          <w:color w:val="FF0000"/>
          <w:sz w:val="32"/>
          <w:szCs w:val="32"/>
        </w:rPr>
        <w:t xml:space="preserve"> </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协助卫健行政主管</w:t>
      </w:r>
      <w:r>
        <w:rPr>
          <w:rFonts w:hint="eastAsia" w:ascii="方正仿宋_GBK" w:hAnsi="方正仿宋_GBK" w:eastAsia="方正仿宋_GBK" w:cs="方正仿宋_GBK"/>
          <w:kern w:val="0"/>
          <w:sz w:val="32"/>
          <w:szCs w:val="32"/>
          <w:lang w:eastAsia="zh-CN"/>
        </w:rPr>
        <w:t>单位</w:t>
      </w:r>
      <w:r>
        <w:rPr>
          <w:rFonts w:hint="eastAsia" w:ascii="方正仿宋_GBK" w:hAnsi="方正仿宋_GBK" w:eastAsia="方正仿宋_GBK" w:cs="方正仿宋_GBK"/>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协助政府制定、实施农村基本医疗卫生保健规划，开展爱国卫生工作。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（二）机构设置</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河嘴乡卫生院位于河嘴乡街上，属于公益一类医疗事业单位，单位建筑面积为1760平方米，单位编制人数为14人，在职在编人数为</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人，临时工人数为</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二、</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color w:val="auto"/>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2021年度收入总计453.70万元，支出总计453.70万元。收支较上年决算数增加33.83万元、增长8.1%，主要原因是</w:t>
      </w:r>
      <w:r>
        <w:rPr>
          <w:rFonts w:hint="eastAsia" w:ascii="方正仿宋_GBK" w:hAnsi="方正仿宋_GBK" w:eastAsia="方正仿宋_GBK" w:cs="方正仿宋_GBK"/>
          <w:b w:val="0"/>
          <w:bCs w:val="0"/>
          <w:color w:val="auto"/>
          <w:sz w:val="32"/>
          <w:szCs w:val="32"/>
          <w:lang w:val="en-US" w:eastAsia="zh-CN"/>
        </w:rPr>
        <w:t>本年度事业收入增加。</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r>
        <w:rPr>
          <w:rStyle w:val="7"/>
          <w:rFonts w:hint="eastAsia" w:ascii="方正仿宋_GBK" w:hAnsi="方正仿宋_GBK" w:eastAsia="方正仿宋_GBK" w:cs="方正仿宋_GBK"/>
          <w:color w:val="auto"/>
          <w:sz w:val="32"/>
          <w:szCs w:val="32"/>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2021年度收入合计453.70万元，较上年决算数增加33.83万元，增长8.1%，主要原因</w:t>
      </w:r>
      <w:bookmarkStart w:id="0" w:name="_GoBack"/>
      <w:bookmarkEnd w:id="0"/>
      <w:r>
        <w:rPr>
          <w:rFonts w:hint="eastAsia" w:ascii="方正仿宋_GBK" w:hAnsi="方正仿宋_GBK" w:eastAsia="方正仿宋_GBK" w:cs="方正仿宋_GBK"/>
          <w:sz w:val="32"/>
          <w:szCs w:val="32"/>
        </w:rPr>
        <w:t>是</w:t>
      </w:r>
      <w:r>
        <w:rPr>
          <w:rFonts w:hint="eastAsia" w:ascii="方正仿宋_GBK" w:hAnsi="方正仿宋_GBK" w:eastAsia="方正仿宋_GBK" w:cs="方正仿宋_GBK"/>
          <w:b w:val="0"/>
          <w:bCs w:val="0"/>
          <w:color w:val="auto"/>
          <w:sz w:val="32"/>
          <w:szCs w:val="32"/>
          <w:lang w:val="en-US" w:eastAsia="zh-CN"/>
        </w:rPr>
        <w:t>本年度事业收入增加。</w:t>
      </w:r>
      <w:r>
        <w:rPr>
          <w:rFonts w:hint="eastAsia" w:ascii="方正仿宋_GBK" w:hAnsi="方正仿宋_GBK" w:eastAsia="方正仿宋_GBK" w:cs="方正仿宋_GBK"/>
          <w:sz w:val="32"/>
          <w:szCs w:val="32"/>
        </w:rPr>
        <w:t>其中：财政拨款收入218.20万元，占48.1%；事业收入235.49万元，占51.9%</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2021年度支出合计373.06万元，较上年决算数减少46.81万元，下降11.1%，主要原因是</w:t>
      </w:r>
      <w:r>
        <w:rPr>
          <w:rFonts w:hint="eastAsia" w:ascii="方正仿宋_GBK" w:hAnsi="方正仿宋_GBK" w:eastAsia="方正仿宋_GBK" w:cs="方正仿宋_GBK"/>
          <w:color w:val="auto"/>
          <w:sz w:val="32"/>
          <w:szCs w:val="32"/>
          <w:lang w:val="en-US" w:eastAsia="zh-CN"/>
        </w:rPr>
        <w:t>本年度2名在编职工调至其他单位，2名临聘人员辞退，人员经费减少，导致总体支出减少。</w:t>
      </w:r>
      <w:r>
        <w:rPr>
          <w:rFonts w:hint="eastAsia" w:ascii="方正仿宋_GBK" w:hAnsi="方正仿宋_GBK" w:eastAsia="方正仿宋_GBK" w:cs="方正仿宋_GBK"/>
          <w:sz w:val="32"/>
          <w:szCs w:val="32"/>
        </w:rPr>
        <w:t>其中：基本支出329.14万元，占88.2%；项目支出43.92万元，占11.8%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此外，结余分配80.64万元。</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2021年度财政拨款收、支总计218.20万元。与2020年相比，财政拨款收、支总计各减少58.32万元，下降21.1%。主要原因是</w:t>
      </w:r>
      <w:r>
        <w:rPr>
          <w:rFonts w:hint="eastAsia" w:ascii="方正仿宋_GBK" w:hAnsi="方正仿宋_GBK" w:eastAsia="方正仿宋_GBK" w:cs="方正仿宋_GBK"/>
          <w:color w:val="auto"/>
          <w:sz w:val="32"/>
          <w:szCs w:val="32"/>
          <w:lang w:val="en-US" w:eastAsia="zh-CN"/>
        </w:rPr>
        <w:t>在编职工数量减少，财政对人员经费的拨款减少，并且本年度项目建设资金减少，因此财政拨款收、支均减少。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2021年度一般公共预算财政拨款收入218.20万元，较上年决算数减少58.32万元，下降21.1%。</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在编职工数量减少，财政对人员经费的拨款减少，并且本年度项目建设资金减少，因此财政拨款收入减少。</w:t>
      </w:r>
      <w:r>
        <w:rPr>
          <w:rFonts w:hint="eastAsia" w:ascii="方正仿宋_GBK" w:hAnsi="方正仿宋_GBK" w:eastAsia="方正仿宋_GBK" w:cs="方正仿宋_GBK"/>
          <w:sz w:val="32"/>
          <w:szCs w:val="32"/>
          <w:shd w:val="clear" w:color="auto" w:fill="auto"/>
        </w:rPr>
        <w:t>较年初预算数增加75.83万元，增长53.3%。主要原因是</w:t>
      </w:r>
      <w:r>
        <w:rPr>
          <w:rFonts w:hint="eastAsia" w:ascii="方正仿宋_GBK" w:hAnsi="方正仿宋_GBK" w:eastAsia="方正仿宋_GBK" w:cs="方正仿宋_GBK"/>
          <w:color w:val="auto"/>
          <w:sz w:val="32"/>
          <w:szCs w:val="32"/>
          <w:shd w:val="clear" w:color="auto" w:fill="auto"/>
          <w:lang w:val="en-US" w:eastAsia="zh-CN"/>
        </w:rPr>
        <w:t>年初在进行预算时并未将发热门诊等项目编入预算，以及未将市级拨款等不可预估类特殊项目纳入预算。</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2021年度一般公共预算财政拨款支出218.20万元，较上年决算数减少58.32万元，下降21.1%。</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在编职工数量减少，财政对人员经费的拨款减少，并且本年度项目建设资金减少，因此财政拨款支出减少。</w:t>
      </w:r>
      <w:r>
        <w:rPr>
          <w:rFonts w:hint="eastAsia" w:ascii="方正仿宋_GBK" w:hAnsi="方正仿宋_GBK" w:eastAsia="方正仿宋_GBK" w:cs="方正仿宋_GBK"/>
          <w:sz w:val="32"/>
          <w:szCs w:val="32"/>
          <w:shd w:val="clear" w:color="auto" w:fill="auto"/>
        </w:rPr>
        <w:t>较年初预算数增加75.83万元，增长53.3%。主要原因是</w:t>
      </w:r>
      <w:r>
        <w:rPr>
          <w:rFonts w:hint="eastAsia" w:ascii="方正仿宋_GBK" w:hAnsi="方正仿宋_GBK" w:eastAsia="方正仿宋_GBK" w:cs="方正仿宋_GBK"/>
          <w:color w:val="auto"/>
          <w:sz w:val="32"/>
          <w:szCs w:val="32"/>
          <w:shd w:val="clear" w:color="auto" w:fill="auto"/>
          <w:lang w:val="en-US" w:eastAsia="zh-CN"/>
        </w:rPr>
        <w:t>年初在进行预算时并未将发热门诊等项目编入预算，以及未将市级拨款等不可预估类特殊项目纳入预算。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rPr>
        <w:t>（1）一般公共服务支出15.94万元，占7.3%，较年初预算数增加15.94万元，增长</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年初预算时只针对财政拨款的基本公共卫生服务项目进行预算，而在决算时，存在部分与公共卫生相关的费用，比如公共卫生科人员的工资等，系统自动列入“一般公共服务支出”核算。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default"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）社会保障与就业支出13.64万元，占6.3%，较年初预算数增加13.64万元，增长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预算系统、决算系统对“社会保障与就业支出”的核算不一样。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default"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3</w:t>
      </w:r>
      <w:r>
        <w:rPr>
          <w:rFonts w:hint="eastAsia" w:ascii="方正仿宋_GBK" w:hAnsi="方正仿宋_GBK" w:eastAsia="方正仿宋_GBK" w:cs="方正仿宋_GBK"/>
          <w:sz w:val="32"/>
          <w:szCs w:val="32"/>
          <w:shd w:val="clear" w:color="auto" w:fill="auto"/>
        </w:rPr>
        <w:t>）卫生健康支出188.63万元，占86.4%，较年初预算数增加46.26万元，增长32.5%，主要原因是</w:t>
      </w:r>
      <w:r>
        <w:rPr>
          <w:rFonts w:hint="eastAsia" w:ascii="方正仿宋_GBK" w:hAnsi="方正仿宋_GBK" w:eastAsia="方正仿宋_GBK" w:cs="方正仿宋_GBK"/>
          <w:sz w:val="32"/>
          <w:szCs w:val="32"/>
          <w:shd w:val="clear" w:color="auto" w:fill="auto"/>
          <w:lang w:val="en-US" w:eastAsia="zh-CN"/>
        </w:rPr>
        <w:t>本年度事业收入较上一年有所增加，对应的支出也增加，而年初预算是根据上一年度的收支进行预算的，所以决算支出比年初预算增加。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rPr>
        <w:t>2021年度一般公共财政拨款基本支出174.29万元。其中：人员经费145.30万元，较上年决算数减少34.71万元，下降19.3%，</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在编职工数量减少，财政对人员经费的拨款减少。</w:t>
      </w:r>
      <w:r>
        <w:rPr>
          <w:rFonts w:hint="eastAsia" w:ascii="方正仿宋_GBK" w:hAnsi="方正仿宋_GBK" w:eastAsia="方正仿宋_GBK" w:cs="方正仿宋_GBK"/>
          <w:sz w:val="32"/>
          <w:szCs w:val="32"/>
          <w:shd w:val="clear" w:color="auto" w:fill="auto"/>
        </w:rPr>
        <w:t>人员经费用途主要包括</w:t>
      </w:r>
      <w:r>
        <w:rPr>
          <w:rFonts w:hint="eastAsia" w:ascii="方正仿宋_GBK" w:hAnsi="方正仿宋_GBK" w:eastAsia="方正仿宋_GBK" w:cs="方正仿宋_GBK"/>
          <w:b w:val="0"/>
          <w:bCs w:val="0"/>
          <w:color w:val="auto"/>
          <w:sz w:val="32"/>
          <w:szCs w:val="32"/>
          <w:shd w:val="clear" w:color="auto" w:fill="auto"/>
          <w:lang w:val="en-US" w:eastAsia="zh-CN"/>
        </w:rPr>
        <w:t>人员基本工资、基础绩效、五险二金的发放。</w:t>
      </w:r>
      <w:r>
        <w:rPr>
          <w:rFonts w:hint="eastAsia" w:ascii="方正仿宋_GBK" w:hAnsi="方正仿宋_GBK" w:eastAsia="方正仿宋_GBK" w:cs="方正仿宋_GBK"/>
          <w:sz w:val="32"/>
          <w:szCs w:val="32"/>
          <w:shd w:val="clear" w:color="auto" w:fill="auto"/>
        </w:rPr>
        <w:t>公用经费28.99万元，较上年决算数增加2.57万元，增长9.7%，主要原因是</w:t>
      </w:r>
      <w:r>
        <w:rPr>
          <w:rFonts w:hint="eastAsia" w:ascii="方正仿宋_GBK" w:hAnsi="方正仿宋_GBK" w:eastAsia="方正仿宋_GBK" w:cs="方正仿宋_GBK"/>
          <w:color w:val="auto"/>
          <w:sz w:val="32"/>
          <w:szCs w:val="32"/>
          <w:shd w:val="clear" w:color="auto" w:fill="auto"/>
          <w:lang w:val="en-US" w:eastAsia="zh-CN"/>
        </w:rPr>
        <w:t>财政实际拨款资金多于当前年度实际报账的财政资金，调节至人员费用后仍有剩余，故调账至公用经费。</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劳务费支付等。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b w:val="0"/>
          <w:bCs w:val="0"/>
          <w:color w:val="auto"/>
          <w:shd w:val="clear" w:color="auto" w:fill="auto"/>
        </w:rPr>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b w:val="0"/>
          <w:bCs w:val="0"/>
          <w:shd w:val="clear" w:color="auto" w:fill="auto"/>
        </w:rPr>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 xml:space="preserve"> 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单价50万元（含）以上通用设备0台（套），单价100万元（含）以上专用设备0台（套）。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w:t>
      </w:r>
      <w:r>
        <w:rPr>
          <w:rFonts w:hint="eastAsia" w:ascii="方正仿宋_GBK" w:eastAsia="方正仿宋_GBK"/>
          <w:sz w:val="32"/>
          <w:szCs w:val="32"/>
          <w:lang w:val="en-US" w:eastAsia="zh-CN"/>
        </w:rPr>
        <w:t>3</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43.92</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10.2</w:t>
      </w:r>
      <w:r>
        <w:rPr>
          <w:rFonts w:hint="eastAsia" w:ascii="方正仿宋_GBK" w:eastAsia="方正仿宋_GBK"/>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sz w:val="22"/>
          <w:szCs w:val="22"/>
        </w:rPr>
      </w:pPr>
      <w:r>
        <w:rPr>
          <w:rStyle w:val="7"/>
          <w:rFonts w:hint="eastAsia" w:ascii="方正仿宋_GBK" w:hAnsi="方正仿宋_GBK" w:eastAsia="方正仿宋_GBK" w:cs="方正仿宋_GBK"/>
          <w:sz w:val="32"/>
          <w:szCs w:val="32"/>
        </w:rPr>
        <w:t>1.绩效目标自评表</w:t>
      </w:r>
    </w:p>
    <w:tbl>
      <w:tblPr>
        <w:tblStyle w:val="5"/>
        <w:tblW w:w="9014" w:type="dxa"/>
        <w:jc w:val="center"/>
        <w:tblLayout w:type="fixed"/>
        <w:tblCellMar>
          <w:top w:w="0" w:type="dxa"/>
          <w:left w:w="108" w:type="dxa"/>
          <w:bottom w:w="0" w:type="dxa"/>
          <w:right w:w="108" w:type="dxa"/>
        </w:tblCellMar>
      </w:tblPr>
      <w:tblGrid>
        <w:gridCol w:w="616"/>
        <w:gridCol w:w="1980"/>
        <w:gridCol w:w="1515"/>
        <w:gridCol w:w="1461"/>
        <w:gridCol w:w="1418"/>
        <w:gridCol w:w="948"/>
        <w:gridCol w:w="1076"/>
      </w:tblGrid>
      <w:tr>
        <w:tblPrEx>
          <w:tblCellMar>
            <w:top w:w="0" w:type="dxa"/>
            <w:left w:w="108" w:type="dxa"/>
            <w:bottom w:w="0" w:type="dxa"/>
            <w:right w:w="108" w:type="dxa"/>
          </w:tblCellMar>
        </w:tblPrEx>
        <w:trPr>
          <w:trHeight w:val="585" w:hRule="atLeast"/>
          <w:jc w:val="center"/>
        </w:trPr>
        <w:tc>
          <w:tcPr>
            <w:tcW w:w="9014"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河嘴乡卫生院</w:t>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0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10.2</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10.2</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10.2</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10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3442"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344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024"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8398"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left="0" w:leftChars="0"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shd w:val="clear" w:color="auto" w:fill="FFFFFF"/>
        </w:rPr>
        <w:t>023-73336189</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9E0D7"/>
    <w:multiLevelType w:val="singleLevel"/>
    <w:tmpl w:val="B8B9E0D7"/>
    <w:lvl w:ilvl="0" w:tentative="0">
      <w:start w:val="3"/>
      <w:numFmt w:val="chineseCounting"/>
      <w:suff w:val="nothing"/>
      <w:lvlText w:val="（%1）"/>
      <w:lvlJc w:val="left"/>
      <w:pPr>
        <w:ind w:left="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06322A"/>
    <w:rsid w:val="00032AF8"/>
    <w:rsid w:val="0006322A"/>
    <w:rsid w:val="13822317"/>
    <w:rsid w:val="146E086D"/>
    <w:rsid w:val="29D822BA"/>
    <w:rsid w:val="2FC75F6A"/>
    <w:rsid w:val="43CA60E7"/>
    <w:rsid w:val="4655400D"/>
    <w:rsid w:val="4C7512F6"/>
    <w:rsid w:val="5401380F"/>
    <w:rsid w:val="57090239"/>
    <w:rsid w:val="5B4F263B"/>
    <w:rsid w:val="656306C9"/>
    <w:rsid w:val="72FF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4667</Words>
  <Characters>5059</Characters>
  <Lines>64</Lines>
  <Paragraphs>18</Paragraphs>
  <TotalTime>30</TotalTime>
  <ScaleCrop>false</ScaleCrop>
  <LinksUpToDate>false</LinksUpToDate>
  <CharactersWithSpaces>5104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2022-10-22T03:04:00Z</dcterms:created>
  <dc:creator>HP</dc:creator>
  <cp:lastModifiedBy>admin</cp:lastModifiedBy>
  <dcterms:modified xsi:type="dcterms:W3CDTF">2023-01-30T08:44:22Z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D0B64716BD634D27AEC71A8E909E16BA</vt:lpwstr>
  </property>
</Properties>
</file>