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重庆市石柱土家族自治</w:t>
      </w:r>
      <w:bookmarkStart w:id="0" w:name="_GoBack"/>
      <w:bookmarkEnd w:id="0"/>
      <w:r>
        <w:rPr>
          <w:rFonts w:hint="eastAsia" w:ascii="方正小标宋_GBK" w:hAnsi="方正小标宋_GBK" w:eastAsia="方正小标宋_GBK" w:cs="方正小标宋_GBK"/>
          <w:sz w:val="44"/>
          <w:szCs w:val="44"/>
        </w:rPr>
        <w:t>县王家乡卫生院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jc w:val="center"/>
        <w:textAlignment w:val="auto"/>
      </w:pPr>
      <w:r>
        <w:rPr>
          <w:rFonts w:hint="eastAsia" w:ascii="方正小标宋_GBK" w:hAnsi="方正小标宋_GBK" w:eastAsia="方正小标宋_GBK" w:cs="方正小标宋_GBK"/>
          <w:sz w:val="44"/>
          <w:szCs w:val="44"/>
        </w:rPr>
        <w:t>2021年度</w:t>
      </w:r>
      <w:r>
        <w:rPr>
          <w:rFonts w:hint="eastAsia" w:ascii="方正小标宋_GBK" w:hAnsi="方正小标宋_GBK" w:eastAsia="方正小标宋_GBK" w:cs="方正小标宋_GBK"/>
          <w:sz w:val="44"/>
          <w:szCs w:val="44"/>
          <w:lang w:eastAsia="zh-CN"/>
        </w:rPr>
        <w:t>单位</w:t>
      </w:r>
      <w:r>
        <w:rPr>
          <w:rFonts w:hint="eastAsia" w:ascii="方正小标宋_GBK" w:hAnsi="方正小标宋_GBK" w:eastAsia="方正小标宋_GBK" w:cs="方正小标宋_GBK"/>
          <w:sz w:val="44"/>
          <w:szCs w:val="44"/>
        </w:rPr>
        <w:t>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 xml:space="preserve"> 一、</w:t>
      </w:r>
      <w:r>
        <w:rPr>
          <w:rStyle w:val="7"/>
          <w:rFonts w:hint="eastAsia" w:ascii="方正黑体_GBK" w:hAnsi="方正黑体_GBK" w:eastAsia="方正黑体_GBK" w:cs="方正黑体_GBK"/>
          <w:sz w:val="32"/>
          <w:szCs w:val="32"/>
          <w:lang w:eastAsia="zh-CN"/>
        </w:rPr>
        <w:t>单位</w:t>
      </w:r>
      <w:r>
        <w:rPr>
          <w:rStyle w:val="7"/>
          <w:rFonts w:hint="eastAsia" w:ascii="方正黑体_GBK" w:hAnsi="方正黑体_GBK" w:eastAsia="方正黑体_GBK" w:cs="方正黑体_GBK"/>
          <w:sz w:val="32"/>
          <w:szCs w:val="32"/>
        </w:rPr>
        <w:t>基本情况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（一）职能职责</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440" w:firstLineChars="200"/>
        <w:textAlignment w:val="auto"/>
        <w:rPr>
          <w:rFonts w:ascii="方正仿宋_GBK" w:hAnsi="宋体" w:eastAsia="方正仿宋_GBK" w:cs="宋体"/>
          <w:kern w:val="0"/>
          <w:sz w:val="32"/>
          <w:szCs w:val="32"/>
        </w:rPr>
      </w:pPr>
      <w:r>
        <w:rPr>
          <w:color w:val="FF0000"/>
          <w:sz w:val="22"/>
          <w:szCs w:val="22"/>
        </w:rPr>
        <w:t> </w:t>
      </w:r>
      <w:r>
        <w:rPr>
          <w:rFonts w:hint="eastAsia" w:ascii="方正仿宋_GBK" w:hAnsi="方正仿宋_GBK" w:eastAsia="方正仿宋_GBK" w:cs="方正仿宋_GBK"/>
          <w:color w:val="auto"/>
          <w:sz w:val="32"/>
          <w:szCs w:val="32"/>
          <w:lang w:val="en-US" w:eastAsia="zh-CN"/>
        </w:rPr>
        <w:t>1.</w:t>
      </w:r>
      <w:r>
        <w:rPr>
          <w:rFonts w:hint="eastAsia" w:ascii="方正仿宋_GBK" w:hAnsi="宋体" w:eastAsia="方正仿宋_GBK" w:cs="宋体"/>
          <w:kern w:val="0"/>
          <w:sz w:val="32"/>
          <w:szCs w:val="32"/>
        </w:rPr>
        <w:t>承担基本公共卫生服务：提供城乡居民健康档案管理、健康教育、预防接种、0～6岁儿童健康管理、孕产妇健康管理、老年人健康管理、高血压患者健康管理、2型糖尿病患者健康管理、重性精神疾病患者管理。</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2.</w:t>
      </w:r>
      <w:r>
        <w:rPr>
          <w:rFonts w:hint="eastAsia" w:ascii="方正仿宋_GBK" w:hAnsi="宋体" w:eastAsia="方正仿宋_GBK" w:cs="宋体"/>
          <w:kern w:val="0"/>
          <w:sz w:val="32"/>
          <w:szCs w:val="32"/>
        </w:rPr>
        <w:t>负责乡镇卫生诊断，传染病疫情报告和监测，预防接种，结核病、艾滋病等重大传染病预防，常见传染病防治，地方病、寄生虫病防治等服务，协助卫生监督。</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3.</w:t>
      </w:r>
      <w:r>
        <w:rPr>
          <w:rFonts w:hint="eastAsia" w:ascii="方正仿宋_GBK" w:hAnsi="宋体" w:eastAsia="方正仿宋_GBK" w:cs="宋体"/>
          <w:kern w:val="0"/>
          <w:sz w:val="32"/>
          <w:szCs w:val="32"/>
        </w:rPr>
        <w:t>使用适宜技术、设备和基本药物，开展常见病、多发病的门诊和住院诊治、院内外急救、转诊和中医药等服务。</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4.</w:t>
      </w:r>
      <w:r>
        <w:rPr>
          <w:rFonts w:hint="eastAsia" w:ascii="方正仿宋_GBK" w:hAnsi="宋体" w:eastAsia="方正仿宋_GBK" w:cs="宋体"/>
          <w:kern w:val="0"/>
          <w:sz w:val="32"/>
          <w:szCs w:val="32"/>
        </w:rPr>
        <w:t>承担生殖生育健康技术服务、优生指导、药具发放、随访服务；信息咨询、生殖健康宣传教育、人员培训等公共服务。</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5.</w:t>
      </w:r>
      <w:r>
        <w:rPr>
          <w:rFonts w:hint="eastAsia" w:ascii="方正仿宋_GBK" w:hAnsi="宋体" w:eastAsia="方正仿宋_GBK" w:cs="宋体"/>
          <w:kern w:val="0"/>
          <w:sz w:val="32"/>
          <w:szCs w:val="32"/>
        </w:rPr>
        <w:t>协助卫健行政主管</w:t>
      </w:r>
      <w:r>
        <w:rPr>
          <w:rFonts w:hint="eastAsia" w:ascii="方正仿宋_GBK" w:eastAsia="方正仿宋_GBK" w:cs="宋体"/>
          <w:kern w:val="0"/>
          <w:sz w:val="32"/>
          <w:szCs w:val="32"/>
          <w:lang w:eastAsia="zh-CN"/>
        </w:rPr>
        <w:t>单位</w:t>
      </w:r>
      <w:r>
        <w:rPr>
          <w:rFonts w:hint="eastAsia" w:ascii="方正仿宋_GBK" w:hAnsi="宋体" w:eastAsia="方正仿宋_GBK" w:cs="宋体"/>
          <w:kern w:val="0"/>
          <w:sz w:val="32"/>
          <w:szCs w:val="32"/>
        </w:rPr>
        <w:t>做好辖区内社区卫生服务站、村卫生室和诊所的管理及技术指导工作。</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6.</w:t>
      </w:r>
      <w:r>
        <w:rPr>
          <w:rFonts w:hint="eastAsia" w:ascii="方正仿宋_GBK" w:hAnsi="宋体" w:eastAsia="方正仿宋_GBK" w:cs="宋体"/>
          <w:kern w:val="0"/>
          <w:sz w:val="32"/>
          <w:szCs w:val="32"/>
        </w:rPr>
        <w:t>负责辖区内医疗卫生计生信息统计报告工作。</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7.</w:t>
      </w:r>
      <w:r>
        <w:rPr>
          <w:rFonts w:hint="eastAsia" w:ascii="方正仿宋_GBK" w:hAnsi="宋体" w:eastAsia="方正仿宋_GBK" w:cs="宋体"/>
          <w:kern w:val="0"/>
          <w:sz w:val="32"/>
          <w:szCs w:val="32"/>
        </w:rPr>
        <w:t>协助政府制定、实施农村基本医疗卫生保健规划，开展爱国卫生工作。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Fonts w:hint="eastAsia" w:ascii="方正仿宋_GBK" w:eastAsia="方正仿宋_GBK" w:cs="宋体"/>
          <w:kern w:val="0"/>
          <w:sz w:val="32"/>
          <w:szCs w:val="32"/>
          <w:lang w:val="en-US" w:eastAsia="zh-CN"/>
        </w:rPr>
        <w:t>8.</w:t>
      </w:r>
      <w:r>
        <w:rPr>
          <w:rFonts w:hint="eastAsia" w:ascii="方正仿宋_GBK" w:hAnsi="宋体" w:eastAsia="方正仿宋_GBK" w:cs="宋体"/>
          <w:kern w:val="0"/>
          <w:sz w:val="32"/>
          <w:szCs w:val="32"/>
        </w:rPr>
        <w:t>承办县卫生健康委员会交办的其他工作。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（二）机构设置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Fonts w:hint="eastAsia" w:ascii="方正仿宋_GBK" w:hAnsi="宋体" w:eastAsia="方正仿宋_GBK" w:cs="宋体"/>
          <w:kern w:val="0"/>
          <w:sz w:val="32"/>
          <w:szCs w:val="32"/>
        </w:rPr>
        <w:t>王家</w:t>
      </w:r>
      <w:r>
        <w:rPr>
          <w:rFonts w:hint="eastAsia" w:ascii="方正仿宋_GBK" w:eastAsia="方正仿宋_GBK" w:cs="宋体"/>
          <w:kern w:val="0"/>
          <w:sz w:val="32"/>
          <w:szCs w:val="32"/>
          <w:lang w:val="en-US" w:eastAsia="zh-CN"/>
        </w:rPr>
        <w:t>乡</w:t>
      </w:r>
      <w:r>
        <w:rPr>
          <w:rFonts w:hint="eastAsia" w:ascii="方正仿宋_GBK" w:hAnsi="宋体" w:eastAsia="方正仿宋_GBK" w:cs="宋体"/>
          <w:kern w:val="0"/>
          <w:sz w:val="32"/>
          <w:szCs w:val="32"/>
        </w:rPr>
        <w:t>卫生院位于王家镇街上，属于公益一类医疗事业单位，王家镇</w:t>
      </w:r>
      <w:r>
        <w:rPr>
          <w:rFonts w:ascii="方正仿宋_GBK" w:hAnsi="宋体" w:eastAsia="方正仿宋_GBK" w:cs="宋体"/>
          <w:kern w:val="0"/>
          <w:sz w:val="32"/>
          <w:szCs w:val="32"/>
        </w:rPr>
        <w:t>卫生院</w:t>
      </w:r>
      <w:r>
        <w:rPr>
          <w:rFonts w:hint="eastAsia" w:ascii="方正仿宋_GBK" w:hAnsi="宋体" w:eastAsia="方正仿宋_GBK" w:cs="宋体"/>
          <w:kern w:val="0"/>
          <w:sz w:val="32"/>
          <w:szCs w:val="32"/>
        </w:rPr>
        <w:t>建筑积1179平方米，</w:t>
      </w:r>
      <w:r>
        <w:rPr>
          <w:rFonts w:hint="eastAsia" w:ascii="方正仿宋_GBK" w:hAnsi="宋体" w:eastAsia="方正仿宋_GBK" w:cs="宋体"/>
          <w:kern w:val="0"/>
          <w:sz w:val="32"/>
          <w:szCs w:val="32"/>
          <w:highlight w:val="none"/>
        </w:rPr>
        <w:t>编制人数13人，在编在岗</w:t>
      </w:r>
      <w:r>
        <w:rPr>
          <w:rFonts w:hint="eastAsia" w:ascii="方正仿宋_GBK" w:eastAsia="方正仿宋_GBK" w:cs="宋体"/>
          <w:kern w:val="0"/>
          <w:sz w:val="32"/>
          <w:szCs w:val="32"/>
          <w:highlight w:val="none"/>
          <w:lang w:val="en-US" w:eastAsia="zh-CN"/>
        </w:rPr>
        <w:t>12</w:t>
      </w:r>
      <w:r>
        <w:rPr>
          <w:rFonts w:hint="eastAsia" w:ascii="方正仿宋_GBK" w:hAnsi="宋体" w:eastAsia="方正仿宋_GBK" w:cs="宋体"/>
          <w:kern w:val="0"/>
          <w:sz w:val="32"/>
          <w:szCs w:val="32"/>
          <w:highlight w:val="none"/>
        </w:rPr>
        <w:t>人，临时工</w:t>
      </w:r>
      <w:r>
        <w:rPr>
          <w:rFonts w:hint="eastAsia" w:ascii="方正仿宋_GBK" w:eastAsia="方正仿宋_GBK" w:cs="宋体"/>
          <w:kern w:val="0"/>
          <w:sz w:val="32"/>
          <w:szCs w:val="32"/>
          <w:highlight w:val="none"/>
          <w:lang w:val="en-US" w:eastAsia="zh-CN"/>
        </w:rPr>
        <w:t>4</w:t>
      </w:r>
      <w:r>
        <w:rPr>
          <w:rFonts w:hint="eastAsia" w:ascii="方正仿宋_GBK" w:hAnsi="宋体" w:eastAsia="方正仿宋_GBK" w:cs="宋体"/>
          <w:kern w:val="0"/>
          <w:sz w:val="32"/>
          <w:szCs w:val="32"/>
          <w:highlight w:val="none"/>
        </w:rPr>
        <w:t>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（三）单位构成</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color w:val="auto"/>
          <w:kern w:val="0"/>
          <w:sz w:val="32"/>
          <w:szCs w:val="32"/>
        </w:rPr>
      </w:pPr>
      <w:r>
        <w:rPr>
          <w:rFonts w:hint="eastAsia" w:ascii="方正仿宋_GBK" w:hAnsi="方正仿宋_GBK" w:eastAsia="方正仿宋_GBK" w:cs="方正仿宋_GBK"/>
          <w:color w:val="auto"/>
          <w:sz w:val="32"/>
          <w:szCs w:val="32"/>
        </w:rPr>
        <w:t>从预算单位构成看，</w:t>
      </w:r>
      <w:r>
        <w:rPr>
          <w:rFonts w:hint="eastAsia" w:ascii="方正仿宋_GBK" w:hAnsi="方正仿宋_GBK" w:eastAsia="方正仿宋_GBK" w:cs="方正仿宋_GBK"/>
          <w:color w:val="auto"/>
          <w:sz w:val="32"/>
          <w:szCs w:val="32"/>
          <w:lang w:val="en-US" w:eastAsia="zh-CN"/>
        </w:rPr>
        <w:t>该卫生院下设门诊、住院部、护理部、办公室等科室</w:t>
      </w:r>
      <w:r>
        <w:rPr>
          <w:rFonts w:hint="eastAsia" w:ascii="方正仿宋_GBK" w:hAnsi="方正仿宋_GBK" w:eastAsia="方正仿宋_GBK" w:cs="方正仿宋_GBK"/>
          <w:color w:val="auto"/>
          <w:sz w:val="32"/>
          <w:szCs w:val="32"/>
        </w:rPr>
        <w:t>。</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黑体_GBK" w:hAnsi="方正黑体_GBK" w:eastAsia="方正黑体_GBK" w:cs="方正黑体_GBK"/>
          <w:sz w:val="32"/>
          <w:szCs w:val="32"/>
          <w:lang w:eastAsia="zh-CN"/>
        </w:rPr>
        <w:t>单位</w:t>
      </w:r>
      <w:r>
        <w:rPr>
          <w:rStyle w:val="7"/>
          <w:rFonts w:hint="eastAsia" w:ascii="方正黑体_GBK" w:hAnsi="方正黑体_GBK" w:eastAsia="方正黑体_GBK" w:cs="方正黑体_GBK"/>
          <w:sz w:val="32"/>
          <w:szCs w:val="32"/>
        </w:rPr>
        <w:t>决算情况说明</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color w:val="auto"/>
          <w:sz w:val="32"/>
          <w:szCs w:val="32"/>
        </w:rPr>
      </w:pPr>
      <w:r>
        <w:rPr>
          <w:rStyle w:val="7"/>
          <w:rFonts w:hint="eastAsia" w:ascii="方正仿宋_GBK" w:hAnsi="方正仿宋_GBK" w:eastAsia="方正仿宋_GBK" w:cs="方正仿宋_GBK"/>
          <w:sz w:val="32"/>
          <w:szCs w:val="32"/>
        </w:rPr>
        <w:t>1.总体情况。</w:t>
      </w:r>
      <w:r>
        <w:rPr>
          <w:rFonts w:hint="eastAsia" w:ascii="方正仿宋_GBK" w:hAnsi="方正仿宋_GBK" w:eastAsia="方正仿宋_GBK" w:cs="方正仿宋_GBK"/>
          <w:sz w:val="32"/>
          <w:szCs w:val="32"/>
        </w:rPr>
        <w:t>2021年度收入总计276.61万元，支出总计276.61万元。收支较上年决算数减少108.12万元、下降28.1%，主要原因是</w:t>
      </w:r>
      <w:r>
        <w:rPr>
          <w:rFonts w:hint="eastAsia" w:ascii="方正仿宋_GBK" w:hAnsi="方正仿宋_GBK" w:eastAsia="方正仿宋_GBK" w:cs="方正仿宋_GBK"/>
          <w:color w:val="auto"/>
          <w:sz w:val="32"/>
          <w:szCs w:val="32"/>
          <w:lang w:val="en-US" w:eastAsia="zh-CN"/>
        </w:rPr>
        <w:t>财政拨款减少、事业收入减少。</w:t>
      </w:r>
      <w:r>
        <w:rPr>
          <w:rFonts w:hint="eastAsia" w:ascii="方正仿宋_GBK" w:hAnsi="方正仿宋_GBK" w:eastAsia="方正仿宋_GBK" w:cs="方正仿宋_GBK"/>
          <w:color w:val="auto"/>
          <w:sz w:val="32"/>
          <w:szCs w:val="32"/>
        </w:rPr>
        <w:t>本部分的收入总计包括收入合计、使用非财政拨款结余、年初结转和结余，支出总计包括本年支出合计、结余分配、年末结转和结余。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2.收入情况。</w:t>
      </w:r>
      <w:r>
        <w:rPr>
          <w:rFonts w:hint="eastAsia" w:ascii="方正仿宋_GBK" w:hAnsi="方正仿宋_GBK" w:eastAsia="方正仿宋_GBK" w:cs="方正仿宋_GBK"/>
          <w:sz w:val="32"/>
          <w:szCs w:val="32"/>
        </w:rPr>
        <w:t>2021年度收入合计276.61万元，较上年决算数减少108.12万元，下降28.1%，主要原因是</w:t>
      </w:r>
      <w:r>
        <w:rPr>
          <w:rFonts w:hint="eastAsia" w:ascii="方正仿宋_GBK" w:hAnsi="方正仿宋_GBK" w:eastAsia="方正仿宋_GBK" w:cs="方正仿宋_GBK"/>
          <w:color w:val="auto"/>
          <w:sz w:val="32"/>
          <w:szCs w:val="32"/>
          <w:lang w:val="en-US" w:eastAsia="zh-CN"/>
        </w:rPr>
        <w:t>财政拨款减少、事业收入减少。</w:t>
      </w:r>
      <w:r>
        <w:rPr>
          <w:rFonts w:hint="eastAsia" w:ascii="方正仿宋_GBK" w:hAnsi="方正仿宋_GBK" w:eastAsia="方正仿宋_GBK" w:cs="方正仿宋_GBK"/>
          <w:sz w:val="32"/>
          <w:szCs w:val="32"/>
        </w:rPr>
        <w:t>其中：财政拨款收入130.28万元，占47.1%；事业收入146.33万元，占52.9%。</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3.支出情况。</w:t>
      </w:r>
      <w:r>
        <w:rPr>
          <w:rFonts w:hint="eastAsia" w:ascii="方正仿宋_GBK" w:hAnsi="方正仿宋_GBK" w:eastAsia="方正仿宋_GBK" w:cs="方正仿宋_GBK"/>
          <w:sz w:val="32"/>
          <w:szCs w:val="32"/>
        </w:rPr>
        <w:t>2021年度支出合计256.99万元，较上年决算数减少127.74万元，下降33.2%，主要原因是</w:t>
      </w:r>
      <w:r>
        <w:rPr>
          <w:rFonts w:hint="eastAsia" w:ascii="方正仿宋_GBK" w:hAnsi="方正仿宋_GBK" w:eastAsia="方正仿宋_GBK" w:cs="方正仿宋_GBK"/>
          <w:color w:val="auto"/>
          <w:sz w:val="32"/>
          <w:szCs w:val="32"/>
          <w:lang w:val="en-US" w:eastAsia="zh-CN"/>
        </w:rPr>
        <w:t>财政拨款减少、事业收入减少。</w:t>
      </w:r>
      <w:r>
        <w:rPr>
          <w:rFonts w:hint="eastAsia" w:ascii="方正仿宋_GBK" w:hAnsi="方正仿宋_GBK" w:eastAsia="方正仿宋_GBK" w:cs="方正仿宋_GBK"/>
          <w:sz w:val="32"/>
          <w:szCs w:val="32"/>
        </w:rPr>
        <w:t>其中：基本支出243.01万元，占94.6%；项目支出13.98万元，占5.4%。此外，结余分配19.62万元。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4.结转结余情况。</w:t>
      </w:r>
      <w:r>
        <w:rPr>
          <w:rFonts w:hint="eastAsia" w:ascii="方正仿宋_GBK" w:hAnsi="方正仿宋_GBK" w:eastAsia="方正仿宋_GBK" w:cs="方正仿宋_GBK"/>
          <w:sz w:val="32"/>
          <w:szCs w:val="32"/>
        </w:rPr>
        <w:t>2021年度年末结转和结余0.00万元</w:t>
      </w:r>
      <w:r>
        <w:rPr>
          <w:rFonts w:hint="eastAsia" w:ascii="方正仿宋_GBK" w:hAnsi="方正仿宋_GBK" w:eastAsia="方正仿宋_GBK" w:cs="方正仿宋_GBK"/>
          <w:color w:val="auto"/>
          <w:sz w:val="32"/>
          <w:szCs w:val="32"/>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（二）财政拨款收入支出决算总体情况说明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2021年度财政拨款收、支总计130.28万元。与2020年相比，财政拨款收、支总计各减少96.31万元，下降42.5%。主要原因是</w:t>
      </w:r>
      <w:r>
        <w:rPr>
          <w:rFonts w:hint="eastAsia" w:ascii="方正仿宋_GBK" w:hAnsi="方正仿宋_GBK" w:eastAsia="方正仿宋_GBK" w:cs="方正仿宋_GBK"/>
          <w:color w:val="auto"/>
          <w:sz w:val="32"/>
          <w:szCs w:val="32"/>
          <w:lang w:val="en-US" w:eastAsia="zh-CN"/>
        </w:rPr>
        <w:t>财政拨款“卫生健康支出”减少。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（三）一般公共预算财政拨款收入支出决算情况说明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1.收入情况。</w:t>
      </w:r>
      <w:r>
        <w:rPr>
          <w:rFonts w:hint="eastAsia" w:ascii="方正仿宋_GBK" w:hAnsi="方正仿宋_GBK" w:eastAsia="方正仿宋_GBK" w:cs="方正仿宋_GBK"/>
          <w:sz w:val="32"/>
          <w:szCs w:val="32"/>
        </w:rPr>
        <w:t>2021年度一般公共预算财政拨款收入130.28万元，较上年决算数减少96.31万元，下降42.5%。主要原因是</w:t>
      </w:r>
      <w:r>
        <w:rPr>
          <w:rFonts w:hint="eastAsia" w:ascii="方正仿宋_GBK" w:hAnsi="方正仿宋_GBK" w:eastAsia="方正仿宋_GBK" w:cs="方正仿宋_GBK"/>
          <w:color w:val="auto"/>
          <w:sz w:val="32"/>
          <w:szCs w:val="32"/>
          <w:lang w:val="en-US" w:eastAsia="zh-CN"/>
        </w:rPr>
        <w:t>财政拨款项目资金减少。</w:t>
      </w:r>
      <w:r>
        <w:rPr>
          <w:rFonts w:hint="eastAsia" w:ascii="方正仿宋_GBK" w:hAnsi="方正仿宋_GBK" w:eastAsia="方正仿宋_GBK" w:cs="方正仿宋_GBK"/>
          <w:sz w:val="32"/>
          <w:szCs w:val="32"/>
        </w:rPr>
        <w:t>较年初预算数减少25.71万元，下降16.5%。主要原因是</w:t>
      </w:r>
      <w:r>
        <w:rPr>
          <w:rFonts w:hint="eastAsia" w:ascii="方正仿宋_GBK" w:hAnsi="方正仿宋_GBK" w:eastAsia="方正仿宋_GBK" w:cs="方正仿宋_GBK"/>
          <w:color w:val="auto"/>
          <w:sz w:val="32"/>
          <w:szCs w:val="32"/>
          <w:lang w:val="en-US" w:eastAsia="zh-CN"/>
        </w:rPr>
        <w:t>年初在进行预算时并未将发热门诊等项目编入预算，以及未将市级拨款等不可预估类特殊项目纳入预算。</w:t>
      </w:r>
      <w:r>
        <w:rPr>
          <w:rFonts w:hint="eastAsia" w:ascii="方正仿宋_GBK" w:hAnsi="方正仿宋_GBK" w:eastAsia="方正仿宋_GBK" w:cs="方正仿宋_GBK"/>
          <w:sz w:val="32"/>
          <w:szCs w:val="32"/>
        </w:rPr>
        <w:t>此外，年初财政拨款结转和结余0.00万元。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2.支出情况。</w:t>
      </w:r>
      <w:r>
        <w:rPr>
          <w:rFonts w:hint="eastAsia" w:ascii="方正仿宋_GBK" w:hAnsi="方正仿宋_GBK" w:eastAsia="方正仿宋_GBK" w:cs="方正仿宋_GBK"/>
          <w:sz w:val="32"/>
          <w:szCs w:val="32"/>
        </w:rPr>
        <w:t>2021年度一般公共预算财政拨款支出130.28万元，较上年决算数减少96.31万元，下降42.5%。主要原因是</w:t>
      </w:r>
      <w:r>
        <w:rPr>
          <w:rFonts w:hint="eastAsia" w:ascii="方正仿宋_GBK" w:hAnsi="方正仿宋_GBK" w:eastAsia="方正仿宋_GBK" w:cs="方正仿宋_GBK"/>
          <w:color w:val="auto"/>
          <w:sz w:val="32"/>
          <w:szCs w:val="32"/>
          <w:lang w:val="en-US" w:eastAsia="zh-CN"/>
        </w:rPr>
        <w:t>财政拨款项目资金减少。</w:t>
      </w:r>
      <w:r>
        <w:rPr>
          <w:rFonts w:hint="eastAsia" w:ascii="方正仿宋_GBK" w:hAnsi="方正仿宋_GBK" w:eastAsia="方正仿宋_GBK" w:cs="方正仿宋_GBK"/>
          <w:sz w:val="32"/>
          <w:szCs w:val="32"/>
        </w:rPr>
        <w:t>较年初预算数减少25.71万元，下降16.5%。主要原因是</w:t>
      </w:r>
      <w:r>
        <w:rPr>
          <w:rFonts w:hint="eastAsia" w:ascii="方正仿宋_GBK" w:hAnsi="方正仿宋_GBK" w:eastAsia="方正仿宋_GBK" w:cs="方正仿宋_GBK"/>
          <w:color w:val="auto"/>
          <w:sz w:val="32"/>
          <w:szCs w:val="32"/>
          <w:lang w:val="en-US" w:eastAsia="zh-CN"/>
        </w:rPr>
        <w:t>年初在进行预算时并未将发热门诊等项目编入预算，以及未将市级拨款等不可预估类特殊项目纳入预算。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lang w:eastAsia="zh-CN"/>
        </w:rPr>
      </w:pPr>
      <w:r>
        <w:rPr>
          <w:rStyle w:val="7"/>
          <w:rFonts w:hint="eastAsia" w:ascii="方正仿宋_GBK" w:hAnsi="方正仿宋_GBK" w:eastAsia="方正仿宋_GBK" w:cs="方正仿宋_GBK"/>
          <w:sz w:val="32"/>
          <w:szCs w:val="32"/>
        </w:rPr>
        <w:t>3.结转结余情况。</w:t>
      </w:r>
      <w:r>
        <w:rPr>
          <w:rFonts w:hint="eastAsia" w:ascii="方正仿宋_GBK" w:hAnsi="方正仿宋_GBK" w:eastAsia="方正仿宋_GBK" w:cs="方正仿宋_GBK"/>
          <w:sz w:val="32"/>
          <w:szCs w:val="32"/>
        </w:rPr>
        <w:t>2021年度年末一般公共预算财政拨款结转和结余0.00万元</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4.比较情况。</w:t>
      </w:r>
      <w:r>
        <w:rPr>
          <w:rFonts w:hint="eastAsia" w:ascii="方正仿宋_GBK" w:hAnsi="方正仿宋_GBK" w:eastAsia="方正仿宋_GBK" w:cs="方正仿宋_GBK"/>
          <w:sz w:val="32"/>
          <w:szCs w:val="32"/>
        </w:rPr>
        <w:t>本</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2021年度一般公共预算财政拨款支出主要用于以下几个方面：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1</w:t>
      </w:r>
      <w:r>
        <w:rPr>
          <w:rFonts w:hint="eastAsia" w:ascii="方正仿宋_GBK" w:hAnsi="方正仿宋_GBK" w:eastAsia="方正仿宋_GBK" w:cs="方正仿宋_GBK"/>
          <w:sz w:val="32"/>
          <w:szCs w:val="32"/>
          <w:shd w:val="clear" w:color="auto" w:fill="auto"/>
        </w:rPr>
        <w:t>）社会保障与就业支出13.30万元，占10.2%，较年初预算数增加13.30万元，增长</w:t>
      </w:r>
      <w:r>
        <w:rPr>
          <w:rFonts w:hint="eastAsia" w:ascii="方正仿宋_GBK" w:hAnsi="方正仿宋_GBK" w:eastAsia="方正仿宋_GBK" w:cs="方正仿宋_GBK"/>
          <w:sz w:val="32"/>
          <w:szCs w:val="32"/>
          <w:shd w:val="clear" w:color="auto" w:fill="auto"/>
          <w:lang w:val="en-US" w:eastAsia="zh-CN"/>
        </w:rPr>
        <w:t>100</w:t>
      </w:r>
      <w:r>
        <w:rPr>
          <w:rFonts w:hint="eastAsia" w:ascii="方正仿宋_GBK" w:hAnsi="方正仿宋_GBK" w:eastAsia="方正仿宋_GBK" w:cs="方正仿宋_GBK"/>
          <w:sz w:val="32"/>
          <w:szCs w:val="32"/>
          <w:shd w:val="clear" w:color="auto" w:fill="auto"/>
        </w:rPr>
        <w:t>%，主要原因是</w:t>
      </w:r>
      <w:r>
        <w:rPr>
          <w:rFonts w:hint="eastAsia" w:ascii="方正仿宋_GBK" w:hAnsi="方正仿宋_GBK" w:eastAsia="方正仿宋_GBK" w:cs="方正仿宋_GBK"/>
          <w:sz w:val="32"/>
          <w:szCs w:val="32"/>
          <w:shd w:val="clear" w:color="auto" w:fill="auto"/>
          <w:lang w:val="en-US" w:eastAsia="zh-CN"/>
        </w:rPr>
        <w:t>预算系统、决算系统对“社会保障与就业支出”的核算不一样。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color w:val="auto"/>
          <w:sz w:val="32"/>
          <w:szCs w:val="32"/>
          <w:shd w:val="clear" w:color="auto" w:fill="auto"/>
          <w:lang w:val="en-US" w:eastAsia="zh-CN"/>
        </w:rPr>
      </w:pPr>
      <w:r>
        <w:rPr>
          <w:rFonts w:hint="eastAsia" w:ascii="方正仿宋_GBK" w:hAnsi="方正仿宋_GBK" w:eastAsia="方正仿宋_GBK" w:cs="方正仿宋_GBK"/>
          <w:color w:val="auto"/>
          <w:sz w:val="32"/>
          <w:szCs w:val="32"/>
          <w:shd w:val="clear" w:color="auto" w:fill="auto"/>
        </w:rPr>
        <w:t>（</w:t>
      </w:r>
      <w:r>
        <w:rPr>
          <w:rFonts w:hint="eastAsia" w:ascii="方正仿宋_GBK" w:hAnsi="方正仿宋_GBK" w:eastAsia="方正仿宋_GBK" w:cs="方正仿宋_GBK"/>
          <w:color w:val="auto"/>
          <w:sz w:val="32"/>
          <w:szCs w:val="32"/>
          <w:shd w:val="clear" w:color="auto" w:fill="auto"/>
          <w:lang w:val="en-US" w:eastAsia="zh-CN"/>
        </w:rPr>
        <w:t>2</w:t>
      </w:r>
      <w:r>
        <w:rPr>
          <w:rFonts w:hint="eastAsia" w:ascii="方正仿宋_GBK" w:hAnsi="方正仿宋_GBK" w:eastAsia="方正仿宋_GBK" w:cs="方正仿宋_GBK"/>
          <w:color w:val="auto"/>
          <w:sz w:val="32"/>
          <w:szCs w:val="32"/>
          <w:shd w:val="clear" w:color="auto" w:fill="auto"/>
        </w:rPr>
        <w:t>）卫生健康支出115.97万元，占89%，较年初预算数减少40.02万元，下降25.7%，主要原因是</w:t>
      </w:r>
      <w:r>
        <w:rPr>
          <w:rFonts w:hint="eastAsia" w:ascii="方正仿宋_GBK" w:hAnsi="方正仿宋_GBK" w:eastAsia="方正仿宋_GBK" w:cs="方正仿宋_GBK"/>
          <w:color w:val="auto"/>
          <w:sz w:val="32"/>
          <w:szCs w:val="32"/>
          <w:shd w:val="clear" w:color="auto" w:fill="auto"/>
          <w:lang w:val="en-US" w:eastAsia="zh-CN"/>
        </w:rPr>
        <w:t>财政拨款用于“基层医疗”的相关费用减少。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color w:val="auto"/>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3</w:t>
      </w:r>
      <w:r>
        <w:rPr>
          <w:rFonts w:hint="eastAsia" w:ascii="方正仿宋_GBK" w:hAnsi="方正仿宋_GBK" w:eastAsia="方正仿宋_GBK" w:cs="方正仿宋_GBK"/>
          <w:sz w:val="32"/>
          <w:szCs w:val="32"/>
          <w:shd w:val="clear" w:color="auto" w:fill="auto"/>
        </w:rPr>
        <w:t>）农林水支出1.00万元，占0.8%，较年初预算数增加1.00万元，增长</w:t>
      </w:r>
      <w:r>
        <w:rPr>
          <w:rFonts w:hint="eastAsia" w:ascii="方正仿宋_GBK" w:hAnsi="方正仿宋_GBK" w:eastAsia="方正仿宋_GBK" w:cs="方正仿宋_GBK"/>
          <w:sz w:val="32"/>
          <w:szCs w:val="32"/>
          <w:shd w:val="clear" w:color="auto" w:fill="auto"/>
          <w:lang w:val="en-US" w:eastAsia="zh-CN"/>
        </w:rPr>
        <w:t>100</w:t>
      </w:r>
      <w:r>
        <w:rPr>
          <w:rFonts w:hint="eastAsia" w:ascii="方正仿宋_GBK" w:hAnsi="方正仿宋_GBK" w:eastAsia="方正仿宋_GBK" w:cs="方正仿宋_GBK"/>
          <w:sz w:val="32"/>
          <w:szCs w:val="32"/>
          <w:shd w:val="clear" w:color="auto" w:fill="auto"/>
        </w:rPr>
        <w:t>%，主要原因是</w:t>
      </w:r>
      <w:r>
        <w:rPr>
          <w:rFonts w:hint="eastAsia" w:ascii="方正仿宋_GBK" w:hAnsi="方正仿宋_GBK" w:eastAsia="方正仿宋_GBK" w:cs="方正仿宋_GBK"/>
          <w:color w:val="auto"/>
          <w:sz w:val="32"/>
          <w:szCs w:val="32"/>
          <w:shd w:val="clear" w:color="auto" w:fill="auto"/>
          <w:lang w:val="en-US" w:eastAsia="zh-CN"/>
        </w:rPr>
        <w:t>本年度““三支一扶””人员经费核算全部通过“高校毕业生到基层任职补助”项目核算，在决算系统支出功能分类自动归类为“农林水支出”。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（四）一般公共预算财政拨款基本支出决算情况说明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color w:val="auto"/>
          <w:sz w:val="32"/>
          <w:szCs w:val="32"/>
          <w:shd w:val="clear" w:color="auto" w:fill="auto"/>
          <w:lang w:val="en-US" w:eastAsia="zh-CN"/>
        </w:rPr>
      </w:pPr>
      <w:r>
        <w:rPr>
          <w:rFonts w:hint="eastAsia" w:ascii="方正仿宋_GBK" w:hAnsi="方正仿宋_GBK" w:eastAsia="方正仿宋_GBK" w:cs="方正仿宋_GBK"/>
          <w:sz w:val="32"/>
          <w:szCs w:val="32"/>
        </w:rPr>
        <w:t>2021年度一般公共财政拨款基本支出116.29万元。其中：人员经费108.62万元，较上年决算数减少32.56万元，下降23.1%，主要原因是</w:t>
      </w:r>
      <w:r>
        <w:rPr>
          <w:rFonts w:hint="eastAsia" w:ascii="方正仿宋_GBK" w:hAnsi="方正仿宋_GBK" w:eastAsia="方正仿宋_GBK" w:cs="方正仿宋_GBK"/>
          <w:color w:val="auto"/>
          <w:sz w:val="32"/>
          <w:szCs w:val="32"/>
          <w:lang w:val="en-US" w:eastAsia="zh-CN"/>
        </w:rPr>
        <w:t>财政拨款人员经费减少。</w:t>
      </w:r>
      <w:r>
        <w:rPr>
          <w:rFonts w:hint="eastAsia" w:ascii="方正仿宋_GBK" w:hAnsi="方正仿宋_GBK" w:eastAsia="方正仿宋_GBK" w:cs="方正仿宋_GBK"/>
          <w:sz w:val="32"/>
          <w:szCs w:val="32"/>
        </w:rPr>
        <w:t>人员经费用途主要包括</w:t>
      </w:r>
      <w:r>
        <w:rPr>
          <w:rFonts w:hint="eastAsia" w:ascii="方正仿宋_GBK" w:hAnsi="方正仿宋_GBK" w:eastAsia="方正仿宋_GBK" w:cs="方正仿宋_GBK"/>
          <w:b w:val="0"/>
          <w:bCs w:val="0"/>
          <w:color w:val="auto"/>
          <w:sz w:val="32"/>
          <w:szCs w:val="32"/>
          <w:lang w:val="en-US" w:eastAsia="zh-CN"/>
        </w:rPr>
        <w:t>基本工资、基础绩效、五险二金的发放。</w:t>
      </w:r>
      <w:r>
        <w:rPr>
          <w:rFonts w:hint="eastAsia" w:ascii="方正仿宋_GBK" w:hAnsi="方正仿宋_GBK" w:eastAsia="方正仿宋_GBK" w:cs="方正仿宋_GBK"/>
          <w:sz w:val="32"/>
          <w:szCs w:val="32"/>
          <w:shd w:val="clear" w:color="auto" w:fill="auto"/>
        </w:rPr>
        <w:t>公用经费7.67万元，较上年决算数减少8.32万元，下降52%，主要原因是</w:t>
      </w:r>
      <w:r>
        <w:rPr>
          <w:rFonts w:hint="eastAsia" w:ascii="方正仿宋_GBK" w:hAnsi="方正仿宋_GBK" w:eastAsia="方正仿宋_GBK" w:cs="方正仿宋_GBK"/>
          <w:color w:val="auto"/>
          <w:sz w:val="32"/>
          <w:szCs w:val="32"/>
          <w:shd w:val="clear" w:color="auto" w:fill="auto"/>
          <w:lang w:val="en-US" w:eastAsia="zh-CN"/>
        </w:rPr>
        <w:t>财政实际拨款资金与当前年度实际报账的财政资金存在一定差额，该差额较上年有所缩小，故调账至公用经费的金额减少。</w:t>
      </w:r>
      <w:r>
        <w:rPr>
          <w:rFonts w:hint="eastAsia" w:ascii="方正仿宋_GBK" w:hAnsi="方正仿宋_GBK" w:eastAsia="方正仿宋_GBK" w:cs="方正仿宋_GBK"/>
          <w:color w:val="auto"/>
          <w:sz w:val="32"/>
          <w:szCs w:val="32"/>
          <w:shd w:val="clear" w:color="auto" w:fill="auto"/>
        </w:rPr>
        <w:t>公用经费用途主要包括</w:t>
      </w:r>
      <w:r>
        <w:rPr>
          <w:rFonts w:hint="eastAsia" w:ascii="方正仿宋_GBK" w:hAnsi="方正仿宋_GBK" w:eastAsia="方正仿宋_GBK" w:cs="方正仿宋_GBK"/>
          <w:color w:val="auto"/>
          <w:sz w:val="32"/>
          <w:szCs w:val="32"/>
          <w:shd w:val="clear" w:color="auto" w:fill="auto"/>
          <w:lang w:val="en-US" w:eastAsia="zh-CN"/>
        </w:rPr>
        <w:t>支付劳务费等。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（五）政府性基金预算收支决算情况说明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color w:val="auto"/>
          <w:sz w:val="32"/>
          <w:szCs w:val="32"/>
          <w:shd w:val="clear" w:color="auto" w:fill="auto"/>
        </w:rPr>
        <w:t>本</w:t>
      </w:r>
      <w:r>
        <w:rPr>
          <w:rStyle w:val="7"/>
          <w:rFonts w:hint="eastAsia" w:ascii="方正仿宋_GBK" w:hAnsi="方正仿宋_GBK" w:eastAsia="方正仿宋_GBK" w:cs="方正仿宋_GBK"/>
          <w:b w:val="0"/>
          <w:bCs w:val="0"/>
          <w:color w:val="auto"/>
          <w:sz w:val="32"/>
          <w:szCs w:val="32"/>
          <w:shd w:val="clear" w:color="auto" w:fill="auto"/>
          <w:lang w:val="en-US" w:eastAsia="zh-CN"/>
        </w:rPr>
        <w:t>单位</w:t>
      </w:r>
      <w:r>
        <w:rPr>
          <w:rStyle w:val="7"/>
          <w:rFonts w:hint="eastAsia" w:ascii="方正仿宋_GBK" w:hAnsi="方正仿宋_GBK" w:eastAsia="方正仿宋_GBK" w:cs="方正仿宋_GBK"/>
          <w:b w:val="0"/>
          <w:bCs w:val="0"/>
          <w:color w:val="auto"/>
          <w:sz w:val="32"/>
          <w:szCs w:val="32"/>
          <w:shd w:val="clear" w:color="auto" w:fill="auto"/>
        </w:rPr>
        <w:t>2021年度无政府性基金预算财政拨款收支。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（六）国有资本经营预算财政拨款支出决算情况说明。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本</w:t>
      </w:r>
      <w:r>
        <w:rPr>
          <w:rStyle w:val="7"/>
          <w:rFonts w:hint="eastAsia" w:ascii="方正仿宋_GBK" w:hAnsi="方正仿宋_GBK" w:eastAsia="方正仿宋_GBK" w:cs="方正仿宋_GBK"/>
          <w:b w:val="0"/>
          <w:bCs w:val="0"/>
          <w:sz w:val="32"/>
          <w:szCs w:val="32"/>
          <w:shd w:val="clear" w:color="auto" w:fill="auto"/>
          <w:lang w:val="en-US" w:eastAsia="zh-CN"/>
        </w:rPr>
        <w:t>单位</w:t>
      </w:r>
      <w:r>
        <w:rPr>
          <w:rStyle w:val="7"/>
          <w:rFonts w:hint="eastAsia" w:ascii="方正仿宋_GBK" w:hAnsi="方正仿宋_GBK" w:eastAsia="方正仿宋_GBK" w:cs="方正仿宋_GBK"/>
          <w:b w:val="0"/>
          <w:bCs w:val="0"/>
          <w:sz w:val="32"/>
          <w:szCs w:val="32"/>
          <w:shd w:val="clear" w:color="auto" w:fill="auto"/>
        </w:rPr>
        <w:t>2021年度无国有资本经营预算财政拨款支出。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三、“三公”经费情况说明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（一）“三公”经费支出总体情况说明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（二）“三公”经费分项支出情况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（三）“三公”经费实物量情况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黑体_GBK" w:hAnsi="方正黑体_GBK" w:eastAsia="方正黑体_GBK" w:cs="方正黑体_GBK"/>
          <w:sz w:val="32"/>
          <w:szCs w:val="32"/>
        </w:rPr>
        <w:t>四、其他需要说明的事项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（一）一般公共预算财政拨款会议费和培训费情况说明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因</w:t>
      </w:r>
      <w:r>
        <w:rPr>
          <w:rStyle w:val="7"/>
          <w:rFonts w:hint="eastAsia" w:ascii="方正仿宋_GBK" w:hAnsi="方正仿宋_GBK" w:eastAsia="方正仿宋_GBK" w:cs="方正仿宋_GBK"/>
          <w:b w:val="0"/>
          <w:bCs w:val="0"/>
          <w:sz w:val="32"/>
          <w:szCs w:val="32"/>
          <w:shd w:val="clear" w:color="auto" w:fill="auto"/>
          <w:lang w:val="en-US" w:eastAsia="zh-CN"/>
        </w:rPr>
        <w:t>我单位属于差额拨款单位</w:t>
      </w:r>
      <w:r>
        <w:rPr>
          <w:rStyle w:val="7"/>
          <w:rFonts w:hint="eastAsia" w:ascii="方正仿宋_GBK" w:hAnsi="方正仿宋_GBK" w:eastAsia="方正仿宋_GBK" w:cs="方正仿宋_GBK"/>
          <w:b w:val="0"/>
          <w:bCs w:val="0"/>
          <w:sz w:val="32"/>
          <w:szCs w:val="32"/>
          <w:shd w:val="clear" w:color="auto" w:fill="auto"/>
        </w:rPr>
        <w:t>，财政未保障我单位会议费和培训费。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（二）机关运行经费情况说明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因</w:t>
      </w:r>
      <w:r>
        <w:rPr>
          <w:rStyle w:val="7"/>
          <w:rFonts w:hint="eastAsia" w:ascii="方正仿宋_GBK" w:hAnsi="方正仿宋_GBK" w:eastAsia="方正仿宋_GBK" w:cs="方正仿宋_GBK"/>
          <w:b w:val="0"/>
          <w:bCs w:val="0"/>
          <w:sz w:val="32"/>
          <w:szCs w:val="32"/>
          <w:shd w:val="clear" w:color="auto" w:fill="auto"/>
          <w:lang w:val="en-US" w:eastAsia="zh-CN"/>
        </w:rPr>
        <w:t>我单位属于差额拨款单位</w:t>
      </w:r>
      <w:r>
        <w:rPr>
          <w:rStyle w:val="7"/>
          <w:rFonts w:hint="eastAsia" w:ascii="方正仿宋_GBK" w:hAnsi="方正仿宋_GBK" w:eastAsia="方正仿宋_GBK" w:cs="方正仿宋_GBK"/>
          <w:b w:val="0"/>
          <w:bCs w:val="0"/>
          <w:sz w:val="32"/>
          <w:szCs w:val="32"/>
          <w:shd w:val="clear" w:color="auto" w:fill="auto"/>
        </w:rPr>
        <w:t>，财政未保障我单位</w:t>
      </w:r>
      <w:r>
        <w:rPr>
          <w:rStyle w:val="7"/>
          <w:rFonts w:hint="eastAsia" w:ascii="方正仿宋_GBK" w:hAnsi="方正仿宋_GBK" w:eastAsia="方正仿宋_GBK" w:cs="方正仿宋_GBK"/>
          <w:b w:val="0"/>
          <w:bCs w:val="0"/>
          <w:sz w:val="32"/>
          <w:szCs w:val="32"/>
          <w:shd w:val="clear" w:color="auto" w:fill="auto"/>
          <w:lang w:val="en-US" w:eastAsia="zh-CN"/>
        </w:rPr>
        <w:t>机关运行经费。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（三）国有资产占用情况说明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Fonts w:hint="eastAsia" w:ascii="方正仿宋_GBK" w:hAnsi="方正仿宋_GBK" w:eastAsia="方正仿宋_GBK" w:cs="方正仿宋_GBK"/>
          <w:sz w:val="32"/>
          <w:szCs w:val="32"/>
        </w:rPr>
        <w:t>截至2021年12月31日，本</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共有车辆1辆，其中，副部（省）级及以上领导用车0辆、主要领导干部用车0辆、机要通信用车0辆、应急保障用车0辆、执法执勤用车0辆，特种专业技术用车1辆，离退休干部用车0辆，其他用车0辆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单价50万元（含）以上通用设备0台（套），单价100万元（含）以上专用设备0台（套）。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（四）政府采购支出情况说明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440" w:firstLineChars="200"/>
        <w:textAlignment w:val="auto"/>
      </w:pPr>
      <w:r>
        <w:rPr>
          <w:sz w:val="22"/>
          <w:szCs w:val="22"/>
        </w:rPr>
        <w:t> </w:t>
      </w:r>
      <w:r>
        <w:rPr>
          <w:rStyle w:val="7"/>
          <w:rFonts w:hint="eastAsia" w:ascii="方正仿宋_GBK" w:hAnsi="方正仿宋_GBK" w:eastAsia="方正仿宋_GBK" w:cs="方正仿宋_GBK"/>
          <w:b w:val="0"/>
          <w:bCs w:val="0"/>
          <w:sz w:val="32"/>
          <w:szCs w:val="32"/>
          <w:shd w:val="clear" w:color="auto" w:fill="auto"/>
        </w:rPr>
        <w:t>2021年度我单位未发生政府采购事项，无相关经费支出。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黑体_GBK" w:hAnsi="方正黑体_GBK" w:eastAsia="方正黑体_GBK" w:cs="方正黑体_GBK"/>
          <w:sz w:val="32"/>
          <w:szCs w:val="32"/>
        </w:rPr>
        <w:t>五、预算绩效管理情况说明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（一）预算绩效管理工作开展情况</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eastAsia="zh-CN"/>
        </w:rPr>
        <w:t>202</w:t>
      </w:r>
      <w:r>
        <w:rPr>
          <w:rFonts w:hint="eastAsia" w:ascii="方正仿宋_GBK" w:eastAsia="方正仿宋_GBK"/>
          <w:sz w:val="32"/>
          <w:szCs w:val="32"/>
          <w:lang w:val="en-US" w:eastAsia="zh-CN"/>
        </w:rPr>
        <w:t>1</w:t>
      </w:r>
      <w:r>
        <w:rPr>
          <w:rFonts w:hint="eastAsia" w:ascii="方正仿宋_GBK" w:eastAsia="方正仿宋_GBK"/>
          <w:sz w:val="32"/>
          <w:szCs w:val="32"/>
        </w:rPr>
        <w:t>年，本部门编制绩效目标的项目</w:t>
      </w:r>
      <w:r>
        <w:rPr>
          <w:rFonts w:hint="eastAsia" w:ascii="方正仿宋_GBK" w:eastAsia="方正仿宋_GBK"/>
          <w:sz w:val="32"/>
          <w:szCs w:val="32"/>
          <w:lang w:val="en-US" w:eastAsia="zh-CN"/>
        </w:rPr>
        <w:t>3</w:t>
      </w:r>
      <w:r>
        <w:rPr>
          <w:rFonts w:hint="eastAsia" w:ascii="方正仿宋_GBK" w:eastAsia="方正仿宋_GBK"/>
          <w:sz w:val="32"/>
          <w:szCs w:val="32"/>
        </w:rPr>
        <w:t>个，涉及支出预算</w:t>
      </w:r>
      <w:r>
        <w:rPr>
          <w:rFonts w:hint="eastAsia" w:ascii="方正仿宋_GBK" w:eastAsia="方正仿宋_GBK"/>
          <w:sz w:val="32"/>
          <w:szCs w:val="32"/>
          <w:lang w:val="en-US" w:eastAsia="zh-CN"/>
        </w:rPr>
        <w:t>13.98</w:t>
      </w:r>
      <w:r>
        <w:rPr>
          <w:rFonts w:hint="eastAsia" w:ascii="方正仿宋_GBK" w:eastAsia="方正仿宋_GBK"/>
          <w:sz w:val="32"/>
          <w:szCs w:val="32"/>
        </w:rPr>
        <w:t>万元。开展绩效评价的项目1个，涉及支出</w:t>
      </w:r>
      <w:r>
        <w:rPr>
          <w:rFonts w:hint="eastAsia" w:ascii="方正仿宋_GBK" w:eastAsia="方正仿宋_GBK"/>
          <w:sz w:val="32"/>
          <w:szCs w:val="32"/>
          <w:lang w:val="en-US" w:eastAsia="zh-CN"/>
        </w:rPr>
        <w:t>7.8</w:t>
      </w:r>
      <w:r>
        <w:rPr>
          <w:rFonts w:hint="eastAsia" w:ascii="方正仿宋_GBK" w:eastAsia="方正仿宋_GBK"/>
          <w:sz w:val="32"/>
          <w:szCs w:val="32"/>
        </w:rPr>
        <w:t>万元。</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绩效自评结果</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atLeast"/>
        <w:ind w:firstLine="643" w:firstLineChars="200"/>
        <w:textAlignment w:val="auto"/>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1.绩效目标自评表</w:t>
      </w:r>
    </w:p>
    <w:tbl>
      <w:tblPr>
        <w:tblStyle w:val="5"/>
        <w:tblW w:w="9781" w:type="dxa"/>
        <w:jc w:val="center"/>
        <w:tblLayout w:type="fixed"/>
        <w:tblCellMar>
          <w:top w:w="0" w:type="dxa"/>
          <w:left w:w="108" w:type="dxa"/>
          <w:bottom w:w="0" w:type="dxa"/>
          <w:right w:w="108" w:type="dxa"/>
        </w:tblCellMar>
      </w:tblPr>
      <w:tblGrid>
        <w:gridCol w:w="616"/>
        <w:gridCol w:w="1980"/>
        <w:gridCol w:w="1515"/>
        <w:gridCol w:w="1461"/>
        <w:gridCol w:w="1418"/>
        <w:gridCol w:w="948"/>
        <w:gridCol w:w="1843"/>
      </w:tblGrid>
      <w:tr>
        <w:tblPrEx>
          <w:tblCellMar>
            <w:top w:w="0" w:type="dxa"/>
            <w:left w:w="108" w:type="dxa"/>
            <w:bottom w:w="0" w:type="dxa"/>
            <w:right w:w="108" w:type="dxa"/>
          </w:tblCellMar>
        </w:tblPrEx>
        <w:trPr>
          <w:trHeight w:val="585" w:hRule="atLeast"/>
          <w:jc w:val="center"/>
        </w:trPr>
        <w:tc>
          <w:tcPr>
            <w:tcW w:w="9781" w:type="dxa"/>
            <w:gridSpan w:val="7"/>
            <w:tcBorders>
              <w:top w:val="nil"/>
              <w:left w:val="nil"/>
              <w:bottom w:val="nil"/>
              <w:right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b/>
                <w:bCs/>
                <w:color w:val="000000"/>
                <w:kern w:val="0"/>
                <w:sz w:val="32"/>
                <w:szCs w:val="32"/>
              </w:rPr>
              <w:t>202</w:t>
            </w:r>
            <w:r>
              <w:rPr>
                <w:rFonts w:hint="eastAsia" w:ascii="方正仿宋_GBK" w:hAnsi="方正仿宋_GBK" w:eastAsia="方正仿宋_GBK" w:cs="方正仿宋_GBK"/>
                <w:b/>
                <w:bCs/>
                <w:color w:val="000000"/>
                <w:kern w:val="0"/>
                <w:sz w:val="32"/>
                <w:szCs w:val="32"/>
                <w:lang w:val="en-US" w:eastAsia="zh-CN"/>
              </w:rPr>
              <w:t>1</w:t>
            </w:r>
            <w:r>
              <w:rPr>
                <w:rFonts w:hint="eastAsia" w:ascii="方正仿宋_GBK" w:hAnsi="方正仿宋_GBK" w:eastAsia="方正仿宋_GBK" w:cs="方正仿宋_GBK"/>
                <w:b/>
                <w:bCs/>
                <w:color w:val="000000"/>
                <w:kern w:val="0"/>
                <w:sz w:val="32"/>
                <w:szCs w:val="32"/>
              </w:rPr>
              <w:t xml:space="preserve">年度项目绩效目标自评表 </w:t>
            </w:r>
          </w:p>
        </w:tc>
      </w:tr>
      <w:tr>
        <w:tblPrEx>
          <w:tblCellMar>
            <w:top w:w="0" w:type="dxa"/>
            <w:left w:w="108" w:type="dxa"/>
            <w:bottom w:w="0" w:type="dxa"/>
            <w:right w:w="108" w:type="dxa"/>
          </w:tblCellMar>
        </w:tblPrEx>
        <w:trPr>
          <w:trHeight w:val="645" w:hRule="atLeast"/>
          <w:jc w:val="center"/>
        </w:trPr>
        <w:tc>
          <w:tcPr>
            <w:tcW w:w="6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专项名称</w:t>
            </w:r>
          </w:p>
        </w:tc>
        <w:tc>
          <w:tcPr>
            <w:tcW w:w="4956"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村卫生室乡村医生基本运行补助经费</w:t>
            </w:r>
          </w:p>
        </w:tc>
        <w:tc>
          <w:tcPr>
            <w:tcW w:w="141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联系人</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及电话</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易清清</w:t>
            </w:r>
            <w:r>
              <w:rPr>
                <w:rFonts w:hint="eastAsia" w:ascii="方正仿宋_GBK" w:hAnsi="方正仿宋_GBK" w:eastAsia="方正仿宋_GBK" w:cs="方正仿宋_GBK"/>
                <w:color w:val="000000"/>
                <w:kern w:val="0"/>
                <w:sz w:val="20"/>
                <w:szCs w:val="20"/>
              </w:rPr>
              <w:t xml:space="preserve"> 73336189</w:t>
            </w:r>
          </w:p>
        </w:tc>
      </w:tr>
      <w:tr>
        <w:tblPrEx>
          <w:tblCellMar>
            <w:top w:w="0" w:type="dxa"/>
            <w:left w:w="108" w:type="dxa"/>
            <w:bottom w:w="0" w:type="dxa"/>
            <w:right w:w="108" w:type="dxa"/>
          </w:tblCellMar>
        </w:tblPrEx>
        <w:trPr>
          <w:trHeight w:val="645" w:hRule="atLeast"/>
          <w:jc w:val="center"/>
        </w:trPr>
        <w:tc>
          <w:tcPr>
            <w:tcW w:w="61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主管部门</w:t>
            </w:r>
          </w:p>
        </w:tc>
        <w:tc>
          <w:tcPr>
            <w:tcW w:w="4956"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石柱县卫生健康委员会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预算单位</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石柱土家族自治县</w:t>
            </w:r>
            <w:r>
              <w:rPr>
                <w:rFonts w:hint="eastAsia" w:ascii="方正仿宋_GBK" w:hAnsi="方正仿宋_GBK" w:eastAsia="方正仿宋_GBK" w:cs="方正仿宋_GBK"/>
                <w:color w:val="000000"/>
                <w:kern w:val="0"/>
                <w:sz w:val="20"/>
                <w:szCs w:val="20"/>
                <w:lang w:val="en-US" w:eastAsia="zh-CN"/>
              </w:rPr>
              <w:t>王家乡卫生院</w:t>
            </w: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705"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项目资金（万元）</w:t>
            </w: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年初预算数</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全年预算数</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全年执行数</w:t>
            </w:r>
          </w:p>
        </w:tc>
        <w:tc>
          <w:tcPr>
            <w:tcW w:w="94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资金执行率</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w:t>
            </w:r>
          </w:p>
        </w:tc>
        <w:tc>
          <w:tcPr>
            <w:tcW w:w="184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执行率未达100%原因、下一步措施</w:t>
            </w:r>
          </w:p>
        </w:tc>
      </w:tr>
      <w:tr>
        <w:tblPrEx>
          <w:tblCellMar>
            <w:top w:w="0" w:type="dxa"/>
            <w:left w:w="108" w:type="dxa"/>
            <w:bottom w:w="0" w:type="dxa"/>
            <w:right w:w="108" w:type="dxa"/>
          </w:tblCellMar>
        </w:tblPrEx>
        <w:trPr>
          <w:trHeight w:val="774"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年度总金额</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7.8</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7.8</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7.8</w:t>
            </w:r>
          </w:p>
        </w:tc>
        <w:tc>
          <w:tcPr>
            <w:tcW w:w="94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100</w:t>
            </w:r>
          </w:p>
        </w:tc>
        <w:tc>
          <w:tcPr>
            <w:tcW w:w="184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645"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righ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其中：市级支出</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r>
      <w:tr>
        <w:tblPrEx>
          <w:tblCellMar>
            <w:top w:w="0" w:type="dxa"/>
            <w:left w:w="108" w:type="dxa"/>
            <w:bottom w:w="0" w:type="dxa"/>
            <w:right w:w="108" w:type="dxa"/>
          </w:tblCellMar>
        </w:tblPrEx>
        <w:trPr>
          <w:trHeight w:val="645"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righ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补助区县</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r>
      <w:tr>
        <w:tblPrEx>
          <w:tblCellMar>
            <w:top w:w="0" w:type="dxa"/>
            <w:left w:w="108" w:type="dxa"/>
            <w:bottom w:w="0" w:type="dxa"/>
            <w:right w:w="108" w:type="dxa"/>
          </w:tblCellMar>
        </w:tblPrEx>
        <w:trPr>
          <w:trHeight w:val="645"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年度总体目标</w:t>
            </w:r>
          </w:p>
        </w:tc>
        <w:tc>
          <w:tcPr>
            <w:tcW w:w="4956"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年初设定目标</w:t>
            </w:r>
          </w:p>
        </w:tc>
        <w:tc>
          <w:tcPr>
            <w:tcW w:w="4209"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全年目标实际完成情况</w:t>
            </w:r>
          </w:p>
        </w:tc>
      </w:tr>
      <w:tr>
        <w:tblPrEx>
          <w:tblCellMar>
            <w:top w:w="0" w:type="dxa"/>
            <w:left w:w="108" w:type="dxa"/>
            <w:bottom w:w="0" w:type="dxa"/>
            <w:right w:w="108" w:type="dxa"/>
          </w:tblCellMar>
        </w:tblPrEx>
        <w:trPr>
          <w:trHeight w:val="720"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4956" w:type="dxa"/>
            <w:gridSpan w:val="3"/>
            <w:tcBorders>
              <w:top w:val="single" w:color="auto" w:sz="4" w:space="0"/>
              <w:left w:val="nil"/>
              <w:bottom w:val="single" w:color="auto" w:sz="4" w:space="0"/>
              <w:right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202</w:t>
            </w:r>
            <w:r>
              <w:rPr>
                <w:rFonts w:hint="eastAsia" w:ascii="方正仿宋_GBK" w:hAnsi="方正仿宋_GBK" w:eastAsia="方正仿宋_GBK" w:cs="方正仿宋_GBK"/>
                <w:color w:val="000000"/>
                <w:kern w:val="0"/>
                <w:sz w:val="20"/>
                <w:szCs w:val="20"/>
                <w:lang w:val="en-US" w:eastAsia="zh-CN"/>
              </w:rPr>
              <w:t>1</w:t>
            </w:r>
            <w:r>
              <w:rPr>
                <w:rFonts w:hint="eastAsia" w:ascii="方正仿宋_GBK" w:hAnsi="方正仿宋_GBK" w:eastAsia="方正仿宋_GBK" w:cs="方正仿宋_GBK"/>
                <w:color w:val="000000"/>
                <w:kern w:val="0"/>
                <w:sz w:val="20"/>
                <w:szCs w:val="20"/>
              </w:rPr>
              <w:t>年保证公立基层医疗卫生机构实施国家基本药物制度覆盖率100%；村卫生实施国家基本药物制度覆盖率90%以上；基层医疗机构基药采购占比、基层医疗机构达到使用要求占比60%以上；基本药物制度持续实施年限5年以上；服务水平较上年提高10%以上；受众满意度90%以上。</w:t>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　</w:t>
            </w:r>
          </w:p>
        </w:tc>
        <w:tc>
          <w:tcPr>
            <w:tcW w:w="4209"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实现公立基层医疗卫生机构实施国家基本药物制度覆盖率100%；村卫生实施国家基本药物制度覆盖率90%以上；基层医疗机构基药采购占比、基层医疗机构达到使用要求占比60%以上；基本药物制度持续实施年限持续实施；服务水平较上年较大提升；受众满意度达90%以上。</w:t>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645" w:hRule="atLeast"/>
          <w:jc w:val="center"/>
        </w:trPr>
        <w:tc>
          <w:tcPr>
            <w:tcW w:w="616" w:type="dxa"/>
            <w:vMerge w:val="restart"/>
            <w:tcBorders>
              <w:top w:val="nil"/>
              <w:left w:val="single" w:color="auto" w:sz="4" w:space="0"/>
              <w:right w:val="single" w:color="auto" w:sz="4" w:space="0"/>
            </w:tcBorders>
            <w:shd w:val="clear" w:color="auto" w:fill="auto"/>
            <w:noWrap w:val="0"/>
            <w:textDirection w:val="tbRlV"/>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绩效指标</w:t>
            </w: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指标名称</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计量单位</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年度指标值</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全年完成值</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未完成绩效目标或偏离较多的原因,下一步改进措施</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政府办基层医疗卫生机构实施国家基本药物制度覆盖率　</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=100%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=100%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村卫生室实施国家基本药物制度覆盖率</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≥90%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资金有效使用及划拨率</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0" w:firstLineChars="200"/>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=100%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=100%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基层对村卫生室指导和服务水平</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加强对村卫生室指导，村卫生室服务水平较大提高</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加强对村卫生室指导，村卫生室服务水平较大提高</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村卫生室满意度</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≥95%</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≥95%</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受众满意度</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1005" w:hRule="atLeast"/>
          <w:jc w:val="center"/>
        </w:trPr>
        <w:tc>
          <w:tcPr>
            <w:tcW w:w="61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其他说明</w:t>
            </w:r>
          </w:p>
        </w:tc>
        <w:tc>
          <w:tcPr>
            <w:tcW w:w="9165" w:type="dxa"/>
            <w:gridSpan w:val="6"/>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textAlignment w:val="auto"/>
        <w:rPr>
          <w:rStyle w:val="7"/>
          <w:rFonts w:hint="eastAsia" w:ascii="方正仿宋_GBK" w:hAnsi="方正仿宋_GBK" w:eastAsia="方正仿宋_GBK" w:cs="方正仿宋_GBK"/>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2.绩效自评报告或案例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lang w:val="en-US" w:eastAsia="zh-CN"/>
        </w:rPr>
      </w:pPr>
      <w:r>
        <w:rPr>
          <w:rStyle w:val="7"/>
          <w:rFonts w:hint="eastAsia" w:ascii="方正仿宋_GBK" w:hAnsi="方正仿宋_GBK" w:eastAsia="方正仿宋_GBK" w:cs="方正仿宋_GBK"/>
          <w:b w:val="0"/>
          <w:bCs w:val="0"/>
          <w:sz w:val="32"/>
          <w:szCs w:val="32"/>
          <w:lang w:val="en-US" w:eastAsia="zh-CN"/>
        </w:rPr>
        <w:t>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3.关于绩效自评结果的说明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lang w:val="en-US" w:eastAsia="zh-CN"/>
        </w:rPr>
      </w:pPr>
      <w:r>
        <w:rPr>
          <w:rStyle w:val="7"/>
          <w:rFonts w:hint="eastAsia" w:ascii="方正仿宋_GBK" w:hAnsi="方正仿宋_GBK" w:eastAsia="方正仿宋_GBK" w:cs="方正仿宋_GBK"/>
          <w:b w:val="0"/>
          <w:bCs w:val="0"/>
          <w:sz w:val="32"/>
          <w:szCs w:val="32"/>
          <w:lang w:val="en-US" w:eastAsia="zh-CN"/>
        </w:rPr>
        <w:t>已完成本年度自评绩效目标</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b/>
          <w:bCs/>
          <w:sz w:val="32"/>
          <w:szCs w:val="32"/>
          <w:lang w:val="en-US" w:eastAsia="zh-CN"/>
        </w:rPr>
        <w:t>（三）</w:t>
      </w:r>
      <w:r>
        <w:rPr>
          <w:rStyle w:val="7"/>
          <w:rFonts w:hint="eastAsia" w:ascii="方正楷体_GBK" w:hAnsi="方正楷体_GBK" w:eastAsia="方正楷体_GBK" w:cs="方正楷体_GBK"/>
          <w:sz w:val="32"/>
          <w:szCs w:val="32"/>
        </w:rPr>
        <w:t>重点绩效评价结果</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eastAsia="宋体"/>
          <w:b w:val="0"/>
          <w:bCs w:val="0"/>
          <w:sz w:val="22"/>
          <w:szCs w:val="22"/>
          <w:lang w:val="en-US" w:eastAsia="zh-CN"/>
        </w:rPr>
      </w:pPr>
      <w:r>
        <w:rPr>
          <w:rStyle w:val="7"/>
          <w:rFonts w:hint="eastAsia" w:ascii="方正仿宋_GBK" w:hAnsi="方正仿宋_GBK" w:eastAsia="方正仿宋_GBK" w:cs="方正仿宋_GBK"/>
          <w:b w:val="0"/>
          <w:bCs w:val="0"/>
          <w:sz w:val="32"/>
          <w:szCs w:val="32"/>
          <w:lang w:val="en-US" w:eastAsia="zh-CN"/>
        </w:rPr>
        <w:t>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六、专业名词解释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（一）财政拨款收入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指本年度从本级财政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取得的财政拨款，包括一般公共预算财政拨款和政府性基金预算财政拨款。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（二）事业收入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指事业单位开展专业业务活动及其辅助活动取得的现金流入；事业单位收到的财政专户实际核拨的教育收费等资金在此反映。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（三）经营收入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指事业单位在专业业务活动及其辅助活动之外开展非独立核算经营活动取得的现金流入。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（四）其他收入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以外的同级单位取得的经费、从非本级财政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取得的经费，以及行政单位收到的财政专户管理资金反映在本项内。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（五）使用非财政拨款结余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（六）年初结转和结余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指单位上年结转本年使用的基本支出结转、项目支出结转和结余、经营结余。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（七）结余分配</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指单位按照国家有关规定，缴纳所得税、提取专用基金、转入非财政拨款结余等当年结余的分配情况。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（八）年末结转和结余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指单位结转下年的基本支出结转、项目支出结转和结余、经营结余。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（九）基本支出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（十）项目支出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指在基本支出之外为完成特定行政任务和事业发展目标所发生的支出。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（十一）经营支出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（十二）“三公”经费</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（十三）机关运行经费</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（十四）工资福利支出（支出经济分类科目类级）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（十五）商品和服务支出（支出经济分类科目类级）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（十六）对个人和家庭的补助（支出经济分类科目类级）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反映用于对个人和家庭的补助支出。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（十七）其他资本性支出（支出经济分类科目类级）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反映非各级发展与改革</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集中安排的用于购置固定资产、战略性和应急性储备、土地和无形资产，以及构建基础设施、大型修缮和财政支持企业更新改造所发生的支出。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黑体_GBK" w:hAnsi="方正黑体_GBK" w:eastAsia="方正黑体_GBK" w:cs="方正黑体_GBK"/>
          <w:sz w:val="32"/>
          <w:szCs w:val="32"/>
        </w:rPr>
        <w:t>七、决算公开联系方式及信息反馈渠道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本单位决算公开信息反馈和联系方式：</w:t>
      </w:r>
      <w:r>
        <w:rPr>
          <w:rFonts w:hint="eastAsia" w:ascii="方正仿宋_GBK" w:hAnsi="方正仿宋_GBK" w:eastAsia="方正仿宋_GBK" w:cs="方正仿宋_GBK"/>
          <w:sz w:val="32"/>
          <w:szCs w:val="32"/>
          <w:shd w:val="clear" w:color="auto" w:fill="FFFFFF"/>
        </w:rPr>
        <w:t>023-73336189</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015E4"/>
    <w:multiLevelType w:val="singleLevel"/>
    <w:tmpl w:val="0EE015E4"/>
    <w:lvl w:ilvl="0" w:tentative="0">
      <w:start w:val="2"/>
      <w:numFmt w:val="chineseCounting"/>
      <w:suff w:val="nothing"/>
      <w:lvlText w:val="%1、"/>
      <w:lvlJc w:val="left"/>
      <w:rPr>
        <w:rFonts w:hint="eastAsia"/>
      </w:rPr>
    </w:lvl>
  </w:abstractNum>
  <w:abstractNum w:abstractNumId="1">
    <w:nsid w:val="42691530"/>
    <w:multiLevelType w:val="singleLevel"/>
    <w:tmpl w:val="4269153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ZGQxZWMxNDhiNTQ4ZTI4OTZkNDlkYTY2MzY4ZWZjNDcifQ=="/>
  </w:docVars>
  <w:rsids>
    <w:rsidRoot w:val="007C7A38"/>
    <w:rsid w:val="00794B1C"/>
    <w:rsid w:val="007C7A38"/>
    <w:rsid w:val="09DF0D0D"/>
    <w:rsid w:val="0D973AF5"/>
    <w:rsid w:val="401C5296"/>
    <w:rsid w:val="4A9134A8"/>
    <w:rsid w:val="57A96EFE"/>
    <w:rsid w:val="69E96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11</Pages>
  <Words>4463</Words>
  <Characters>4850</Characters>
  <Lines>64</Lines>
  <Paragraphs>18</Paragraphs>
  <TotalTime>13</TotalTime>
  <ScaleCrop>false</ScaleCrop>
  <LinksUpToDate>false</LinksUpToDate>
  <CharactersWithSpaces>4893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2022-10-22T03:15:00Z</dcterms:created>
  <dc:creator>HP</dc:creator>
  <cp:lastModifiedBy>admin</cp:lastModifiedBy>
  <dcterms:modified xsi:type="dcterms:W3CDTF">2023-01-30T08:43:35Z</dcterms:modified>
  <dc:title>公开报告模板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C230B4D007004A8D9696326E1E71C8DF</vt:lpwstr>
  </property>
</Properties>
</file>