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重庆市石柱土家族自治县鱼池镇卫生院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522" w:firstLineChars="200"/>
        <w:textAlignment w:val="auto"/>
        <w:rPr>
          <w:rFonts w:hint="eastAsia" w:ascii="方正黑体_GBK" w:hAnsi="方正黑体_GBK" w:eastAsia="方正黑体_GBK" w:cs="方正黑体_GBK"/>
          <w:sz w:val="32"/>
          <w:szCs w:val="32"/>
        </w:rPr>
      </w:pPr>
      <w:r>
        <w:rPr>
          <w:rStyle w:val="7"/>
          <w:sz w:val="26"/>
          <w:szCs w:val="26"/>
        </w:rPr>
        <w:t xml:space="preserve"> </w:t>
      </w:r>
      <w:r>
        <w:rPr>
          <w:rStyle w:val="7"/>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ascii="方正仿宋_GBK" w:hAnsi="宋体" w:eastAsia="方正仿宋_GBK" w:cs="宋体"/>
          <w:kern w:val="0"/>
          <w:sz w:val="32"/>
          <w:szCs w:val="32"/>
        </w:rPr>
      </w:pPr>
      <w:r>
        <w:rPr>
          <w:color w:val="FF0000"/>
          <w:sz w:val="22"/>
          <w:szCs w:val="22"/>
        </w:rPr>
        <w:t xml:space="preserve">  </w:t>
      </w:r>
      <w:r>
        <w:rPr>
          <w:rFonts w:hint="eastAsia" w:ascii="方正仿宋_GBK" w:eastAsia="方正仿宋_GBK" w:cs="宋体"/>
          <w:kern w:val="0"/>
          <w:sz w:val="32"/>
          <w:szCs w:val="32"/>
          <w:lang w:val="en-US" w:eastAsia="zh-CN"/>
        </w:rPr>
        <w:t>1.</w:t>
      </w:r>
      <w:r>
        <w:rPr>
          <w:rFonts w:hint="eastAsia" w:ascii="方正仿宋_GBK" w:hAnsi="宋体" w:eastAsia="方正仿宋_GBK" w:cs="宋体"/>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2.</w:t>
      </w:r>
      <w:r>
        <w:rPr>
          <w:rFonts w:hint="eastAsia" w:ascii="方正仿宋_GBK" w:hAnsi="宋体" w:eastAsia="方正仿宋_GBK" w:cs="宋体"/>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3.</w:t>
      </w:r>
      <w:r>
        <w:rPr>
          <w:rFonts w:hint="eastAsia" w:ascii="方正仿宋_GBK" w:hAnsi="宋体" w:eastAsia="方正仿宋_GBK" w:cs="宋体"/>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4.</w:t>
      </w:r>
      <w:r>
        <w:rPr>
          <w:rFonts w:hint="eastAsia" w:ascii="方正仿宋_GBK" w:hAnsi="宋体" w:eastAsia="方正仿宋_GBK" w:cs="宋体"/>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5.</w:t>
      </w:r>
      <w:r>
        <w:rPr>
          <w:rFonts w:hint="eastAsia" w:ascii="方正仿宋_GBK" w:hAnsi="宋体" w:eastAsia="方正仿宋_GBK" w:cs="宋体"/>
          <w:kern w:val="0"/>
          <w:sz w:val="32"/>
          <w:szCs w:val="32"/>
        </w:rPr>
        <w:t>协助卫健行政主管</w:t>
      </w:r>
      <w:r>
        <w:rPr>
          <w:rFonts w:hint="eastAsia" w:ascii="方正仿宋_GBK" w:eastAsia="方正仿宋_GBK" w:cs="宋体"/>
          <w:kern w:val="0"/>
          <w:sz w:val="32"/>
          <w:szCs w:val="32"/>
          <w:lang w:eastAsia="zh-CN"/>
        </w:rPr>
        <w:t>单位</w:t>
      </w:r>
      <w:r>
        <w:rPr>
          <w:rFonts w:hint="eastAsia" w:ascii="方正仿宋_GBK" w:hAnsi="宋体" w:eastAsia="方正仿宋_GBK" w:cs="宋体"/>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6.</w:t>
      </w:r>
      <w:r>
        <w:rPr>
          <w:rFonts w:hint="eastAsia" w:ascii="方正仿宋_GBK" w:hAnsi="宋体" w:eastAsia="方正仿宋_GBK" w:cs="宋体"/>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7.</w:t>
      </w:r>
      <w:r>
        <w:rPr>
          <w:rFonts w:hint="eastAsia" w:ascii="方正仿宋_GBK" w:hAnsi="宋体" w:eastAsia="方正仿宋_GBK" w:cs="宋体"/>
          <w:kern w:val="0"/>
          <w:sz w:val="32"/>
          <w:szCs w:val="32"/>
        </w:rPr>
        <w:t>协助政府制定、实施农村基本医疗卫生保健规划，开展爱国卫生工作。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8.</w:t>
      </w:r>
      <w:r>
        <w:rPr>
          <w:rFonts w:hint="eastAsia" w:ascii="方正仿宋_GBK" w:hAnsi="宋体" w:eastAsia="方正仿宋_GBK" w:cs="宋体"/>
          <w:kern w:val="0"/>
          <w:sz w:val="32"/>
          <w:szCs w:val="32"/>
        </w:rPr>
        <w:t>承办县卫生健康委员会交办的其他工作。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3" w:firstLineChars="200"/>
        <w:textAlignment w:val="auto"/>
        <w:rPr>
          <w:rFonts w:hint="eastAsia" w:ascii="方正楷体_GBK" w:hAnsi="方正楷体_GBK" w:eastAsia="方正楷体_GBK" w:cs="方正楷体_GBK"/>
          <w:b/>
          <w:kern w:val="0"/>
          <w:sz w:val="32"/>
          <w:szCs w:val="32"/>
          <w:lang w:eastAsia="zh-CN"/>
        </w:rPr>
      </w:pPr>
      <w:r>
        <w:rPr>
          <w:rFonts w:hint="eastAsia" w:ascii="方正楷体_GBK" w:hAnsi="方正楷体_GBK" w:eastAsia="方正楷体_GBK" w:cs="方正楷体_GBK"/>
          <w:b/>
          <w:kern w:val="0"/>
          <w:sz w:val="32"/>
          <w:szCs w:val="32"/>
        </w:rPr>
        <w:t>（二）机构设置</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鱼池镇卫生院位于鱼池街上，属于公益一类医疗事业单位，单位建筑面积为3556平方米，单位编制人数为23人，在职在编人数为</w:t>
      </w:r>
      <w:r>
        <w:rPr>
          <w:rFonts w:hint="eastAsia" w:ascii="方正仿宋_GBK" w:eastAsia="方正仿宋_GBK"/>
          <w:color w:val="000000"/>
          <w:sz w:val="32"/>
          <w:szCs w:val="32"/>
          <w:lang w:val="en-US" w:eastAsia="zh-CN"/>
        </w:rPr>
        <w:t>20</w:t>
      </w:r>
      <w:r>
        <w:rPr>
          <w:rFonts w:hint="eastAsia" w:ascii="方正仿宋_GBK" w:eastAsia="方正仿宋_GBK"/>
          <w:color w:val="000000"/>
          <w:sz w:val="32"/>
          <w:szCs w:val="32"/>
        </w:rPr>
        <w:t>人，临时工人数为</w:t>
      </w:r>
      <w:r>
        <w:rPr>
          <w:rFonts w:hint="eastAsia" w:ascii="方正仿宋_GBK" w:eastAsia="方正仿宋_GBK"/>
          <w:color w:val="000000"/>
          <w:sz w:val="32"/>
          <w:szCs w:val="32"/>
          <w:lang w:val="en-US" w:eastAsia="zh-CN"/>
        </w:rPr>
        <w:t>7</w:t>
      </w:r>
      <w:r>
        <w:rPr>
          <w:rFonts w:hint="eastAsia" w:ascii="方正仿宋_GBK" w:eastAsia="方正仿宋_GBK"/>
          <w:color w:val="000000"/>
          <w:sz w:val="32"/>
          <w:szCs w:val="32"/>
        </w:rPr>
        <w:t>人。</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atLeast"/>
        <w:ind w:firstLine="643" w:firstLineChars="200"/>
        <w:textAlignment w:val="auto"/>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单位构成</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color w:val="auto"/>
          <w:kern w:val="0"/>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二、</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2021年度收入总计700.23万元，支出总计700.23万元。收支较上年决算数增加100.07万元、增长16.7%，主要原因是</w:t>
      </w:r>
      <w:r>
        <w:rPr>
          <w:rFonts w:hint="eastAsia" w:ascii="方正仿宋_GBK" w:hAnsi="方正仿宋_GBK" w:eastAsia="方正仿宋_GBK" w:cs="方正仿宋_GBK"/>
          <w:color w:val="auto"/>
          <w:sz w:val="32"/>
          <w:szCs w:val="32"/>
          <w:lang w:val="en-US" w:eastAsia="zh-CN"/>
        </w:rPr>
        <w:t>财政拨款增加、事业收入增加。</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2021年度收入合计700.23万元，较上年决算数增加100.07万元，增长16.7%，主要原因是</w:t>
      </w:r>
      <w:r>
        <w:rPr>
          <w:rFonts w:hint="eastAsia" w:ascii="方正仿宋_GBK" w:hAnsi="方正仿宋_GBK" w:eastAsia="方正仿宋_GBK" w:cs="方正仿宋_GBK"/>
          <w:color w:val="auto"/>
          <w:sz w:val="32"/>
          <w:szCs w:val="32"/>
          <w:lang w:val="en-US" w:eastAsia="zh-CN"/>
        </w:rPr>
        <w:t>财政拨款增加、事业收入增加。</w:t>
      </w:r>
      <w:r>
        <w:rPr>
          <w:rFonts w:hint="eastAsia" w:ascii="方正仿宋_GBK" w:hAnsi="方正仿宋_GBK" w:eastAsia="方正仿宋_GBK" w:cs="方正仿宋_GBK"/>
          <w:sz w:val="32"/>
          <w:szCs w:val="32"/>
        </w:rPr>
        <w:t>其中：财政拨款收入278.40万元，占39.8%；事业收入421.83万元，占60.2%</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2021年度支出合计544.08万元，较上年决算数增加65.53万元，增长13.7%，主要原因是</w:t>
      </w:r>
      <w:r>
        <w:rPr>
          <w:rFonts w:hint="eastAsia" w:ascii="方正仿宋_GBK" w:hAnsi="方正仿宋_GBK" w:eastAsia="方正仿宋_GBK" w:cs="方正仿宋_GBK"/>
          <w:color w:val="auto"/>
          <w:sz w:val="32"/>
          <w:szCs w:val="32"/>
          <w:lang w:val="en-US" w:eastAsia="zh-CN"/>
        </w:rPr>
        <w:t>财政拨款增加、事业收入增加。</w:t>
      </w:r>
      <w:r>
        <w:rPr>
          <w:rFonts w:hint="eastAsia" w:ascii="方正仿宋_GBK" w:hAnsi="方正仿宋_GBK" w:eastAsia="方正仿宋_GBK" w:cs="方正仿宋_GBK"/>
          <w:sz w:val="32"/>
          <w:szCs w:val="32"/>
        </w:rPr>
        <w:t>其中：基本支出528.60万元，占97.2%；项目支出15.48万元，占2.8%。此外，结余分配156.15万元。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rPr>
          <w:rStyle w:val="7"/>
          <w:rFonts w:hint="eastAsia" w:ascii="方正楷体_GBK" w:hAnsi="方正楷体_GBK" w:eastAsia="方正楷体_GBK" w:cs="方正楷体_GBK"/>
          <w:sz w:val="32"/>
          <w:szCs w:val="32"/>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sz w:val="32"/>
          <w:szCs w:val="32"/>
          <w:lang w:eastAsia="zh-CN"/>
        </w:rPr>
        <w:t>。</w:t>
      </w: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2021年度财政拨款收、支总计278.40万元。与2020年相比，财政拨款收、支总计各减少55.77万元，下降16.7%。主要原因是</w:t>
      </w:r>
      <w:r>
        <w:rPr>
          <w:rFonts w:hint="eastAsia" w:ascii="方正仿宋_GBK" w:hAnsi="方正仿宋_GBK" w:eastAsia="方正仿宋_GBK" w:cs="方正仿宋_GBK"/>
          <w:color w:val="auto"/>
          <w:sz w:val="32"/>
          <w:szCs w:val="32"/>
          <w:lang w:val="en-US" w:eastAsia="zh-CN"/>
        </w:rPr>
        <w:t>财政拨款“卫生健康支出”减少。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2021年度一般公共预算财政拨款收入278.40万元，较上年决算数减少55.77万元，下降16.7%。主要原因是</w:t>
      </w:r>
      <w:r>
        <w:rPr>
          <w:rFonts w:hint="eastAsia" w:ascii="方正仿宋_GBK" w:hAnsi="方正仿宋_GBK" w:eastAsia="方正仿宋_GBK" w:cs="方正仿宋_GBK"/>
          <w:color w:val="auto"/>
          <w:sz w:val="32"/>
          <w:szCs w:val="32"/>
          <w:lang w:val="en-US" w:eastAsia="zh-CN"/>
        </w:rPr>
        <w:t>财政拨款“卫生健康支出”减少。</w:t>
      </w:r>
      <w:r>
        <w:rPr>
          <w:rFonts w:hint="eastAsia" w:ascii="方正仿宋_GBK" w:hAnsi="方正仿宋_GBK" w:eastAsia="方正仿宋_GBK" w:cs="方正仿宋_GBK"/>
          <w:sz w:val="32"/>
          <w:szCs w:val="32"/>
        </w:rPr>
        <w:t>较年初预算数增加11.46万元，增长4.3%。主要原因是</w:t>
      </w:r>
      <w:r>
        <w:rPr>
          <w:rFonts w:hint="eastAsia" w:ascii="方正仿宋_GBK" w:hAnsi="方正仿宋_GBK" w:eastAsia="方正仿宋_GBK" w:cs="方正仿宋_GBK"/>
          <w:sz w:val="32"/>
          <w:szCs w:val="32"/>
          <w:lang w:val="en-US" w:eastAsia="zh-CN"/>
        </w:rPr>
        <w:t>本年度年初时</w:t>
      </w:r>
      <w:r>
        <w:rPr>
          <w:rFonts w:hint="eastAsia" w:ascii="方正仿宋_GBK" w:hAnsi="方正仿宋_GBK" w:eastAsia="方正仿宋_GBK" w:cs="方正仿宋_GBK"/>
          <w:color w:val="auto"/>
          <w:sz w:val="32"/>
          <w:szCs w:val="32"/>
          <w:shd w:val="clear" w:color="auto" w:fill="auto"/>
          <w:lang w:val="en-US" w:eastAsia="zh-CN"/>
        </w:rPr>
        <w:t>未将市级拨款等不可预估类特殊项目纳入预算，</w:t>
      </w:r>
      <w:r>
        <w:rPr>
          <w:rFonts w:hint="eastAsia" w:ascii="方正仿宋_GBK" w:hAnsi="方正仿宋_GBK" w:eastAsia="方正仿宋_GBK" w:cs="方正仿宋_GBK"/>
          <w:sz w:val="32"/>
          <w:szCs w:val="32"/>
          <w:lang w:val="en-US" w:eastAsia="zh-CN"/>
        </w:rPr>
        <w:t>导致本年度实际发生的财政拨款收入较年初预算数有所增加</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lang w:val="en-US" w:eastAsia="zh-CN"/>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2021年度一般公共预算财政拨款支出278.40万元，较上年决算数减少55.77万元，下降16.7%。主要原因是</w:t>
      </w:r>
      <w:r>
        <w:rPr>
          <w:rFonts w:hint="eastAsia" w:ascii="方正仿宋_GBK" w:hAnsi="方正仿宋_GBK" w:eastAsia="方正仿宋_GBK" w:cs="方正仿宋_GBK"/>
          <w:color w:val="auto"/>
          <w:sz w:val="32"/>
          <w:szCs w:val="32"/>
          <w:lang w:val="en-US" w:eastAsia="zh-CN"/>
        </w:rPr>
        <w:t>财政拨款“卫生健康支出”减少。</w:t>
      </w:r>
      <w:r>
        <w:rPr>
          <w:rFonts w:hint="eastAsia" w:ascii="方正仿宋_GBK" w:hAnsi="方正仿宋_GBK" w:eastAsia="方正仿宋_GBK" w:cs="方正仿宋_GBK"/>
          <w:sz w:val="32"/>
          <w:szCs w:val="32"/>
        </w:rPr>
        <w:t>较年初预算数增加11.46万元，增长4.3%。主要原因是</w:t>
      </w:r>
      <w:r>
        <w:rPr>
          <w:rFonts w:hint="eastAsia" w:ascii="方正仿宋_GBK" w:hAnsi="方正仿宋_GBK" w:eastAsia="方正仿宋_GBK" w:cs="方正仿宋_GBK"/>
          <w:sz w:val="32"/>
          <w:szCs w:val="32"/>
          <w:lang w:val="en-US" w:eastAsia="zh-CN"/>
        </w:rPr>
        <w:t>本年度年初时</w:t>
      </w:r>
      <w:r>
        <w:rPr>
          <w:rFonts w:hint="eastAsia" w:ascii="方正仿宋_GBK" w:hAnsi="方正仿宋_GBK" w:eastAsia="方正仿宋_GBK" w:cs="方正仿宋_GBK"/>
          <w:color w:val="auto"/>
          <w:sz w:val="32"/>
          <w:szCs w:val="32"/>
          <w:shd w:val="clear" w:color="auto" w:fill="auto"/>
          <w:lang w:val="en-US" w:eastAsia="zh-CN"/>
        </w:rPr>
        <w:t>未将市级拨款等不可预估类特殊项目纳入预算，</w:t>
      </w:r>
      <w:r>
        <w:rPr>
          <w:rFonts w:hint="eastAsia" w:ascii="方正仿宋_GBK" w:hAnsi="方正仿宋_GBK" w:eastAsia="方正仿宋_GBK" w:cs="方正仿宋_GBK"/>
          <w:sz w:val="32"/>
          <w:szCs w:val="32"/>
          <w:lang w:val="en-US" w:eastAsia="zh-CN"/>
        </w:rPr>
        <w:t>导致本年度实际发生的财政拨款收入较年初预算数有所增加</w:t>
      </w:r>
      <w:r>
        <w:rPr>
          <w:rFonts w:hint="eastAsia" w:ascii="方正仿宋_GBK" w:hAnsi="方正仿宋_GBK" w:eastAsia="方正仿宋_GBK" w:cs="方正仿宋_GBK"/>
          <w:color w:val="auto"/>
          <w:sz w:val="32"/>
          <w:szCs w:val="32"/>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）社会保障与就业支出23.88万元，占8.6%，较年初预算数增加23.88万元，增长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预算系统、决算系统对“社会保障与就业支出”的核算不一样。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default"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）卫生健康支出254.52万元，占91.4%，较年初预算数减少12.42万元，下降4.7%，主要原因是</w:t>
      </w:r>
      <w:r>
        <w:rPr>
          <w:rFonts w:hint="eastAsia" w:ascii="方正仿宋_GBK" w:hAnsi="方正仿宋_GBK" w:eastAsia="方正仿宋_GBK" w:cs="方正仿宋_GBK"/>
          <w:sz w:val="32"/>
          <w:szCs w:val="32"/>
          <w:shd w:val="clear" w:color="auto" w:fill="auto"/>
          <w:lang w:val="en-US" w:eastAsia="zh-CN"/>
        </w:rPr>
        <w:t>用于“基层医疗”和“基本公共卫生”相关的经费同步减少。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FF0000"/>
          <w:sz w:val="32"/>
          <w:szCs w:val="32"/>
          <w:shd w:val="clear" w:color="FFFFFF" w:fill="D9D9D9"/>
          <w:lang w:val="en-US" w:eastAsia="zh-CN"/>
        </w:rPr>
      </w:pPr>
      <w:r>
        <w:rPr>
          <w:rFonts w:hint="eastAsia" w:ascii="方正仿宋_GBK" w:hAnsi="方正仿宋_GBK" w:eastAsia="方正仿宋_GBK" w:cs="方正仿宋_GBK"/>
          <w:sz w:val="32"/>
          <w:szCs w:val="32"/>
        </w:rPr>
        <w:t>2021年度一般公共财政拨款基本支出262.92万元。其中：人员经费241.35万元，较上年决算数减少1.40万元，下降0.6%，主要原因是</w:t>
      </w:r>
      <w:r>
        <w:rPr>
          <w:rFonts w:hint="eastAsia" w:ascii="方正仿宋_GBK" w:hAnsi="方正仿宋_GBK" w:eastAsia="方正仿宋_GBK" w:cs="方正仿宋_GBK"/>
          <w:color w:val="auto"/>
          <w:sz w:val="32"/>
          <w:szCs w:val="32"/>
          <w:lang w:val="en-US" w:eastAsia="zh-CN"/>
        </w:rPr>
        <w:t>遗属补助发放标准调整。</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shd w:val="clear" w:color="auto" w:fill="auto"/>
        </w:rPr>
        <w:t>公用经费21.57万元，较上年决算数减少27.57万元，下降56.1%，主要原因是</w:t>
      </w:r>
      <w:r>
        <w:rPr>
          <w:rFonts w:hint="eastAsia" w:ascii="方正仿宋_GBK" w:hAnsi="方正仿宋_GBK" w:eastAsia="方正仿宋_GBK" w:cs="方正仿宋_GBK"/>
          <w:color w:val="auto"/>
          <w:sz w:val="32"/>
          <w:szCs w:val="32"/>
          <w:shd w:val="clear" w:color="auto" w:fill="auto"/>
          <w:lang w:val="en-US" w:eastAsia="zh-CN"/>
        </w:rPr>
        <w:t>财政实际拨款资金与当前年度实际报账的财政资金存在一定差额，该差额较上年有所缩小，故调账至公用经费的金额减少。</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支付劳务费等。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color w:val="auto"/>
          <w:sz w:val="32"/>
          <w:szCs w:val="32"/>
          <w:shd w:val="clear" w:color="auto" w:fill="auto"/>
        </w:rPr>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“三公”经费支出总体情况说明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其他需要说明的事项</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单价50万元（含）以上通用设备0台（套），单价100万元（含）以上专用设备1台（套）。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600" w:lineRule="atLeast"/>
        <w:ind w:left="0" w:leftChars="0"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预算绩效管理情况说明</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预算绩效管理工作开展情况</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楷体_GBK" w:hAnsi="方正楷体_GBK" w:eastAsia="方正楷体_GBK" w:cs="方正楷体_GBK"/>
          <w:sz w:val="32"/>
          <w:szCs w:val="32"/>
          <w:lang w:eastAsia="zh-CN"/>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w:t>
      </w:r>
      <w:r>
        <w:rPr>
          <w:rFonts w:hint="eastAsia" w:ascii="方正仿宋_GBK" w:eastAsia="方正仿宋_GBK"/>
          <w:sz w:val="32"/>
          <w:szCs w:val="32"/>
          <w:lang w:eastAsia="zh-CN"/>
        </w:rPr>
        <w:t>单位</w:t>
      </w:r>
      <w:r>
        <w:rPr>
          <w:rFonts w:hint="eastAsia" w:ascii="方正仿宋_GBK" w:eastAsia="方正仿宋_GBK"/>
          <w:sz w:val="32"/>
          <w:szCs w:val="32"/>
        </w:rPr>
        <w:t>编制绩效目标的项目</w:t>
      </w:r>
      <w:r>
        <w:rPr>
          <w:rFonts w:hint="eastAsia" w:ascii="方正仿宋_GBK" w:eastAsia="方正仿宋_GBK"/>
          <w:sz w:val="32"/>
          <w:szCs w:val="32"/>
          <w:lang w:val="en-US" w:eastAsia="zh-CN"/>
        </w:rPr>
        <w:t>2</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15.48</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10.50</w:t>
      </w:r>
      <w:r>
        <w:rPr>
          <w:rFonts w:hint="eastAsia" w:ascii="方正仿宋_GBK" w:eastAsia="方正仿宋_GBK"/>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（二）绩效自评结果</w:t>
      </w:r>
    </w:p>
    <w:tbl>
      <w:tblPr>
        <w:tblStyle w:val="5"/>
        <w:tblW w:w="9781" w:type="dxa"/>
        <w:jc w:val="center"/>
        <w:tblLayout w:type="fixed"/>
        <w:tblCellMar>
          <w:top w:w="0" w:type="dxa"/>
          <w:left w:w="108" w:type="dxa"/>
          <w:bottom w:w="0" w:type="dxa"/>
          <w:right w:w="108" w:type="dxa"/>
        </w:tblCellMar>
      </w:tblPr>
      <w:tblGrid>
        <w:gridCol w:w="616"/>
        <w:gridCol w:w="1980"/>
        <w:gridCol w:w="1515"/>
        <w:gridCol w:w="1461"/>
        <w:gridCol w:w="1418"/>
        <w:gridCol w:w="948"/>
        <w:gridCol w:w="1843"/>
      </w:tblGrid>
      <w:tr>
        <w:tblPrEx>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lang w:eastAsia="zh-CN"/>
              </w:rPr>
            </w:pPr>
            <w:r>
              <w:rPr>
                <w:rFonts w:hint="eastAsia" w:ascii="方正仿宋_GBK" w:hAnsi="方正仿宋_GBK" w:eastAsia="方正仿宋_GBK" w:cs="方正仿宋_GBK"/>
                <w:color w:val="000000"/>
                <w:kern w:val="0"/>
                <w:sz w:val="20"/>
                <w:szCs w:val="20"/>
              </w:rPr>
              <w:t>主管</w:t>
            </w:r>
            <w:r>
              <w:rPr>
                <w:rFonts w:hint="eastAsia" w:ascii="方正仿宋_GBK" w:hAnsi="方正仿宋_GBK" w:eastAsia="方正仿宋_GBK" w:cs="方正仿宋_GBK"/>
                <w:color w:val="000000"/>
                <w:kern w:val="0"/>
                <w:sz w:val="20"/>
                <w:szCs w:val="20"/>
                <w:lang w:eastAsia="zh-CN"/>
              </w:rPr>
              <w:t>单位</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鱼池镇卫生院</w:t>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10.50</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10.50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lang w:val="en-US" w:eastAsia="zh-CN"/>
              </w:rPr>
              <w:t>10.50</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4209"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420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绩效自评报告或案例</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已完成本年度自评绩效目标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sz w:val="22"/>
          <w:szCs w:val="22"/>
        </w:rPr>
      </w:pPr>
      <w:r>
        <w:rPr>
          <w:rStyle w:val="7"/>
          <w:rFonts w:hint="eastAsia" w:ascii="方正楷体_GBK" w:hAnsi="方正楷体_GBK" w:eastAsia="方正楷体_GBK" w:cs="方正楷体_GBK"/>
          <w:sz w:val="32"/>
          <w:szCs w:val="32"/>
        </w:rPr>
        <w:t>（三）重点绩效评价结果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eastAsia="宋体"/>
          <w:b w:val="0"/>
          <w:bCs w:val="0"/>
          <w:sz w:val="22"/>
          <w:szCs w:val="2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color="auto" w:fill="FFFFFF"/>
        </w:rPr>
        <w:t>023-73336189</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480" w:firstLineChars="200"/>
        <w:textAlignment w:val="auto"/>
        <w:rPr>
          <w:rFonts w:hint="eastAsia" w:eastAsia="宋体"/>
          <w:lang w:eastAsia="zh-CN"/>
        </w:rPr>
      </w:pPr>
      <w:bookmarkStart w:id="0" w:name="_GoBack"/>
      <w:bookmarkEnd w:id="0"/>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1E56C"/>
    <w:multiLevelType w:val="singleLevel"/>
    <w:tmpl w:val="D4F1E56C"/>
    <w:lvl w:ilvl="0" w:tentative="0">
      <w:start w:val="2"/>
      <w:numFmt w:val="decimal"/>
      <w:lvlText w:val="%1."/>
      <w:lvlJc w:val="left"/>
      <w:pPr>
        <w:tabs>
          <w:tab w:val="left" w:pos="312"/>
        </w:tabs>
      </w:pPr>
    </w:lvl>
  </w:abstractNum>
  <w:abstractNum w:abstractNumId="1">
    <w:nsid w:val="FF6746FE"/>
    <w:multiLevelType w:val="singleLevel"/>
    <w:tmpl w:val="FF6746FE"/>
    <w:lvl w:ilvl="0" w:tentative="0">
      <w:start w:val="1"/>
      <w:numFmt w:val="chineseCounting"/>
      <w:suff w:val="nothing"/>
      <w:lvlText w:val="（%1）"/>
      <w:lvlJc w:val="left"/>
      <w:rPr>
        <w:rFonts w:hint="eastAsia"/>
      </w:rPr>
    </w:lvl>
  </w:abstractNum>
  <w:abstractNum w:abstractNumId="2">
    <w:nsid w:val="20AAC4EB"/>
    <w:multiLevelType w:val="singleLevel"/>
    <w:tmpl w:val="20AAC4EB"/>
    <w:lvl w:ilvl="0" w:tentative="0">
      <w:start w:val="4"/>
      <w:numFmt w:val="chineseCounting"/>
      <w:suff w:val="nothing"/>
      <w:lvlText w:val="%1、"/>
      <w:lvlJc w:val="left"/>
      <w:rPr>
        <w:rFonts w:hint="eastAsia"/>
      </w:rPr>
    </w:lvl>
  </w:abstractNum>
  <w:abstractNum w:abstractNumId="3">
    <w:nsid w:val="25BD3842"/>
    <w:multiLevelType w:val="singleLevel"/>
    <w:tmpl w:val="25BD3842"/>
    <w:lvl w:ilvl="0" w:tentative="0">
      <w:start w:val="1"/>
      <w:numFmt w:val="chineseCounting"/>
      <w:suff w:val="nothing"/>
      <w:lvlText w:val="（%1）"/>
      <w:lvlJc w:val="left"/>
      <w:rPr>
        <w:rFonts w:hint="eastAsia"/>
      </w:rPr>
    </w:lvl>
  </w:abstractNum>
  <w:abstractNum w:abstractNumId="4">
    <w:nsid w:val="366CE28F"/>
    <w:multiLevelType w:val="singleLevel"/>
    <w:tmpl w:val="366CE28F"/>
    <w:lvl w:ilvl="0" w:tentative="0">
      <w:start w:val="3"/>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DD160C"/>
    <w:rsid w:val="00C32299"/>
    <w:rsid w:val="00DD160C"/>
    <w:rsid w:val="1B5311CA"/>
    <w:rsid w:val="2EEE0B2B"/>
    <w:rsid w:val="3B2E6AC0"/>
    <w:rsid w:val="3E15260E"/>
    <w:rsid w:val="3F844555"/>
    <w:rsid w:val="56EA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4512</Words>
  <Characters>4886</Characters>
  <Lines>64</Lines>
  <Paragraphs>18</Paragraphs>
  <TotalTime>15</TotalTime>
  <ScaleCrop>false</ScaleCrop>
  <LinksUpToDate>false</LinksUpToDate>
  <CharactersWithSpaces>5058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2022-10-22T03:18:00Z</dcterms:created>
  <dc:creator>HP</dc:creator>
  <cp:lastModifiedBy>admin</cp:lastModifiedBy>
  <dcterms:modified xsi:type="dcterms:W3CDTF">2022-10-26T03:57:20Z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78572D94C2EB4AF284528336F69416D8</vt:lpwstr>
  </property>
</Properties>
</file>