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重庆市石柱土家族自治县万朝</w:t>
      </w:r>
      <w:r>
        <w:rPr>
          <w:rFonts w:hint="eastAsia" w:ascii="方正小标宋_GBK" w:hAnsi="方正小标宋_GBK" w:eastAsia="方正小标宋_GBK" w:cs="方正小标宋_GBK"/>
          <w:sz w:val="44"/>
          <w:szCs w:val="44"/>
          <w:lang w:val="en-US" w:eastAsia="zh-CN"/>
        </w:rPr>
        <w:t>镇</w:t>
      </w:r>
      <w:r>
        <w:rPr>
          <w:rFonts w:hint="eastAsia" w:ascii="方正小标宋_GBK" w:hAnsi="方正小标宋_GBK" w:eastAsia="方正小标宋_GBK" w:cs="方正小标宋_GBK"/>
          <w:sz w:val="44"/>
          <w:szCs w:val="44"/>
        </w:rPr>
        <w:t>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ascii="方正仿宋_GBK" w:hAnsi="宋体" w:eastAsia="方正仿宋_GBK" w:cs="宋体"/>
          <w:kern w:val="0"/>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宋体" w:eastAsia="方正仿宋_GBK" w:cs="宋体"/>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2.</w:t>
      </w:r>
      <w:r>
        <w:rPr>
          <w:rFonts w:hint="eastAsia" w:ascii="方正仿宋_GBK" w:hAnsi="宋体" w:eastAsia="方正仿宋_GBK" w:cs="宋体"/>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3.</w:t>
      </w:r>
      <w:r>
        <w:rPr>
          <w:rFonts w:hint="eastAsia" w:ascii="方正仿宋_GBK" w:hAnsi="宋体" w:eastAsia="方正仿宋_GBK" w:cs="宋体"/>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4.</w:t>
      </w:r>
      <w:r>
        <w:rPr>
          <w:rFonts w:hint="eastAsia" w:ascii="方正仿宋_GBK" w:hAnsi="宋体" w:eastAsia="方正仿宋_GBK" w:cs="宋体"/>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5.</w:t>
      </w:r>
      <w:r>
        <w:rPr>
          <w:rFonts w:hint="eastAsia" w:ascii="方正仿宋_GBK" w:hAnsi="宋体" w:eastAsia="方正仿宋_GBK" w:cs="宋体"/>
          <w:kern w:val="0"/>
          <w:sz w:val="32"/>
          <w:szCs w:val="32"/>
        </w:rPr>
        <w:t>协助卫健行政主管</w:t>
      </w:r>
      <w:r>
        <w:rPr>
          <w:rFonts w:hint="eastAsia" w:ascii="方正仿宋_GBK" w:eastAsia="方正仿宋_GBK" w:cs="宋体"/>
          <w:kern w:val="0"/>
          <w:sz w:val="32"/>
          <w:szCs w:val="32"/>
          <w:lang w:eastAsia="zh-CN"/>
        </w:rPr>
        <w:t>单位</w:t>
      </w:r>
      <w:r>
        <w:rPr>
          <w:rFonts w:hint="eastAsia" w:ascii="方正仿宋_GBK" w:hAnsi="宋体" w:eastAsia="方正仿宋_GBK" w:cs="宋体"/>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6.</w:t>
      </w:r>
      <w:r>
        <w:rPr>
          <w:rFonts w:hint="eastAsia" w:ascii="方正仿宋_GBK" w:hAnsi="宋体" w:eastAsia="方正仿宋_GBK" w:cs="宋体"/>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rPr>
      </w:pPr>
      <w:r>
        <w:rPr>
          <w:rFonts w:hint="eastAsia" w:ascii="方正仿宋_GBK" w:eastAsia="方正仿宋_GBK" w:cs="宋体"/>
          <w:kern w:val="0"/>
          <w:sz w:val="32"/>
          <w:szCs w:val="32"/>
          <w:lang w:val="en-US" w:eastAsia="zh-CN"/>
        </w:rPr>
        <w:t>7.</w:t>
      </w:r>
      <w:r>
        <w:rPr>
          <w:rFonts w:hint="eastAsia" w:ascii="方正仿宋_GBK" w:hAnsi="宋体" w:eastAsia="方正仿宋_GBK" w:cs="宋体"/>
          <w:kern w:val="0"/>
          <w:sz w:val="32"/>
          <w:szCs w:val="32"/>
        </w:rPr>
        <w:t>协助政府制定、实施农村基本医疗卫生保健规划，开展爱国卫生工作。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eastAsia="方正仿宋_GBK" w:cs="宋体"/>
          <w:kern w:val="0"/>
          <w:sz w:val="32"/>
          <w:szCs w:val="32"/>
          <w:lang w:val="en-US" w:eastAsia="zh-CN"/>
        </w:rPr>
        <w:t>8.</w:t>
      </w:r>
      <w:r>
        <w:rPr>
          <w:rFonts w:hint="eastAsia" w:ascii="方正仿宋_GBK" w:hAnsi="宋体" w:eastAsia="方正仿宋_GBK" w:cs="宋体"/>
          <w:kern w:val="0"/>
          <w:sz w:val="32"/>
          <w:szCs w:val="32"/>
        </w:rPr>
        <w:t>承办县卫生健康委员会交办的其他工作。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（二）机构设置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宋体" w:eastAsia="方正仿宋_GBK" w:cs="宋体"/>
          <w:kern w:val="0"/>
          <w:sz w:val="32"/>
          <w:szCs w:val="32"/>
        </w:rPr>
        <w:t>万朝镇卫生院位于万朝镇街上，属于公益一类医疗事业单位，单位建筑面积为2200平方米，单位编制人数为32人，在职在编人数为</w:t>
      </w:r>
      <w:r>
        <w:rPr>
          <w:rFonts w:hint="eastAsia" w:ascii="方正仿宋_GBK" w:eastAsia="方正仿宋_GBK" w:cs="宋体"/>
          <w:kern w:val="0"/>
          <w:sz w:val="32"/>
          <w:szCs w:val="32"/>
          <w:lang w:val="en-US" w:eastAsia="zh-CN"/>
        </w:rPr>
        <w:t>30</w:t>
      </w:r>
      <w:r>
        <w:rPr>
          <w:rFonts w:hint="eastAsia" w:ascii="方正仿宋_GBK" w:hAnsi="宋体" w:eastAsia="方正仿宋_GBK" w:cs="宋体"/>
          <w:kern w:val="0"/>
          <w:sz w:val="32"/>
          <w:szCs w:val="32"/>
        </w:rPr>
        <w:t>人，临时工人数为</w:t>
      </w:r>
      <w:r>
        <w:rPr>
          <w:rFonts w:hint="eastAsia" w:ascii="方正仿宋_GBK" w:eastAsia="方正仿宋_GBK" w:cs="宋体"/>
          <w:kern w:val="0"/>
          <w:sz w:val="32"/>
          <w:szCs w:val="32"/>
          <w:lang w:val="en-US" w:eastAsia="zh-CN"/>
        </w:rPr>
        <w:t>13</w:t>
      </w:r>
      <w:r>
        <w:rPr>
          <w:rFonts w:hint="eastAsia" w:ascii="方正仿宋_GBK" w:hAnsi="宋体" w:eastAsia="方正仿宋_GBK" w:cs="宋体"/>
          <w:kern w:val="0"/>
          <w:sz w:val="32"/>
          <w:szCs w:val="32"/>
        </w:rPr>
        <w:t>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（三）单位构成</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该卫生院下设门诊、住院部、护理部、办公室等科室</w:t>
      </w:r>
      <w:r>
        <w:rPr>
          <w:rFonts w:hint="eastAsia" w:ascii="方正仿宋_GBK" w:hAnsi="方正仿宋_GBK" w:eastAsia="方正仿宋_GBK" w:cs="方正仿宋_GBK"/>
          <w:color w:val="auto"/>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atLeast"/>
        <w:ind w:left="0" w:leftChars="0"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keepNext w:val="0"/>
        <w:keepLines w:val="0"/>
        <w:pageBreakBefore w:val="0"/>
        <w:widowControl/>
        <w:numPr>
          <w:numId w:val="0"/>
        </w:numPr>
        <w:kinsoku/>
        <w:wordWrap/>
        <w:overflowPunct/>
        <w:topLinePunct w:val="0"/>
        <w:autoSpaceDE/>
        <w:autoSpaceDN/>
        <w:bidi w:val="0"/>
        <w:adjustRightInd/>
        <w:snapToGrid/>
        <w:spacing w:beforeAutospacing="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2021年度收入总计1,273.61万元，支出总计1,273.61万元。收支较上年决算数增加175.35万元、增长16%，主要原因是</w:t>
      </w:r>
      <w:r>
        <w:rPr>
          <w:rFonts w:hint="eastAsia" w:ascii="方正仿宋_GBK" w:hAnsi="方正仿宋_GBK" w:eastAsia="方正仿宋_GBK" w:cs="方正仿宋_GBK"/>
          <w:color w:val="auto"/>
          <w:sz w:val="32"/>
          <w:szCs w:val="32"/>
          <w:lang w:val="en-US" w:eastAsia="zh-CN"/>
        </w:rPr>
        <w:t>事业收入增加。</w:t>
      </w:r>
      <w:r>
        <w:rPr>
          <w:rFonts w:hint="eastAsia" w:ascii="方正仿宋_GBK" w:hAnsi="方正仿宋_GBK" w:eastAsia="方正仿宋_GBK" w:cs="方正仿宋_GBK"/>
          <w:color w:val="auto"/>
          <w:sz w:val="32"/>
          <w:szCs w:val="32"/>
        </w:rPr>
        <w:t>本部分的收入总计包括收入合计、使用非财政拨款结余、年初结转和结余，支出总计包括本年支出合计、结余分配、年末结转和结余。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2021年度收入合计1,273.61万元，较上年决算数增加175.35万元，增长16%，主要原因是</w:t>
      </w:r>
      <w:r>
        <w:rPr>
          <w:rFonts w:hint="eastAsia" w:ascii="方正仿宋_GBK" w:hAnsi="方正仿宋_GBK" w:eastAsia="方正仿宋_GBK" w:cs="方正仿宋_GBK"/>
          <w:color w:val="auto"/>
          <w:sz w:val="32"/>
          <w:szCs w:val="32"/>
          <w:lang w:val="en-US" w:eastAsia="zh-CN"/>
        </w:rPr>
        <w:t>事业收入增加。</w:t>
      </w:r>
      <w:r>
        <w:rPr>
          <w:rFonts w:hint="eastAsia" w:ascii="方正仿宋_GBK" w:hAnsi="方正仿宋_GBK" w:eastAsia="方正仿宋_GBK" w:cs="方正仿宋_GBK"/>
          <w:sz w:val="32"/>
          <w:szCs w:val="32"/>
        </w:rPr>
        <w:t>其中：财政拨款收入454.97万元，占35.7%；事业收入818.64万元，占64.3%</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2021年度支出合计1,104.94万元，较上年决算数增加122.35万元，增长12.5%，主要原因是</w:t>
      </w:r>
      <w:r>
        <w:rPr>
          <w:rFonts w:hint="eastAsia" w:ascii="方正仿宋_GBK" w:hAnsi="方正仿宋_GBK" w:eastAsia="方正仿宋_GBK" w:cs="方正仿宋_GBK"/>
          <w:color w:val="auto"/>
          <w:sz w:val="32"/>
          <w:szCs w:val="32"/>
          <w:lang w:val="en-US" w:eastAsia="zh-CN"/>
        </w:rPr>
        <w:t>事业收入增加。</w:t>
      </w:r>
      <w:r>
        <w:rPr>
          <w:rFonts w:hint="eastAsia" w:ascii="方正仿宋_GBK" w:hAnsi="方正仿宋_GBK" w:eastAsia="方正仿宋_GBK" w:cs="方正仿宋_GBK"/>
          <w:sz w:val="32"/>
          <w:szCs w:val="32"/>
        </w:rPr>
        <w:t>其中：基本支出1,077.44万元，占97.5%；项目支出27.50万元，占2.5%。此外，结余分配168.67万元。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638" w:leftChars="266" w:firstLine="0" w:firstLineChars="0"/>
        <w:textAlignment w:val="auto"/>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color w:val="auto"/>
          <w:sz w:val="32"/>
          <w:szCs w:val="32"/>
          <w:lang w:eastAsia="zh-CN"/>
        </w:rPr>
        <w:t>。</w:t>
      </w: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2021年度财政拨款收、支总计454.97万元。与2020年相比，财政拨款收、支总计各增加5.71万元，增长1.3%。主要原因是</w:t>
      </w:r>
      <w:r>
        <w:rPr>
          <w:rFonts w:hint="eastAsia" w:ascii="方正仿宋_GBK" w:hAnsi="方正仿宋_GBK" w:eastAsia="方正仿宋_GBK" w:cs="方正仿宋_GBK"/>
          <w:sz w:val="32"/>
          <w:szCs w:val="32"/>
          <w:lang w:val="en-US" w:eastAsia="zh-CN"/>
        </w:rPr>
        <w:t>财政拨款“社会保障和就业支出”增加。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2021年度一般公共预算财政拨款收入454.97万元，较上年决算数增加5.71万元，增长1.3%。主要原因是</w:t>
      </w:r>
      <w:r>
        <w:rPr>
          <w:rFonts w:hint="eastAsia" w:ascii="方正仿宋_GBK" w:hAnsi="方正仿宋_GBK" w:eastAsia="方正仿宋_GBK" w:cs="方正仿宋_GBK"/>
          <w:sz w:val="32"/>
          <w:szCs w:val="32"/>
          <w:lang w:val="en-US" w:eastAsia="zh-CN"/>
        </w:rPr>
        <w:t>“社会保障和就业支出”增加。</w:t>
      </w:r>
      <w:r>
        <w:rPr>
          <w:rFonts w:hint="eastAsia" w:ascii="方正仿宋_GBK" w:hAnsi="方正仿宋_GBK" w:eastAsia="方正仿宋_GBK" w:cs="方正仿宋_GBK"/>
          <w:sz w:val="32"/>
          <w:szCs w:val="32"/>
        </w:rPr>
        <w:t>较年初预算数增加68.43万元，增长17.7%。主要原因是</w:t>
      </w:r>
      <w:r>
        <w:rPr>
          <w:rFonts w:hint="eastAsia" w:ascii="方正仿宋_GBK" w:hAnsi="方正仿宋_GBK" w:eastAsia="方正仿宋_GBK" w:cs="方正仿宋_GBK"/>
          <w:sz w:val="32"/>
          <w:szCs w:val="32"/>
          <w:lang w:val="en-US" w:eastAsia="zh-CN"/>
        </w:rPr>
        <w:t>本年度人员工资调整，缴纳五险一金的基数有变化，导致本年度实际发生的“社会保障和就业支出”较预算数有所增加</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 2.支出情况。</w:t>
      </w:r>
      <w:r>
        <w:rPr>
          <w:rFonts w:hint="eastAsia" w:ascii="方正仿宋_GBK" w:hAnsi="方正仿宋_GBK" w:eastAsia="方正仿宋_GBK" w:cs="方正仿宋_GBK"/>
          <w:sz w:val="32"/>
          <w:szCs w:val="32"/>
        </w:rPr>
        <w:t>2021年度一般公共预算财政拨款支出454.97万元，较上年决算数增加5.71万元，增长1.3%。主要原因是</w:t>
      </w:r>
      <w:r>
        <w:rPr>
          <w:rFonts w:hint="eastAsia" w:ascii="方正仿宋_GBK" w:hAnsi="方正仿宋_GBK" w:eastAsia="方正仿宋_GBK" w:cs="方正仿宋_GBK"/>
          <w:sz w:val="32"/>
          <w:szCs w:val="32"/>
          <w:lang w:val="en-US" w:eastAsia="zh-CN"/>
        </w:rPr>
        <w:t>“社会保障和就业支出”增加。</w:t>
      </w:r>
      <w:r>
        <w:rPr>
          <w:rFonts w:hint="eastAsia" w:ascii="方正仿宋_GBK" w:hAnsi="方正仿宋_GBK" w:eastAsia="方正仿宋_GBK" w:cs="方正仿宋_GBK"/>
          <w:sz w:val="32"/>
          <w:szCs w:val="32"/>
        </w:rPr>
        <w:t>较年初预算数增加68.43万元，增长17.7%。主要原因是</w:t>
      </w:r>
      <w:r>
        <w:rPr>
          <w:rFonts w:hint="eastAsia" w:ascii="方正仿宋_GBK" w:hAnsi="方正仿宋_GBK" w:eastAsia="方正仿宋_GBK" w:cs="方正仿宋_GBK"/>
          <w:sz w:val="32"/>
          <w:szCs w:val="32"/>
          <w:lang w:val="en-US" w:eastAsia="zh-CN"/>
        </w:rPr>
        <w:t>本年度人员工资调整，缴纳五险一金的基数有变化，导致本年度实际发生的“社会保障和就业支出”较预算数有所增加</w:t>
      </w:r>
      <w:r>
        <w:rPr>
          <w:rFonts w:hint="eastAsia" w:ascii="方正仿宋_GBK" w:hAnsi="方正仿宋_GBK" w:eastAsia="方正仿宋_GBK" w:cs="方正仿宋_GBK"/>
          <w:color w:val="auto"/>
          <w:sz w:val="32"/>
          <w:szCs w:val="32"/>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w:t>
      </w:r>
      <w:r>
        <w:rPr>
          <w:rFonts w:hint="eastAsia" w:ascii="方正仿宋_GBK" w:hAnsi="方正仿宋_GBK" w:eastAsia="方正仿宋_GBK" w:cs="方正仿宋_GBK"/>
          <w:sz w:val="32"/>
          <w:szCs w:val="32"/>
          <w:shd w:val="clear" w:color="auto" w:fill="auto"/>
        </w:rPr>
        <w:t>）社会保障与就业支出47.08万元，占10.3%，较年初预算数增加47.08万元，增长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color w:val="auto"/>
          <w:sz w:val="32"/>
          <w:szCs w:val="32"/>
          <w:shd w:val="clear" w:color="auto" w:fill="auto"/>
          <w:lang w:val="en-US" w:eastAsia="zh-CN"/>
        </w:rPr>
        <w:t>年初预算时只针对财政拨款的基本公共卫生服务项目进行预算，而在决算时，存在部分与公共卫生相关的费用，比如公共卫生科人员的工资等，系统自动列入“一般公共服务支出”核算。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2</w:t>
      </w:r>
      <w:r>
        <w:rPr>
          <w:rFonts w:hint="eastAsia" w:ascii="方正仿宋_GBK" w:hAnsi="方正仿宋_GBK" w:eastAsia="方正仿宋_GBK" w:cs="方正仿宋_GBK"/>
          <w:sz w:val="32"/>
          <w:szCs w:val="32"/>
          <w:shd w:val="clear" w:color="auto" w:fill="auto"/>
        </w:rPr>
        <w:t>）卫生健康支出407.89万元，占89.7%，较年初预算数增加21.35万元，增长5.5%，主要原因是</w:t>
      </w:r>
      <w:r>
        <w:rPr>
          <w:rFonts w:hint="eastAsia" w:ascii="方正仿宋_GBK" w:hAnsi="方正仿宋_GBK" w:eastAsia="方正仿宋_GBK" w:cs="方正仿宋_GBK"/>
          <w:sz w:val="32"/>
          <w:szCs w:val="32"/>
          <w:shd w:val="clear" w:color="auto" w:fill="auto"/>
          <w:lang w:val="en-US" w:eastAsia="zh-CN"/>
        </w:rPr>
        <w:t>本年度事业收入较上一年有所增加，对应的支出也增加，而年初预算是根据上一年度的收支进行预算的，所以决算支出比年初预算增加。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sz w:val="32"/>
          <w:szCs w:val="32"/>
        </w:rPr>
        <w:t>2021年度一般公共财政拨款基本支出428.43万元。其中：人员经费391.87万元，较上年决算数增加18.78万元，增长5%，主要原因是</w:t>
      </w:r>
      <w:r>
        <w:rPr>
          <w:rFonts w:hint="eastAsia" w:ascii="方正仿宋_GBK" w:hAnsi="方正仿宋_GBK" w:eastAsia="方正仿宋_GBK" w:cs="方正仿宋_GBK"/>
          <w:color w:val="auto"/>
          <w:sz w:val="32"/>
          <w:szCs w:val="32"/>
          <w:lang w:val="en-US" w:eastAsia="zh-CN"/>
        </w:rPr>
        <w:t>本年度新公招一名编制人员，财政对人员经费的拨款增加。</w:t>
      </w:r>
      <w:r>
        <w:rPr>
          <w:rFonts w:hint="eastAsia"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b w:val="0"/>
          <w:bCs w:val="0"/>
          <w:color w:val="auto"/>
          <w:sz w:val="32"/>
          <w:szCs w:val="32"/>
          <w:lang w:val="en-US" w:eastAsia="zh-CN"/>
        </w:rPr>
        <w:t>基本工资、基础绩效、五险二金的发放。</w:t>
      </w:r>
      <w:r>
        <w:rPr>
          <w:rFonts w:hint="eastAsia" w:ascii="方正仿宋_GBK" w:hAnsi="方正仿宋_GBK" w:eastAsia="方正仿宋_GBK" w:cs="方正仿宋_GBK"/>
          <w:sz w:val="32"/>
          <w:szCs w:val="32"/>
          <w:shd w:val="clear" w:color="auto" w:fill="auto"/>
        </w:rPr>
        <w:t>公用经费36.56万元，较上年决算数增加9.75万元，增长36.4%，主要原因是</w:t>
      </w:r>
      <w:r>
        <w:rPr>
          <w:rFonts w:hint="eastAsia" w:ascii="方正仿宋_GBK" w:hAnsi="方正仿宋_GBK" w:eastAsia="方正仿宋_GBK" w:cs="方正仿宋_GBK"/>
          <w:color w:val="auto"/>
          <w:sz w:val="32"/>
          <w:szCs w:val="32"/>
          <w:shd w:val="clear" w:color="auto" w:fill="auto"/>
          <w:lang w:val="en-US" w:eastAsia="zh-CN"/>
        </w:rPr>
        <w:t>财政实际拨款资金多于当前年度实际报账的财政资金，调节至人员费用后仍有剩余，故调账至公用经费。</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劳务费支付等。</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政府性基金预算收支决算情况说明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color w:val="auto"/>
          <w:sz w:val="32"/>
          <w:szCs w:val="32"/>
          <w:shd w:val="clear" w:color="auto" w:fill="auto"/>
        </w:rPr>
        <w:t>本</w:t>
      </w:r>
      <w:r>
        <w:rPr>
          <w:rStyle w:val="7"/>
          <w:rFonts w:hint="eastAsia" w:ascii="方正仿宋_GBK" w:hAnsi="方正仿宋_GBK" w:eastAsia="方正仿宋_GBK" w:cs="方正仿宋_GBK"/>
          <w:b w:val="0"/>
          <w:bCs w:val="0"/>
          <w:color w:val="auto"/>
          <w:sz w:val="32"/>
          <w:szCs w:val="32"/>
          <w:shd w:val="clear" w:color="auto" w:fill="auto"/>
          <w:lang w:val="en-US" w:eastAsia="zh-CN"/>
        </w:rPr>
        <w:t>单位</w:t>
      </w:r>
      <w:r>
        <w:rPr>
          <w:rStyle w:val="7"/>
          <w:rFonts w:hint="eastAsia" w:ascii="方正仿宋_GBK" w:hAnsi="方正仿宋_GBK" w:eastAsia="方正仿宋_GBK" w:cs="方正仿宋_GBK"/>
          <w:b w:val="0"/>
          <w:bCs w:val="0"/>
          <w:color w:val="auto"/>
          <w:sz w:val="32"/>
          <w:szCs w:val="32"/>
          <w:shd w:val="clear" w:color="auto" w:fill="auto"/>
        </w:rPr>
        <w:t>2021年度无政府性基金预算财政拨款收支。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left="638" w:leftChars="266" w:firstLine="0" w:firstLineChars="0"/>
        <w:textAlignment w:val="auto"/>
      </w:pPr>
      <w:r>
        <w:rPr>
          <w:rStyle w:val="7"/>
          <w:rFonts w:hint="eastAsia" w:ascii="方正楷体_GBK" w:hAnsi="方正楷体_GBK" w:eastAsia="方正楷体_GBK" w:cs="方正楷体_GBK"/>
          <w:sz w:val="32"/>
          <w:szCs w:val="32"/>
        </w:rPr>
        <w:t>（六）国有资本经营预算财政拨款支出决算情况说明。</w:t>
      </w: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442" w:firstLineChars="200"/>
        <w:textAlignment w:val="auto"/>
        <w:rPr>
          <w:rFonts w:hint="eastAsia" w:ascii="方正黑体_GBK" w:hAnsi="方正黑体_GBK" w:eastAsia="方正黑体_GBK" w:cs="方正黑体_GBK"/>
          <w:sz w:val="32"/>
          <w:szCs w:val="32"/>
        </w:rPr>
      </w:pPr>
      <w:r>
        <w:rPr>
          <w:rStyle w:val="7"/>
          <w:sz w:val="22"/>
          <w:szCs w:val="22"/>
        </w:rPr>
        <w:t> </w:t>
      </w:r>
      <w:r>
        <w:rPr>
          <w:rStyle w:val="7"/>
          <w:rFonts w:hint="eastAsia" w:ascii="方正黑体_GBK" w:hAnsi="方正黑体_GBK" w:eastAsia="方正黑体_GBK" w:cs="方正黑体_GBK"/>
          <w:sz w:val="32"/>
          <w:szCs w:val="32"/>
        </w:rPr>
        <w:t xml:space="preserve"> 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left="0" w:leftChars="0"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其他需要说明的事项</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left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共有车辆1辆，其中，副部（省）级及以上领导用车0辆、主要领导干部用车0辆、机要通信用车0辆、应急保障用车0辆、执法执勤用车0辆，特种专业技术用车1辆，离退休干部用车0辆，其他用车0辆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单价50万元（含）以上通用设备0台（套），单价100万元（含）以上专用设备2台（套）。</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政府采购支出情况说明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atLeast"/>
        <w:ind w:left="0" w:leftChars="0"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预算绩效管理情况说明</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Style w:val="7"/>
          <w:rFonts w:hint="eastAsia" w:ascii="方正楷体_GBK" w:hAnsi="方正楷体_GBK" w:eastAsia="方正楷体_GBK" w:cs="方正楷体_GBK"/>
          <w:sz w:val="32"/>
          <w:szCs w:val="32"/>
        </w:rPr>
      </w:pP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年，本部门编制绩效目标的项目</w:t>
      </w:r>
      <w:r>
        <w:rPr>
          <w:rFonts w:hint="eastAsia" w:ascii="方正仿宋_GBK" w:eastAsia="方正仿宋_GBK"/>
          <w:sz w:val="32"/>
          <w:szCs w:val="32"/>
          <w:lang w:val="en-US" w:eastAsia="zh-CN"/>
        </w:rPr>
        <w:t>2</w:t>
      </w:r>
      <w:r>
        <w:rPr>
          <w:rFonts w:hint="eastAsia" w:ascii="方正仿宋_GBK" w:eastAsia="方正仿宋_GBK"/>
          <w:sz w:val="32"/>
          <w:szCs w:val="32"/>
        </w:rPr>
        <w:t>个，涉及支出预算</w:t>
      </w:r>
      <w:r>
        <w:rPr>
          <w:rFonts w:hint="eastAsia" w:ascii="方正仿宋_GBK" w:eastAsia="方正仿宋_GBK"/>
          <w:sz w:val="32"/>
          <w:szCs w:val="32"/>
          <w:lang w:val="en-US" w:eastAsia="zh-CN"/>
        </w:rPr>
        <w:t>27.50</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15.9</w:t>
      </w:r>
      <w:r>
        <w:rPr>
          <w:rFonts w:hint="eastAsia" w:ascii="方正仿宋_GBK" w:eastAsia="方正仿宋_GBK"/>
          <w:sz w:val="32"/>
          <w:szCs w:val="32"/>
        </w:rPr>
        <w:t>万元。</w:t>
      </w:r>
    </w:p>
    <w:p>
      <w:pPr>
        <w:pStyle w:val="4"/>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绩效自评结果</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 xml:space="preserve"> 1.绩效目标自评表</w:t>
      </w:r>
    </w:p>
    <w:tbl>
      <w:tblPr>
        <w:tblStyle w:val="5"/>
        <w:tblW w:w="9781" w:type="dxa"/>
        <w:jc w:val="center"/>
        <w:tblLayout w:type="fixed"/>
        <w:tblCellMar>
          <w:top w:w="0" w:type="dxa"/>
          <w:left w:w="108" w:type="dxa"/>
          <w:bottom w:w="0" w:type="dxa"/>
          <w:right w:w="108" w:type="dxa"/>
        </w:tblCellMar>
      </w:tblPr>
      <w:tblGrid>
        <w:gridCol w:w="616"/>
        <w:gridCol w:w="1980"/>
        <w:gridCol w:w="1515"/>
        <w:gridCol w:w="1461"/>
        <w:gridCol w:w="1418"/>
        <w:gridCol w:w="948"/>
        <w:gridCol w:w="1843"/>
      </w:tblGrid>
      <w:tr>
        <w:tblPrEx>
          <w:tblCellMar>
            <w:top w:w="0" w:type="dxa"/>
            <w:left w:w="108" w:type="dxa"/>
            <w:bottom w:w="0" w:type="dxa"/>
            <w:right w:w="108" w:type="dxa"/>
          </w:tblCellMar>
        </w:tblPrEx>
        <w:trPr>
          <w:trHeight w:val="585" w:hRule="atLeast"/>
          <w:jc w:val="center"/>
        </w:trPr>
        <w:tc>
          <w:tcPr>
            <w:tcW w:w="9781" w:type="dxa"/>
            <w:gridSpan w:val="7"/>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20"/>
                <w:szCs w:val="20"/>
              </w:rPr>
            </w:pPr>
            <w:r>
              <w:rPr>
                <w:rFonts w:hint="eastAsia" w:ascii="方正仿宋_GBK" w:hAnsi="方正仿宋_GBK" w:eastAsia="方正仿宋_GBK" w:cs="方正仿宋_GBK"/>
                <w:b/>
                <w:bCs/>
                <w:color w:val="000000"/>
                <w:kern w:val="0"/>
                <w:sz w:val="20"/>
                <w:szCs w:val="20"/>
              </w:rPr>
              <w:t>202</w:t>
            </w:r>
            <w:r>
              <w:rPr>
                <w:rFonts w:hint="eastAsia" w:ascii="方正仿宋_GBK" w:hAnsi="方正仿宋_GBK" w:eastAsia="方正仿宋_GBK" w:cs="方正仿宋_GBK"/>
                <w:b/>
                <w:bCs/>
                <w:color w:val="000000"/>
                <w:kern w:val="0"/>
                <w:sz w:val="20"/>
                <w:szCs w:val="20"/>
                <w:lang w:val="en-US" w:eastAsia="zh-CN"/>
              </w:rPr>
              <w:t>1</w:t>
            </w:r>
            <w:r>
              <w:rPr>
                <w:rFonts w:hint="eastAsia" w:ascii="方正仿宋_GBK" w:hAnsi="方正仿宋_GBK" w:eastAsia="方正仿宋_GBK" w:cs="方正仿宋_GBK"/>
                <w:b/>
                <w:bCs/>
                <w:color w:val="000000"/>
                <w:kern w:val="0"/>
                <w:sz w:val="20"/>
                <w:szCs w:val="20"/>
              </w:rPr>
              <w:t xml:space="preserve">年度项目绩效目标自评表 </w:t>
            </w:r>
          </w:p>
        </w:tc>
      </w:tr>
      <w:tr>
        <w:tblPrEx>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 xml:space="preserve"> 73336189</w:t>
            </w:r>
          </w:p>
        </w:tc>
      </w:tr>
      <w:tr>
        <w:tblPrEx>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主管部门</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石柱土家族自治县</w:t>
            </w:r>
            <w:r>
              <w:rPr>
                <w:rFonts w:hint="eastAsia" w:ascii="方正仿宋_GBK" w:hAnsi="方正仿宋_GBK" w:eastAsia="方正仿宋_GBK" w:cs="方正仿宋_GBK"/>
                <w:color w:val="000000"/>
                <w:kern w:val="0"/>
                <w:sz w:val="20"/>
                <w:szCs w:val="20"/>
                <w:lang w:val="en-US" w:eastAsia="zh-CN"/>
              </w:rPr>
              <w:t>万朝镇卫生院</w:t>
            </w:r>
          </w:p>
        </w:tc>
      </w:tr>
      <w:tr>
        <w:tblPrEx>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15.90</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15.90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15.90</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 xml:space="preserve">100 </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495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4209"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4956" w:type="dxa"/>
            <w:gridSpan w:val="3"/>
            <w:tcBorders>
              <w:top w:val="single" w:color="auto" w:sz="4" w:space="0"/>
              <w:left w:val="nil"/>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420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9165"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 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已完成本年度自评绩效目标</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lang w:eastAsia="zh-CN"/>
        </w:rPr>
        <w:t>（</w:t>
      </w:r>
      <w:r>
        <w:rPr>
          <w:rStyle w:val="7"/>
          <w:rFonts w:hint="eastAsia" w:ascii="方正楷体_GBK" w:hAnsi="方正楷体_GBK" w:eastAsia="方正楷体_GBK" w:cs="方正楷体_GBK"/>
          <w:sz w:val="32"/>
          <w:szCs w:val="32"/>
          <w:lang w:val="en-US" w:eastAsia="zh-CN"/>
        </w:rPr>
        <w:t>三</w:t>
      </w:r>
      <w:r>
        <w:rPr>
          <w:rStyle w:val="7"/>
          <w:rFonts w:hint="eastAsia" w:ascii="方正楷体_GBK" w:hAnsi="方正楷体_GBK" w:eastAsia="方正楷体_GBK" w:cs="方正楷体_GBK"/>
          <w:sz w:val="32"/>
          <w:szCs w:val="32"/>
          <w:lang w:eastAsia="zh-CN"/>
        </w:rPr>
        <w:t>）</w:t>
      </w:r>
      <w:r>
        <w:rPr>
          <w:rStyle w:val="7"/>
          <w:rFonts w:hint="eastAsia" w:ascii="方正楷体_GBK" w:hAnsi="方正楷体_GBK" w:eastAsia="方正楷体_GBK" w:cs="方正楷体_GBK"/>
          <w:sz w:val="32"/>
          <w:szCs w:val="32"/>
        </w:rPr>
        <w:t>重点绩效评价结果。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eastAsia="宋体"/>
          <w:b w:val="0"/>
          <w:bCs w:val="0"/>
          <w:sz w:val="22"/>
          <w:szCs w:val="2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黑体_GBK" w:hAnsi="方正黑体_GBK" w:eastAsia="方正黑体_GBK" w:cs="方正黑体_GBK"/>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（十五）商品和服务支出（支出经济分类科目类级）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（十七）其他资本性支出（支出经济分类科目类级）</w:t>
      </w:r>
      <w:r>
        <w:rPr>
          <w:sz w:val="22"/>
          <w:szCs w:val="2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color="auto" w:fill="FFFFFF"/>
        </w:rPr>
        <w:t>023-73336189</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rPr>
          <w:rFonts w:hint="eastAsia" w:eastAsia="宋体"/>
          <w:lang w:eastAsia="zh-CN"/>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2675A"/>
    <w:multiLevelType w:val="singleLevel"/>
    <w:tmpl w:val="9D92675A"/>
    <w:lvl w:ilvl="0" w:tentative="0">
      <w:start w:val="5"/>
      <w:numFmt w:val="chineseCounting"/>
      <w:suff w:val="nothing"/>
      <w:lvlText w:val="（%1）"/>
      <w:lvlJc w:val="left"/>
      <w:rPr>
        <w:rFonts w:hint="eastAsia"/>
      </w:rPr>
    </w:lvl>
  </w:abstractNum>
  <w:abstractNum w:abstractNumId="1">
    <w:nsid w:val="AD6684E3"/>
    <w:multiLevelType w:val="singleLevel"/>
    <w:tmpl w:val="AD6684E3"/>
    <w:lvl w:ilvl="0" w:tentative="0">
      <w:start w:val="4"/>
      <w:numFmt w:val="chineseCounting"/>
      <w:suff w:val="nothing"/>
      <w:lvlText w:val="（%1）"/>
      <w:lvlJc w:val="left"/>
      <w:rPr>
        <w:rFonts w:hint="eastAsia"/>
      </w:rPr>
    </w:lvl>
  </w:abstractNum>
  <w:abstractNum w:abstractNumId="2">
    <w:nsid w:val="13CE1600"/>
    <w:multiLevelType w:val="singleLevel"/>
    <w:tmpl w:val="13CE1600"/>
    <w:lvl w:ilvl="0" w:tentative="0">
      <w:start w:val="1"/>
      <w:numFmt w:val="chineseCounting"/>
      <w:suff w:val="nothing"/>
      <w:lvlText w:val="%1、"/>
      <w:lvlJc w:val="left"/>
      <w:rPr>
        <w:rFonts w:hint="eastAsia"/>
      </w:rPr>
    </w:lvl>
  </w:abstractNum>
  <w:abstractNum w:abstractNumId="3">
    <w:nsid w:val="62433C6E"/>
    <w:multiLevelType w:val="singleLevel"/>
    <w:tmpl w:val="62433C6E"/>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7C2FFA"/>
    <w:rsid w:val="007C2FFA"/>
    <w:rsid w:val="009A31F6"/>
    <w:rsid w:val="14B949D2"/>
    <w:rsid w:val="29AD76CE"/>
    <w:rsid w:val="3AF2120B"/>
    <w:rsid w:val="43B12E57"/>
    <w:rsid w:val="46C1538E"/>
    <w:rsid w:val="7C282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4570</Words>
  <Characters>4947</Characters>
  <Lines>64</Lines>
  <Paragraphs>18</Paragraphs>
  <TotalTime>27</TotalTime>
  <ScaleCrop>false</ScaleCrop>
  <LinksUpToDate>false</LinksUpToDate>
  <CharactersWithSpaces>5118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2022-10-22T03:14:00Z</dcterms:created>
  <dc:creator>HP</dc:creator>
  <cp:lastModifiedBy>admin</cp:lastModifiedBy>
  <dcterms:modified xsi:type="dcterms:W3CDTF">2022-10-26T03:45:35Z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1D4704698B6B4F50B65ABC6230228BC7</vt:lpwstr>
  </property>
</Properties>
</file>