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石柱土家族自治县旅游营销中心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年度决算说明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主要职责任务：</w:t>
      </w:r>
      <w:r>
        <w:rPr>
          <w:rFonts w:eastAsia="方正仿宋_GBK"/>
          <w:sz w:val="32"/>
          <w:szCs w:val="32"/>
        </w:rPr>
        <w:t>负责旅游咨询；</w:t>
      </w:r>
      <w:r>
        <w:rPr>
          <w:rFonts w:hint="eastAsia" w:eastAsia="方正仿宋_GBK"/>
          <w:sz w:val="32"/>
          <w:szCs w:val="32"/>
        </w:rPr>
        <w:t>参与</w:t>
      </w:r>
      <w:r>
        <w:rPr>
          <w:rFonts w:eastAsia="方正仿宋_GBK"/>
          <w:sz w:val="32"/>
          <w:szCs w:val="32"/>
        </w:rPr>
        <w:t>全县旅游整体形象策划及宣传，参与全县旅游客源市场开发；指导辖区内旅游企业宣传营销。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具体职责任务：</w:t>
      </w:r>
      <w:r>
        <w:rPr>
          <w:rFonts w:eastAsia="方正仿宋_GBK"/>
          <w:sz w:val="32"/>
          <w:szCs w:val="32"/>
        </w:rPr>
        <w:t>负责吃、住、行、游、购、娱六大旅游要素信息的收集整理</w:t>
      </w:r>
      <w:r>
        <w:rPr>
          <w:rFonts w:hint="eastAsia" w:eastAsia="方正仿宋_GBK"/>
          <w:sz w:val="32"/>
          <w:szCs w:val="32"/>
        </w:rPr>
        <w:t>并制作宣传资料；负责</w:t>
      </w:r>
      <w:r>
        <w:rPr>
          <w:rFonts w:eastAsia="方正仿宋_GBK"/>
          <w:sz w:val="32"/>
          <w:szCs w:val="32"/>
        </w:rPr>
        <w:t>为游客提供咨询答疑服务</w:t>
      </w:r>
      <w:r>
        <w:rPr>
          <w:rFonts w:hint="eastAsia" w:eastAsia="方正仿宋_GBK"/>
          <w:sz w:val="32"/>
          <w:szCs w:val="32"/>
        </w:rPr>
        <w:t>；参与</w:t>
      </w:r>
      <w:r>
        <w:rPr>
          <w:rFonts w:eastAsia="方正仿宋_GBK"/>
          <w:sz w:val="32"/>
          <w:szCs w:val="32"/>
        </w:rPr>
        <w:t>石柱旅游产品内涵挖掘</w:t>
      </w:r>
      <w:r>
        <w:rPr>
          <w:rFonts w:hint="eastAsia" w:eastAsia="方正仿宋_GBK"/>
          <w:sz w:val="32"/>
          <w:szCs w:val="32"/>
        </w:rPr>
        <w:t>及</w:t>
      </w:r>
      <w:r>
        <w:rPr>
          <w:rFonts w:eastAsia="方正仿宋_GBK"/>
          <w:sz w:val="32"/>
          <w:szCs w:val="32"/>
        </w:rPr>
        <w:t>客源市场研究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参与</w:t>
      </w:r>
      <w:r>
        <w:rPr>
          <w:rFonts w:hint="eastAsia" w:eastAsia="方正仿宋_GBK"/>
          <w:sz w:val="32"/>
          <w:szCs w:val="32"/>
        </w:rPr>
        <w:t>拟订</w:t>
      </w:r>
      <w:r>
        <w:rPr>
          <w:rFonts w:eastAsia="方正仿宋_GBK"/>
          <w:sz w:val="32"/>
          <w:szCs w:val="32"/>
        </w:rPr>
        <w:t>全县旅游市场开发方案</w:t>
      </w:r>
      <w:r>
        <w:rPr>
          <w:rFonts w:hint="eastAsia" w:eastAsia="方正仿宋_GBK"/>
          <w:sz w:val="32"/>
          <w:szCs w:val="32"/>
        </w:rPr>
        <w:t>；负责推出县内</w:t>
      </w:r>
      <w:r>
        <w:rPr>
          <w:rFonts w:eastAsia="方正仿宋_GBK"/>
          <w:sz w:val="32"/>
          <w:szCs w:val="32"/>
        </w:rPr>
        <w:t>旅游主题线路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国内、国际旅游精品线</w:t>
      </w:r>
      <w:r>
        <w:rPr>
          <w:rFonts w:hint="eastAsia" w:eastAsia="方正仿宋_GBK"/>
          <w:sz w:val="32"/>
          <w:szCs w:val="32"/>
        </w:rPr>
        <w:t>路；负责</w:t>
      </w:r>
      <w:r>
        <w:rPr>
          <w:rFonts w:eastAsia="方正仿宋_GBK"/>
          <w:sz w:val="32"/>
          <w:szCs w:val="32"/>
        </w:rPr>
        <w:t>旅游产品及线路信息</w:t>
      </w:r>
      <w:r>
        <w:rPr>
          <w:rFonts w:hint="eastAsia" w:eastAsia="方正仿宋_GBK"/>
          <w:sz w:val="32"/>
          <w:szCs w:val="32"/>
        </w:rPr>
        <w:t>的宣传推介；</w:t>
      </w:r>
      <w:r>
        <w:rPr>
          <w:rFonts w:eastAsia="方正仿宋_GBK"/>
          <w:sz w:val="32"/>
          <w:szCs w:val="32"/>
        </w:rPr>
        <w:t>参与四季旅游主题活动策划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指导本县景区开展形式多样的营销活动和宣传</w:t>
      </w:r>
      <w:r>
        <w:rPr>
          <w:rFonts w:hint="eastAsia" w:eastAsia="方正仿宋_GBK"/>
          <w:sz w:val="32"/>
          <w:szCs w:val="32"/>
        </w:rPr>
        <w:t>；承担县文化和旅游发展委员会领导交办的其他工作</w:t>
      </w:r>
      <w:r>
        <w:rPr>
          <w:rFonts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核定财政全额拨款事业编制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hint="eastAsia" w:eastAsia="方正仿宋_GBK"/>
          <w:sz w:val="32"/>
          <w:szCs w:val="32"/>
        </w:rPr>
        <w:t>名。设主任1名，副主任2名。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80" w:lineRule="exact"/>
        <w:ind w:firstLine="640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决算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收支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（一）收入支出决算总体情况说明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2024年度收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、支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总计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均为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194.56万元。收、支与2023年度相比，减少7.05万元，下降3.5%，主要原因是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highlight w:val="none"/>
          <w:lang w:val="en-US" w:eastAsia="zh-CN"/>
        </w:rPr>
        <w:t>2023年缴纳准备期职业年金等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b/>
          <w:bCs/>
          <w:sz w:val="32"/>
          <w:szCs w:val="32"/>
          <w:lang w:val="en-US" w:eastAsia="zh-CN"/>
        </w:rPr>
        <w:t>1</w:t>
      </w:r>
      <w:r>
        <w:rPr>
          <w:rFonts w:hint="default" w:eastAsia="方正仿宋_GBK" w:cs="方正仿宋_GBK" w:asciiTheme="minorAscii" w:hAnsiTheme="minorAscii"/>
          <w:b/>
          <w:bCs/>
          <w:sz w:val="32"/>
          <w:szCs w:val="32"/>
        </w:rPr>
        <w:t>.收入情况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。2024年度收入合计194.56万元，与2023年度相比，减少7.05万元，下降3.5%，主要原因是</w:t>
      </w:r>
      <w:r>
        <w:rPr>
          <w:rFonts w:hint="default" w:eastAsia="仿宋_GB2312" w:asciiTheme="minorAscii" w:hAnsiTheme="minorAscii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年缴纳准备期职业年金等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。其中：财政拨款收入194.56万元，占100.0%；事业收入0.00万元，占0.0%；经营收入0.00万元，占0.0%；其他收入0.00万元，占0.0%。此外，使用非财政拨款结余（含专用结余）0.00万元，年初结转和结余0.00万元。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194.56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与2023年度相比，减少7.05万元，下降3.5%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仿宋_GB2312" w:asciiTheme="minorAscii" w:hAnsiTheme="minorAscii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年缴纳准备期职业年金等</w:t>
      </w:r>
      <w:r>
        <w:rPr>
          <w:rFonts w:ascii="方正仿宋_GBK" w:hAnsi="方正仿宋_GBK" w:eastAsia="方正仿宋_GBK" w:cs="方正仿宋_GBK"/>
          <w:color w:val="0000FF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194.56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0000FF"/>
          <w:sz w:val="32"/>
          <w:szCs w:val="32"/>
          <w:shd w:val="clear" w:color="auto" w:fill="FFFFFF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194.56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财政拨款收、支总计各减少7.05万元，下降3.5%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highlight w:val="none"/>
          <w:lang w:val="en-US" w:eastAsia="zh-CN"/>
        </w:rPr>
        <w:t>2023年缴纳准备期职业年金等</w:t>
      </w:r>
      <w:r>
        <w:rPr>
          <w:rFonts w:hint="default" w:eastAsia="方正仿宋_GBK" w:cs="方正仿宋_GBK" w:asciiTheme="minorAscii" w:hAnsiTheme="minorAscii"/>
          <w:color w:val="0000FF"/>
          <w:sz w:val="32"/>
          <w:szCs w:val="32"/>
          <w:shd w:val="clear" w:color="auto" w:fill="FFFFFF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194.56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与2023年度相比，减少7.05万元，下降3.5%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highlight w:val="none"/>
          <w:lang w:val="en-US" w:eastAsia="zh-CN"/>
        </w:rPr>
        <w:t>2023年缴纳准备期职业年金等</w:t>
      </w:r>
      <w:r>
        <w:rPr>
          <w:rFonts w:ascii="方正仿宋_GBK" w:hAnsi="方正仿宋_GBK" w:eastAsia="方正仿宋_GBK" w:cs="方正仿宋_GBK"/>
          <w:color w:val="0000FF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较年初预算数增加25.34万元，增长15.0%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年</w:t>
      </w:r>
      <w:bookmarkStart w:id="0" w:name="_GoBack"/>
      <w:bookmarkEnd w:id="0"/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超额绩效预发及清算追加；二是2023年1人晋升七级经费增加；三是补缴2024年职工养老保险和职业年金。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194.56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与2023年度相比，减少7.05万元，下降3.5%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highlight w:val="none"/>
          <w:lang w:val="en-US" w:eastAsia="zh-CN"/>
        </w:rPr>
        <w:t>2023年缴纳准备期职业年金等</w:t>
      </w:r>
      <w:r>
        <w:rPr>
          <w:rFonts w:ascii="方正仿宋_GBK" w:hAnsi="方正仿宋_GBK" w:eastAsia="方正仿宋_GBK" w:cs="方正仿宋_GBK"/>
          <w:color w:val="0000FF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较年初预算数增加25.34万元，增长15.0%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2023超额绩效预发及清算追加；二是2023年1人晋升七级经费增加；三是补缴2024年职工养老保险和职业年金。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）文化旅游体育与传媒支出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150.43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77.3%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较年初预算数增加16.10万元，增长12.0%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2023超额绩效预发及清算追加；二是2023年1人晋升七级经费增加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26.64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较年初预算数增加9.23万元，增长53.0%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补缴2024年职工养老保险和职业年金。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194.56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166.11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与2023年度相比，减少7.10万元，下降4.1%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default" w:eastAsia="方正仿宋_GBK" w:cs="方正仿宋_GBK" w:asciiTheme="minorAscii" w:hAnsiTheme="minorAscii"/>
          <w:sz w:val="32"/>
          <w:szCs w:val="32"/>
          <w:shd w:val="clear" w:color="auto" w:fill="FFFFFF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highlight w:val="none"/>
          <w:lang w:val="en-US" w:eastAsia="zh-CN"/>
        </w:rPr>
        <w:t>2023年缴纳准备期职业年金等</w:t>
      </w:r>
      <w:r>
        <w:rPr>
          <w:rFonts w:hint="default" w:eastAsia="方正仿宋_GBK" w:cs="方正仿宋_GBK" w:asciiTheme="minorAscii" w:hAnsiTheme="minorAscii"/>
          <w:color w:val="0000FF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人员基本工资、绩效、养老保险、职业年金、基本医疗保险、大额医疗保险和住房公积金等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与2023年度相比，增加0.05万元，增长0.2%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人员工资增长，工会经费增加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办公费、水费、电费、培训费、差旅费、邮电费、劳务费、其他商品和服务支出等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政府性基金预算财政拨款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支出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国有资本经营预算财政拨款支出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财政拨款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年度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未发生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“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三公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”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经费支出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，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县旅游营销中心为县文化旅游委机关下属二级单位，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“三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公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”经费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支出在本级未分离，仍由文化旅游委机关核算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（二）“三公”经费分项支出情况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年度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未发生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因公出国（境）费用。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年度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未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购置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公务车。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年度无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公务车运行维护费。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年度无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公务接待费。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四、其他需要说明的事项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（一）财政拨款会议费、培训费和差旅费情况说明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0.20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与2023年度相比，增加0.10万元，增长100.0%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事业管理和专技人员公需科目和专业科目培训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4.50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与2023年度相比，增加0.90万元，增长25.0%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渝东南文化生态保护实验区创建下乡增多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（二）机关运行经费情况说明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按照部门决算列报口径，我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不在机关运行经费统计范围之内。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因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本单位和文化旅游委机关合署办公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原因，我单位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无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资产纳入部门决算报表。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（四）政府采购支出情况说明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。主要用于采购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年度我单位未发生政府采购事项，无相关经费支出。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预算绩效管理情况说明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（一）单位自评情况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alibri" w:hAnsi="Calibri" w:eastAsia="方正仿宋_GBK" w:cs="Calibri"/>
          <w:sz w:val="32"/>
          <w:szCs w:val="32"/>
          <w:lang w:val="en-US" w:eastAsia="zh-CN"/>
        </w:rPr>
      </w:pPr>
      <w:r>
        <w:rPr>
          <w:rFonts w:hint="default" w:ascii="Calibri" w:hAnsi="Calibri" w:eastAsia="方正仿宋_GBK" w:cs="Calibri"/>
          <w:sz w:val="32"/>
          <w:szCs w:val="32"/>
          <w:lang w:val="en-US" w:eastAsia="zh-CN"/>
        </w:rPr>
        <w:t>202</w:t>
      </w:r>
      <w:r>
        <w:rPr>
          <w:rFonts w:hint="eastAsia" w:ascii="Calibri" w:hAnsi="Calibri" w:eastAsia="方正仿宋_GBK" w:cs="Calibri"/>
          <w:sz w:val="32"/>
          <w:szCs w:val="32"/>
          <w:lang w:val="en-US" w:eastAsia="zh-CN"/>
        </w:rPr>
        <w:t>4</w:t>
      </w:r>
      <w:r>
        <w:rPr>
          <w:rFonts w:hint="default" w:ascii="Calibri" w:hAnsi="Calibri" w:eastAsia="方正仿宋_GBK" w:cs="Calibri"/>
          <w:sz w:val="32"/>
          <w:szCs w:val="32"/>
          <w:lang w:val="en-US" w:eastAsia="zh-CN"/>
        </w:rPr>
        <w:t>年度本单位无项目预算，项目支出。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（二）单位绩效评价情况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未组织开展绩效评价。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（三）财政绩效评价情况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市财政局未委托第三方对我单位开展绩效评价。</w:t>
      </w:r>
    </w:p>
    <w:tbl>
      <w:tblPr>
        <w:tblStyle w:val="6"/>
        <w:tblW w:w="19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7"/>
        <w:gridCol w:w="1110"/>
        <w:gridCol w:w="3099"/>
        <w:gridCol w:w="4170"/>
        <w:gridCol w:w="2085"/>
        <w:gridCol w:w="3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44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石柱土家族自治县旅游营销中心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44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0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1,945,602.36 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1,504,345.01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266,404.09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87,809.58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87,043.68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1,945,602.36 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1,945,602.36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9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1,945,602.36 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1,945,602.36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1495" w:type="dxa"/>
        <w:tblInd w:w="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583"/>
        <w:gridCol w:w="550"/>
        <w:gridCol w:w="3900"/>
        <w:gridCol w:w="2403"/>
        <w:gridCol w:w="2403"/>
        <w:gridCol w:w="2403"/>
        <w:gridCol w:w="2403"/>
        <w:gridCol w:w="2037"/>
        <w:gridCol w:w="2160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4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石柱土家族自治县旅游营销中心</w:t>
            </w:r>
          </w:p>
        </w:tc>
        <w:tc>
          <w:tcPr>
            <w:tcW w:w="217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7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1,945,602.36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1,945,602.36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旅游宣传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266,404.09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266,404.09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266,404.09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266,404.09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177,415.68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177,415.68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88,988.41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88,988.41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87,809.58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87,809.58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87,809.58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87,809.58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68,909.58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68,909.58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1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18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235"/>
        <w:gridCol w:w="2700"/>
        <w:gridCol w:w="2430"/>
        <w:gridCol w:w="3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8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856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石柱土家族自治县旅游营销中心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856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30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1,945,602.36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1,945,602.36 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旅游宣传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266,404.09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266,404.09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266,404.09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266,404.09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177,415.68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177,415.68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88,988.41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88,988.41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87,809.58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87,809.58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87,809.58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87,809.58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68,909.58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68,909.58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18,900.00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石柱土家族自治县旅游营销中心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1,945,602.36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1,504,345.01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266,404.09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266,404.09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87,809.58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87,809.58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1,945,602.36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1,945,602.36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1,945,602.36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1,945,602.36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1,945,602.36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1,945,602.36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083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385"/>
        <w:gridCol w:w="1635"/>
        <w:gridCol w:w="1530"/>
        <w:gridCol w:w="1275"/>
        <w:gridCol w:w="1410"/>
        <w:gridCol w:w="1515"/>
        <w:gridCol w:w="154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0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28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石柱土家族自治县旅游营销中心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28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48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6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1,945,602.36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1,945,602.36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1,945,602.36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1,945,602.36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文化旅游体育与传媒支出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1,504,345.01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1,504,345.01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1,504,345.01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1,504,345.01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文化和旅游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1,504,345.01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1,504,345.01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1,504,345.01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1,504,345.01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旅游宣传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1,504,345.01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1,504,345.01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1,504,345.01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1,504,345.01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266,404.09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266,404.09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266,404.09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266,404.09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266,404.09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266,404.09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266,404.09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266,404.09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177,415.68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177,415.68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177,415.68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177,415.68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88,988.41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88,988.41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88,988.41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88,988.41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87,809.58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87,809.58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87,809.58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87,809.58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87,809.58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87,809.58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87,809.58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87,809.58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68,909.58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68,909.58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68,909.58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68,909.58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18,900.00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18,900.00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18,900.00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87,043.68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87,043.68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87,043.68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87,043.68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87,043.68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87,043.68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87,043.68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87,043.68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87,043.68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87,043.68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87,043.68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87,043.68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石柱土家族自治县旅游营销中心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1,661,095.08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284,507.28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403,734.00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43,000.00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59,112.00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747,562.00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177,415.68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88,988.41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72,536.40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5,802.91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87,043.68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18,900.00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14,507.28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1,661,095.08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284,507.28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73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246"/>
        <w:gridCol w:w="1710"/>
        <w:gridCol w:w="1380"/>
        <w:gridCol w:w="1350"/>
        <w:gridCol w:w="1305"/>
        <w:gridCol w:w="1755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47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06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石柱土家族自治县旅游营销中心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06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4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8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石柱土家族自治县旅游营销中心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石柱土家族自治县旅游营销中心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45,000.00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gNVFTYAAAACgEAAA8A&#10;AAAAAAAAAQAgAAAAIgAAAGRycy9kb3ducmV2LnhtbFBLAQIUABQAAAAIAIdO4kBbc1QQFwIAABQE&#10;AAAOAAAAAAAAAAEAIAAAACc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sPgxiRcCAAAZ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A1UVNgAAAAKAQAA&#10;DwAAAAAAAAABACAAAAAiAAAAZHJzL2Rvd25yZXYueG1sUEsBAhQAFAAAAAgAh07iQG8zbR0ZAgAA&#10;GAQAAA4AAAAAAAAAAQAgAAAAJ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0F5EB5"/>
    <w:rsid w:val="0C7927C4"/>
    <w:rsid w:val="0C9B098C"/>
    <w:rsid w:val="0D11728C"/>
    <w:rsid w:val="0D673E11"/>
    <w:rsid w:val="0DB50EFE"/>
    <w:rsid w:val="0DDA54E4"/>
    <w:rsid w:val="0E234289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6BB124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E15639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843A73"/>
    <w:rsid w:val="39B82A39"/>
    <w:rsid w:val="39F33306"/>
    <w:rsid w:val="3B1705E5"/>
    <w:rsid w:val="3B18334B"/>
    <w:rsid w:val="3B36794F"/>
    <w:rsid w:val="3B544954"/>
    <w:rsid w:val="3BF014AD"/>
    <w:rsid w:val="3C34316A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2D93700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D657DF"/>
    <w:rsid w:val="66D87988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6283</Words>
  <Characters>9869</Characters>
  <Lines>161</Lines>
  <Paragraphs>45</Paragraphs>
  <TotalTime>19</TotalTime>
  <ScaleCrop>false</ScaleCrop>
  <LinksUpToDate>false</LinksUpToDate>
  <CharactersWithSpaces>10970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86135</cp:lastModifiedBy>
  <cp:lastPrinted>2025-10-14T01:47:00Z</cp:lastPrinted>
  <dcterms:modified xsi:type="dcterms:W3CDTF">2025-10-14T08:56:31Z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eyJoZGlkIjoiZTU0ZmI4ZWNkYjIwNWU0YWUwZjI5MGQ1NmVmYWZkMzAiLCJ1c2VySWQiOiIxNDk5NTc4NDY2In0=</vt:lpwstr>
  </property>
</Properties>
</file>