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before="0" w:beforeAutospacing="0"/>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重庆市石柱土家族自治县文物管理所2023年度决算公开说明</w:t>
      </w:r>
    </w:p>
    <w:p>
      <w:pPr>
        <w:pStyle w:val="3"/>
        <w:pageBreakBefore w:val="0"/>
        <w:widowControl/>
        <w:shd w:val="clear" w:color="auto"/>
        <w:kinsoku/>
        <w:wordWrap/>
        <w:overflowPunct/>
        <w:topLinePunct w:val="0"/>
        <w:autoSpaceDN/>
        <w:bidi w:val="0"/>
        <w:adjustRightInd/>
        <w:spacing w:before="157" w:beforeLines="50" w:beforeAutospacing="0" w:after="157" w:afterLines="50" w:afterAutospacing="0" w:line="594" w:lineRule="exact"/>
        <w:ind w:left="0" w:leftChars="0"/>
        <w:textAlignment w:val="auto"/>
        <w:rPr>
          <w:rStyle w:val="15"/>
          <w:rFonts w:hint="default"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一、单位基本情况</w:t>
      </w:r>
    </w:p>
    <w:p>
      <w:pPr>
        <w:pStyle w:val="4"/>
        <w:pageBreakBefore w:val="0"/>
        <w:widowControl/>
        <w:shd w:val="clear"/>
        <w:kinsoku/>
        <w:wordWrap/>
        <w:overflowPunct/>
        <w:topLinePunct w:val="0"/>
        <w:autoSpaceDE/>
        <w:autoSpaceDN/>
        <w:bidi w:val="0"/>
        <w:adjustRightInd/>
        <w:snapToGrid/>
        <w:spacing w:before="157" w:beforeLines="50" w:beforeAutospacing="0" w:after="157" w:afterLines="50" w:afterAutospacing="0" w:line="594" w:lineRule="exact"/>
        <w:ind w:left="640" w:leftChars="0" w:hanging="640" w:hanging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（一）职能职责</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1.参与拟订文物事业发展规划并组织实施；</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2.负责文物保护、规划、利用和文物调查勘探、考古发掘工作；负责开展文物调查、研究、宣传和保护工作；</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3.负责宣传贯彻执行文物保护法律法规、方针政策；</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4.负责指导国有不可移动文物保护、搬迁、维修方案的编制和实施；</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5.参与县级文物保护单位初评工作和市级、国家级文物保护单位申报工作；</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6.负责国有可移动文物调查登记工作；负责国有可移动文物征集、登编、保管、修复、陈列展览和科学研究等工作；</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7.参与非国有博物馆的设立初评工作；</w:t>
      </w:r>
    </w:p>
    <w:p>
      <w:pPr>
        <w:keepNext w:val="0"/>
        <w:keepLines w:val="0"/>
        <w:widowControl w:val="0"/>
        <w:suppressLineNumbers w:val="0"/>
        <w:shd w:val="clear"/>
        <w:autoSpaceDE w:val="0"/>
        <w:autoSpaceDN/>
        <w:spacing w:line="594" w:lineRule="exact"/>
        <w:ind w:firstLine="320" w:firstLineChars="1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8.负责指导非国有博物馆工作；</w:t>
      </w:r>
    </w:p>
    <w:p>
      <w:pPr>
        <w:shd w:val="clear"/>
        <w:spacing w:line="570" w:lineRule="exact"/>
        <w:ind w:firstLine="320" w:firstLineChars="10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9.承担县文化和旅游发展委员会领导交办的其他工作。</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default" w:ascii="方正楷体_GBK" w:hAnsi="方正楷体_GBK" w:eastAsia="方正楷体_GBK" w:cs="方正楷体_GBK"/>
        </w:rPr>
      </w:pPr>
      <w:r>
        <w:rPr>
          <w:rFonts w:hint="eastAsia" w:ascii="方正楷体_GBK" w:hAnsi="方正楷体_GBK" w:eastAsia="方正楷体_GBK" w:cs="方正楷体_GBK"/>
        </w:rPr>
        <w:t>（二）机构设置</w:t>
      </w:r>
    </w:p>
    <w:p>
      <w:pPr>
        <w:pageBreakBefore w:val="0"/>
        <w:widowControl/>
        <w:shd w:val="clear"/>
        <w:kinsoku/>
        <w:wordWrap/>
        <w:overflowPunct/>
        <w:topLinePunct w:val="0"/>
        <w:autoSpaceDE/>
        <w:autoSpaceDN/>
        <w:bidi w:val="0"/>
        <w:adjustRightInd/>
        <w:snapToGrid/>
        <w:spacing w:before="157" w:beforeLines="50" w:beforeAutospacing="0" w:after="157" w:afterLines="50" w:afterAutospacing="0" w:line="594" w:lineRule="exact"/>
        <w:ind w:left="0" w:leftChars="0" w:firstLine="640" w:firstLineChars="200"/>
        <w:textAlignment w:val="auto"/>
        <w:rPr>
          <w:rFonts w:hint="default"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石柱土家族自治县文物管理所（石柱土家族自治县博物馆）为县文化和旅游发展委员会管理的副科级财政全额拨款公益一类事业单位。核定财政全额拨款事业编制</w:t>
      </w: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名，设所长</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名。</w:t>
      </w:r>
    </w:p>
    <w:p>
      <w:pPr>
        <w:pStyle w:val="3"/>
        <w:pageBreakBefore w:val="0"/>
        <w:widowControl/>
        <w:shd w:val="clear" w:color="auto"/>
        <w:kinsoku/>
        <w:wordWrap/>
        <w:overflowPunct/>
        <w:topLinePunct w:val="0"/>
        <w:autoSpaceDN/>
        <w:bidi w:val="0"/>
        <w:adjustRightInd/>
        <w:spacing w:before="157" w:beforeLines="50" w:beforeAutospacing="0" w:after="157" w:afterLines="50" w:afterAutospacing="0" w:line="594" w:lineRule="exact"/>
        <w:ind w:left="0" w:leftChars="0"/>
        <w:textAlignment w:val="auto"/>
        <w:rPr>
          <w:rStyle w:val="15"/>
          <w:rFonts w:hint="default"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二、单位决算情况说明</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（一）收入支出决算总体情况说明。</w:t>
      </w:r>
    </w:p>
    <w:p>
      <w:pPr>
        <w:pStyle w:val="3"/>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1.总体情况。2023年度收入总计431.95万元，支出总计431.95万元。收支较上年决算数增加196.67万元，增长83.59%，主要原因是2023年度新增重庆冶锌遗址群安防项目，该项目资金为市级专项资金，故导致本年收支增加。</w:t>
      </w:r>
    </w:p>
    <w:p>
      <w:pPr>
        <w:pStyle w:val="3"/>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收入情况。2023年度收入合计431.95万元，较上年决算数增加196.67万元，增长83.59%，主要原因是新增重庆冶锌遗址群安防项目。其中：财政拨款收入431.95万元，占100.00%；事业收入0.00万元，占0.00%；经营收入0.00万元，占0.00%；其他收入0.00万元，占0.00%。此外，使用非财政拨款结余和专用结余0.00万元，年初结转和结余0.00万元。</w:t>
      </w:r>
    </w:p>
    <w:p>
      <w:pPr>
        <w:pStyle w:val="3"/>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支出情况。2023年度支出合计431.95万元，较上年决算数增加196.67万元，增长83.59%，主要原因是新增重庆冶锌遗址群安防项目。其中：基本支出85.50万元，占19.80%；项目支出346.44万元，占80.20%；经营支出0.00万元，占0.00%。此外，结余分配0.00万元。</w:t>
      </w:r>
    </w:p>
    <w:p>
      <w:pPr>
        <w:pStyle w:val="3"/>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4.结转结余情况。2023年度年末结转和结余0.00万元，较上年决算数无增减。</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（二）财政拨款收入支出决算总体情况说明</w:t>
      </w:r>
    </w:p>
    <w:p>
      <w:pPr>
        <w:pStyle w:val="3"/>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2023年度财政拨款收、支总计431.95万元。与2022年相比，财政拨款收、支总计各增加196.67万元，增长83.59%。主要原因是2023年度新增重庆冶锌遗址群安防项目，该项目资金为市级专项资金，故导致本年收支增加。</w:t>
      </w:r>
    </w:p>
    <w:p>
      <w:pPr>
        <w:pStyle w:val="16"/>
        <w:shd w:val="clear"/>
        <w:autoSpaceDE w:val="0"/>
        <w:ind w:left="0" w:leftChars="0" w:firstLine="0" w:firstLineChars="0"/>
        <w:rPr>
          <w:rFonts w:hint="eastAsia" w:ascii="Arial" w:hAnsi="Arial" w:eastAsia="方正楷体_GBK" w:cs="Times New Roman"/>
          <w:sz w:val="32"/>
          <w:szCs w:val="24"/>
          <w:lang w:val="en-US" w:eastAsia="zh-CN" w:bidi="ar-SA"/>
        </w:rPr>
      </w:pPr>
      <w:r>
        <w:rPr>
          <w:rFonts w:hint="eastAsia" w:ascii="Arial" w:hAnsi="Arial" w:eastAsia="方正楷体_GBK" w:cs="Times New Roman"/>
          <w:sz w:val="32"/>
          <w:szCs w:val="24"/>
          <w:lang w:val="en-US" w:eastAsia="zh-CN" w:bidi="ar-SA"/>
        </w:rPr>
        <w:t>（三）一般公共预算财政拨款收入支出决算情况说明</w:t>
      </w:r>
    </w:p>
    <w:p>
      <w:pPr>
        <w:keepNext w:val="0"/>
        <w:keepLines w:val="0"/>
        <w:widowControl w:val="0"/>
        <w:suppressLineNumbers w:val="0"/>
        <w:shd w:val="clear"/>
        <w:autoSpaceDE w:val="0"/>
        <w:autoSpaceDN/>
        <w:spacing w:line="594" w:lineRule="exact"/>
        <w:ind w:left="0"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收入情况。2023年度一般公共预算财政拨款收入430.18万元，较上年决算数增加236.40万元，增长121.99%。主要原因是新增重庆冶锌遗址群安防项目。较年初预算数减少84.91万元，下降16.48%。主要原因是尚有项目未竣工。此外，年初财政拨款结转和结余0.00万元。此外，年初财政拨款结转和结余0.00万元。</w:t>
      </w:r>
    </w:p>
    <w:p>
      <w:pPr>
        <w:pStyle w:val="3"/>
        <w:shd w:val="clear"/>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支出情况。2023年度一般公共预算财政拨款支出430.18万元，较上年决算数增加236.40万元，增长121.99%。主要原因是新增重庆冶锌遗址群安防项目。较年初预算数减少84.91万元，下降16.48%。主要原因是尚有项目未竣工。</w:t>
      </w:r>
    </w:p>
    <w:p>
      <w:pPr>
        <w:pStyle w:val="3"/>
        <w:shd w:val="clear"/>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3.结转结余情况。2023年度年末一般公共预算财政拨款结转和结余0.00万元，较上年决算数无增减。</w:t>
      </w:r>
    </w:p>
    <w:p>
      <w:pPr>
        <w:pStyle w:val="3"/>
        <w:pageBreakBefore w:val="0"/>
        <w:widowControl/>
        <w:shd w:val="clear"/>
        <w:kinsoku/>
        <w:wordWrap/>
        <w:overflowPunct/>
        <w:topLinePunct w:val="0"/>
        <w:autoSpaceDN/>
        <w:bidi w:val="0"/>
        <w:adjustRightInd/>
        <w:snapToGrid w:val="0"/>
        <w:spacing w:before="157" w:beforeLines="50" w:beforeAutospacing="0" w:after="157" w:afterLines="50" w:afterAutospacing="0" w:line="594" w:lineRule="exact"/>
        <w:ind w:firstLine="640" w:firstLineChars="200"/>
        <w:jc w:val="both"/>
        <w:textAlignment w:val="auto"/>
        <w:rPr>
          <w:rStyle w:val="22"/>
          <w:rFonts w:hint="default" w:ascii="Times New Roman" w:hAnsi="Times New Roman" w:cs="Times New Roman"/>
        </w:rPr>
      </w:pPr>
      <w:r>
        <w:rPr>
          <w:rStyle w:val="22"/>
          <w:rFonts w:ascii="Times New Roman" w:hAnsi="Times New Roman" w:cs="Times New Roman"/>
        </w:rPr>
        <w:t xml:space="preserve"> 4.比较情况。本单位2023年度一般公共预算财政拨款支出主要用于以下几个方面：</w:t>
      </w:r>
    </w:p>
    <w:p>
      <w:pPr>
        <w:pStyle w:val="3"/>
        <w:pageBreakBefore w:val="0"/>
        <w:widowControl/>
        <w:shd w:val="clear"/>
        <w:kinsoku/>
        <w:wordWrap/>
        <w:overflowPunct/>
        <w:topLinePunct w:val="0"/>
        <w:autoSpaceDN/>
        <w:bidi w:val="0"/>
        <w:adjustRightInd/>
        <w:snapToGrid w:val="0"/>
        <w:spacing w:before="157" w:beforeLines="50" w:beforeAutospacing="0" w:after="157" w:afterLines="50" w:afterAutospacing="0" w:line="594" w:lineRule="exact"/>
        <w:ind w:firstLine="640" w:firstLineChars="200"/>
        <w:jc w:val="both"/>
        <w:textAlignment w:val="auto"/>
        <w:rPr>
          <w:rStyle w:val="22"/>
          <w:rFonts w:hint="default" w:ascii="Times New Roman" w:hAnsi="Times New Roman" w:cs="Times New Roman"/>
        </w:rPr>
      </w:pPr>
      <w:r>
        <w:rPr>
          <w:rStyle w:val="22"/>
          <w:rFonts w:ascii="Times New Roman" w:hAnsi="Times New Roman" w:cs="Times New Roman"/>
        </w:rPr>
        <w:t>（</w:t>
      </w:r>
      <w:r>
        <w:rPr>
          <w:rStyle w:val="22"/>
          <w:rFonts w:hint="eastAsia" w:ascii="Times New Roman" w:hAnsi="Times New Roman" w:cs="Times New Roman"/>
          <w:lang w:val="en-US" w:eastAsia="zh-CN"/>
        </w:rPr>
        <w:t>1</w:t>
      </w:r>
      <w:r>
        <w:rPr>
          <w:rStyle w:val="22"/>
          <w:rFonts w:ascii="Times New Roman" w:hAnsi="Times New Roman" w:cs="Times New Roman"/>
        </w:rPr>
        <w:t>）文化旅游体育与传媒支出408.86万元，占95.05%，较年初预算数减少86.65万元，下降17.49%，</w:t>
      </w:r>
      <w:r>
        <w:rPr>
          <w:rStyle w:val="22"/>
          <w:rFonts w:hint="default" w:ascii="Times New Roman" w:hAnsi="Times New Roman" w:cs="Times New Roman"/>
          <w:lang w:val="en-US" w:eastAsia="zh-CN"/>
        </w:rPr>
        <w:t>主要原因是秦良玉文化生态保护区项目资金收回，导致支出减少。</w:t>
      </w:r>
    </w:p>
    <w:p>
      <w:pPr>
        <w:pStyle w:val="3"/>
        <w:pageBreakBefore w:val="0"/>
        <w:widowControl/>
        <w:shd w:val="clear"/>
        <w:kinsoku/>
        <w:wordWrap/>
        <w:overflowPunct/>
        <w:topLinePunct w:val="0"/>
        <w:autoSpaceDN/>
        <w:bidi w:val="0"/>
        <w:adjustRightInd/>
        <w:snapToGrid w:val="0"/>
        <w:spacing w:before="157" w:beforeLines="50" w:beforeAutospacing="0" w:after="157" w:afterLines="50" w:afterAutospacing="0" w:line="594" w:lineRule="exact"/>
        <w:ind w:firstLine="640" w:firstLineChars="200"/>
        <w:jc w:val="both"/>
        <w:textAlignment w:val="auto"/>
        <w:rPr>
          <w:rStyle w:val="22"/>
          <w:rFonts w:hint="eastAsia" w:ascii="Times New Roman" w:hAnsi="Times New Roman" w:cs="Times New Roman"/>
          <w:lang w:eastAsia="zh-CN"/>
        </w:rPr>
      </w:pPr>
      <w:r>
        <w:rPr>
          <w:rStyle w:val="22"/>
          <w:rFonts w:ascii="Times New Roman" w:hAnsi="Times New Roman" w:cs="Times New Roman"/>
        </w:rPr>
        <w:t>（</w:t>
      </w:r>
      <w:r>
        <w:rPr>
          <w:rStyle w:val="22"/>
          <w:rFonts w:hint="eastAsia" w:ascii="Times New Roman" w:hAnsi="Times New Roman" w:cs="Times New Roman"/>
          <w:lang w:val="en-US" w:eastAsia="zh-CN"/>
        </w:rPr>
        <w:t>2</w:t>
      </w:r>
      <w:r>
        <w:rPr>
          <w:rStyle w:val="22"/>
          <w:rFonts w:ascii="Times New Roman" w:hAnsi="Times New Roman" w:cs="Times New Roman"/>
        </w:rPr>
        <w:t>）社会保障与就业支出13.96万元，占3.25%，较年初预算数增加2.17万元，增长18.41%，</w:t>
      </w:r>
      <w:r>
        <w:rPr>
          <w:rStyle w:val="22"/>
          <w:rFonts w:hint="default" w:ascii="Times New Roman" w:hAnsi="Times New Roman" w:cs="Times New Roman"/>
          <w:lang w:val="en-US" w:eastAsia="zh-CN"/>
        </w:rPr>
        <w:t>主要原因是单位社会保险及职业年金基数调整，相应支出增加。</w:t>
      </w:r>
    </w:p>
    <w:p>
      <w:pPr>
        <w:pStyle w:val="3"/>
        <w:pageBreakBefore w:val="0"/>
        <w:widowControl/>
        <w:shd w:val="clear"/>
        <w:kinsoku/>
        <w:wordWrap/>
        <w:overflowPunct/>
        <w:topLinePunct w:val="0"/>
        <w:autoSpaceDN/>
        <w:bidi w:val="0"/>
        <w:adjustRightInd/>
        <w:snapToGrid w:val="0"/>
        <w:spacing w:before="157" w:beforeLines="50" w:beforeAutospacing="0" w:after="157" w:afterLines="50" w:afterAutospacing="0" w:line="594" w:lineRule="exact"/>
        <w:ind w:firstLine="640" w:firstLineChars="200"/>
        <w:jc w:val="both"/>
        <w:textAlignment w:val="auto"/>
        <w:rPr>
          <w:rStyle w:val="22"/>
          <w:rFonts w:hint="default" w:ascii="Times New Roman" w:hAnsi="Times New Roman" w:cs="Times New Roman"/>
        </w:rPr>
      </w:pPr>
      <w:r>
        <w:rPr>
          <w:rStyle w:val="22"/>
          <w:rFonts w:ascii="Times New Roman" w:hAnsi="Times New Roman" w:cs="Times New Roman"/>
        </w:rPr>
        <w:t>（</w:t>
      </w:r>
      <w:r>
        <w:rPr>
          <w:rStyle w:val="22"/>
          <w:rFonts w:hint="eastAsia" w:ascii="Times New Roman" w:hAnsi="Times New Roman" w:cs="Times New Roman"/>
          <w:lang w:val="en-US" w:eastAsia="zh-CN"/>
        </w:rPr>
        <w:t>3</w:t>
      </w:r>
      <w:r>
        <w:rPr>
          <w:rStyle w:val="22"/>
          <w:rFonts w:ascii="Times New Roman" w:hAnsi="Times New Roman" w:cs="Times New Roman"/>
        </w:rPr>
        <w:t>）卫生健康支出4.19万元，占0.97%，较年初预算数无增减</w:t>
      </w:r>
      <w:r>
        <w:rPr>
          <w:rStyle w:val="22"/>
          <w:rFonts w:hint="eastAsia" w:ascii="Times New Roman" w:hAnsi="Times New Roman" w:cs="Times New Roman"/>
        </w:rPr>
        <w:t>。</w:t>
      </w:r>
    </w:p>
    <w:p>
      <w:pPr>
        <w:pStyle w:val="3"/>
        <w:pageBreakBefore w:val="0"/>
        <w:widowControl/>
        <w:shd w:val="clear"/>
        <w:kinsoku/>
        <w:wordWrap/>
        <w:overflowPunct/>
        <w:topLinePunct w:val="0"/>
        <w:autoSpaceDN/>
        <w:bidi w:val="0"/>
        <w:adjustRightInd/>
        <w:snapToGrid w:val="0"/>
        <w:spacing w:before="157" w:beforeLines="50" w:beforeAutospacing="0" w:after="157" w:afterLines="50" w:afterAutospacing="0" w:line="594" w:lineRule="exact"/>
        <w:ind w:firstLine="640" w:firstLineChars="200"/>
        <w:jc w:val="both"/>
        <w:textAlignment w:val="auto"/>
        <w:rPr>
          <w:rStyle w:val="22"/>
          <w:rFonts w:hint="default" w:ascii="Times New Roman" w:hAnsi="Times New Roman" w:cs="Times New Roman"/>
        </w:rPr>
      </w:pPr>
      <w:r>
        <w:rPr>
          <w:rStyle w:val="22"/>
          <w:rFonts w:ascii="Times New Roman" w:hAnsi="Times New Roman" w:cs="Times New Roman"/>
        </w:rPr>
        <w:t>（</w:t>
      </w:r>
      <w:r>
        <w:rPr>
          <w:rStyle w:val="22"/>
          <w:rFonts w:hint="eastAsia" w:ascii="Times New Roman" w:hAnsi="Times New Roman" w:cs="Times New Roman"/>
          <w:lang w:val="en-US" w:eastAsia="zh-CN"/>
        </w:rPr>
        <w:t>4</w:t>
      </w:r>
      <w:r>
        <w:rPr>
          <w:rStyle w:val="22"/>
          <w:rFonts w:ascii="Times New Roman" w:hAnsi="Times New Roman" w:cs="Times New Roman"/>
        </w:rPr>
        <w:t>）住房保障支出3.16万元，占0.73%，较年初预算数减少0.44万元，下降12.22%，</w:t>
      </w:r>
      <w:r>
        <w:rPr>
          <w:rStyle w:val="22"/>
          <w:rFonts w:hint="eastAsia" w:ascii="Times New Roman" w:hAnsi="Times New Roman" w:cs="Times New Roman"/>
          <w:lang w:val="en-US" w:eastAsia="zh-CN"/>
        </w:rPr>
        <w:t>主要原因是本年度在编人员减少1名，故对应的</w:t>
      </w:r>
      <w:r>
        <w:rPr>
          <w:rStyle w:val="22"/>
          <w:rFonts w:hint="default" w:ascii="Times New Roman" w:hAnsi="Times New Roman" w:cs="Times New Roman"/>
          <w:lang w:val="en-US" w:eastAsia="zh-CN"/>
        </w:rPr>
        <w:t>住房保障</w:t>
      </w:r>
      <w:r>
        <w:rPr>
          <w:rStyle w:val="22"/>
          <w:rFonts w:hint="eastAsia" w:ascii="Times New Roman" w:hAnsi="Times New Roman" w:cs="Times New Roman"/>
          <w:lang w:val="en-US" w:eastAsia="zh-CN"/>
        </w:rPr>
        <w:t>支出减少。</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（四）一般公共预算财政拨款基本支出决算情况说明</w:t>
      </w:r>
    </w:p>
    <w:p>
      <w:pPr>
        <w:pStyle w:val="3"/>
        <w:shd w:val="clear"/>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rPr>
        <w:t>2023年度一般公共财政拨款基本支出85.50万元。其中：人员经费66.91万元，较上年决算数减少24.31万元，下降26.65%，</w:t>
      </w:r>
      <w:r>
        <w:rPr>
          <w:rFonts w:hint="default" w:ascii="Times New Roman" w:hAnsi="Times New Roman" w:eastAsia="方正仿宋_GBK" w:cs="Times New Roman"/>
          <w:sz w:val="32"/>
          <w:szCs w:val="32"/>
          <w:lang w:val="en-US" w:eastAsia="zh-CN"/>
        </w:rPr>
        <w:t>主要原因是本年度在编人员减少1名</w:t>
      </w:r>
      <w:r>
        <w:rPr>
          <w:rFonts w:hint="default" w:ascii="Times New Roman" w:hAnsi="Times New Roman" w:eastAsia="方正仿宋_GBK" w:cs="Times New Roman"/>
          <w:sz w:val="32"/>
          <w:szCs w:val="32"/>
        </w:rPr>
        <w:t>。人员经费用途主要包括基本工资、津贴补贴、基本医疗保险、机关养老保险、职业年金、住房公积金等支出。公用经费18.60万元，较上年决算数减少0.11万元，下降0.59%，主要原因是主要原因是减少支出，过好“紧日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公用经费用途主要包括办公费、水费、电费、邮电费、租车费、劳务费、差旅费、维修维护费等支出。</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（五）政府性基金预算收支决算情况说明</w:t>
      </w:r>
    </w:p>
    <w:p>
      <w:pPr>
        <w:pStyle w:val="3"/>
        <w:shd w:val="clear"/>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2023年度政府性基金预算财政拨款年初结转结余0.00万元，年末结转结余0.00万元。本年收入1.77万元，较上年决算数减少39.73万元，下降95.73%，主要原因</w:t>
      </w:r>
      <w:r>
        <w:rPr>
          <w:rFonts w:hint="eastAsia"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lang w:val="en-US" w:eastAsia="zh-CN"/>
        </w:rPr>
        <w:t>秦良玉文化生态保护区项目资金收回，导致</w:t>
      </w:r>
      <w:r>
        <w:rPr>
          <w:rFonts w:hint="eastAsia" w:ascii="Times New Roman" w:hAnsi="Times New Roman" w:eastAsia="方正仿宋_GBK" w:cs="Times New Roman"/>
          <w:sz w:val="32"/>
          <w:szCs w:val="32"/>
          <w:lang w:val="en-US" w:eastAsia="zh-CN"/>
        </w:rPr>
        <w:t>收入</w:t>
      </w:r>
      <w:r>
        <w:rPr>
          <w:rFonts w:hint="default"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rPr>
        <w:t>本年支出1.77万元，较上年决算数减少39.73万元，下降95.73%，主要原因</w:t>
      </w:r>
      <w:r>
        <w:rPr>
          <w:rFonts w:hint="eastAsia"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lang w:val="en-US" w:eastAsia="zh-CN"/>
        </w:rPr>
        <w:t>秦良玉文化生态保护区项目资金收回，导致</w:t>
      </w:r>
      <w:r>
        <w:rPr>
          <w:rFonts w:hint="eastAsia"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lang w:val="en-US" w:eastAsia="zh-CN"/>
        </w:rPr>
        <w:t>减少</w:t>
      </w:r>
      <w:r>
        <w:rPr>
          <w:rFonts w:hint="eastAsia" w:ascii="Times New Roman" w:hAnsi="Times New Roman" w:eastAsia="方正仿宋_GBK" w:cs="Times New Roman"/>
          <w:sz w:val="32"/>
          <w:szCs w:val="32"/>
          <w:lang w:val="en-US" w:eastAsia="zh-CN"/>
        </w:rPr>
        <w:t>。</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（六）国有资本经营预算财政拨款支出决算情况说明</w:t>
      </w:r>
    </w:p>
    <w:p>
      <w:pPr>
        <w:pStyle w:val="17"/>
        <w:keepNext w:val="0"/>
        <w:keepLines w:val="0"/>
        <w:widowControl/>
        <w:suppressLineNumbers w:val="0"/>
        <w:shd w:val="clear"/>
        <w:autoSpaceDE w:val="0"/>
        <w:autoSpaceDN/>
        <w:spacing w:before="0" w:beforeAutospacing="0" w:line="594" w:lineRule="exact"/>
        <w:ind w:left="0" w:firstLine="640" w:firstLineChars="200"/>
        <w:jc w:val="left"/>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rPr>
        <w:t>本部门202</w:t>
      </w:r>
      <w:r>
        <w:rPr>
          <w:rFonts w:hint="default" w:ascii="Times New Roman" w:hAnsi="Times New Roman" w:eastAsia="方正仿宋_GBK" w:cs="Times New Roman"/>
          <w:b w:val="0"/>
          <w:bCs w:val="0"/>
          <w:kern w:val="2"/>
          <w:sz w:val="32"/>
          <w:szCs w:val="32"/>
          <w:lang w:val="en-US" w:eastAsia="zh-CN"/>
        </w:rPr>
        <w:t>3</w:t>
      </w:r>
      <w:r>
        <w:rPr>
          <w:rFonts w:hint="default" w:ascii="Times New Roman" w:hAnsi="Times New Roman" w:eastAsia="方正仿宋_GBK" w:cs="Times New Roman"/>
          <w:b w:val="0"/>
          <w:bCs w:val="0"/>
          <w:kern w:val="2"/>
          <w:sz w:val="32"/>
          <w:szCs w:val="32"/>
        </w:rPr>
        <w:t>年度无国有资本经营预算财政拨款</w:t>
      </w:r>
      <w:r>
        <w:rPr>
          <w:rFonts w:hint="eastAsia" w:ascii="方正仿宋_GBK" w:hAnsi="方正仿宋_GBK" w:eastAsia="方正仿宋_GBK" w:cs="方正仿宋_GBK"/>
          <w:b w:val="0"/>
          <w:bCs w:val="0"/>
          <w:kern w:val="2"/>
          <w:sz w:val="32"/>
          <w:szCs w:val="32"/>
        </w:rPr>
        <w:t>支出。</w:t>
      </w:r>
    </w:p>
    <w:p>
      <w:pPr>
        <w:pStyle w:val="3"/>
        <w:pageBreakBefore w:val="0"/>
        <w:widowControl/>
        <w:shd w:val="clear" w:color="auto"/>
        <w:kinsoku/>
        <w:wordWrap/>
        <w:overflowPunct/>
        <w:topLinePunct w:val="0"/>
        <w:autoSpaceDN/>
        <w:bidi w:val="0"/>
        <w:adjustRightInd/>
        <w:spacing w:before="157" w:beforeLines="50" w:beforeAutospacing="0" w:after="157" w:afterLines="50" w:afterAutospacing="0" w:line="594" w:lineRule="exact"/>
        <w:ind w:left="0" w:leftChars="0"/>
        <w:textAlignment w:val="auto"/>
        <w:rPr>
          <w:rStyle w:val="15"/>
          <w:rFonts w:hint="default"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三、“三公”经费情况说明</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 xml:space="preserve"> （一）“三公”经费支出总体情况说明</w:t>
      </w:r>
    </w:p>
    <w:p>
      <w:pPr>
        <w:pStyle w:val="3"/>
        <w:shd w:val="clear"/>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三公”经费支出共计0.00万元，较年初预算数减少0.20万元，下降100.00%，主要原因是严格落实“三公”经费只减不增的要求。较上年支出数减少0.06万元，下降100.00%，主要原因是严格落实“三公”经费只减不增的要求。</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（二）“三公”经费分项支出情况</w:t>
      </w:r>
    </w:p>
    <w:p>
      <w:pPr>
        <w:pStyle w:val="3"/>
        <w:shd w:val="clear"/>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公务接待费0.00万元。费用支出较年初预算数减少0.20万元，下降100.00%，主要原因是</w:t>
      </w:r>
      <w:r>
        <w:rPr>
          <w:rFonts w:hint="eastAsia" w:ascii="Times New Roman" w:hAnsi="Times New Roman" w:eastAsia="方正仿宋_GBK" w:cs="Times New Roman"/>
          <w:sz w:val="32"/>
          <w:szCs w:val="32"/>
          <w:shd w:val="clear" w:color="auto" w:fill="FFFFFF"/>
          <w:lang w:val="en-US" w:eastAsia="zh-CN" w:bidi="ar-SA"/>
        </w:rPr>
        <w:t>严格落实“三公”经费只减不增的要求。</w:t>
      </w:r>
      <w:r>
        <w:rPr>
          <w:rFonts w:hint="default" w:ascii="Times New Roman" w:hAnsi="Times New Roman" w:eastAsia="方正仿宋_GBK" w:cs="Times New Roman"/>
          <w:sz w:val="32"/>
          <w:szCs w:val="32"/>
          <w:shd w:val="clear" w:color="auto" w:fill="FFFFFF"/>
          <w:lang w:val="en-US" w:eastAsia="zh-CN" w:bidi="ar-SA"/>
        </w:rPr>
        <w:t>较上年支出数减少0.06万元，下降100.00%，主要原因是</w:t>
      </w:r>
      <w:r>
        <w:rPr>
          <w:rFonts w:hint="eastAsia" w:ascii="Times New Roman" w:hAnsi="Times New Roman" w:eastAsia="方正仿宋_GBK" w:cs="Times New Roman"/>
          <w:sz w:val="32"/>
          <w:szCs w:val="32"/>
          <w:shd w:val="clear" w:color="auto" w:fill="FFFFFF"/>
          <w:lang w:val="en-US" w:eastAsia="zh-CN" w:bidi="ar-SA"/>
        </w:rPr>
        <w:t>严格落实“三公”经费只减不增的要求。</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（三）“三公”经费实物量情况</w:t>
      </w:r>
    </w:p>
    <w:p>
      <w:pPr>
        <w:pStyle w:val="3"/>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3"/>
        <w:pageBreakBefore w:val="0"/>
        <w:widowControl/>
        <w:shd w:val="clear" w:color="auto"/>
        <w:kinsoku/>
        <w:wordWrap/>
        <w:overflowPunct/>
        <w:topLinePunct w:val="0"/>
        <w:autoSpaceDN/>
        <w:bidi w:val="0"/>
        <w:adjustRightInd/>
        <w:spacing w:before="157" w:beforeLines="50" w:beforeAutospacing="0" w:after="157" w:afterLines="50" w:afterAutospacing="0" w:line="594" w:lineRule="exact"/>
        <w:ind w:left="0" w:leftChars="0"/>
        <w:textAlignment w:val="auto"/>
        <w:rPr>
          <w:rStyle w:val="15"/>
          <w:rFonts w:hint="default"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四、其他需要说明的事项</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（一）财政拨款会议费和培训费情况说明</w:t>
      </w:r>
    </w:p>
    <w:p>
      <w:pPr>
        <w:pageBreakBefore w:val="0"/>
        <w:widowControl/>
        <w:shd w:val="clear"/>
        <w:kinsoku/>
        <w:wordWrap/>
        <w:overflowPunct/>
        <w:topLinePunct w:val="0"/>
        <w:autoSpaceDN/>
        <w:bidi w:val="0"/>
        <w:adjustRightInd/>
        <w:snapToGrid w:val="0"/>
        <w:spacing w:before="157" w:beforeLines="50" w:beforeAutospacing="0" w:after="157" w:afterLines="5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本年度会议费支出0.00万元，较上年决算数无增减。本年度培训费支出0.00万元，较上年决算数无变化</w:t>
      </w:r>
      <w:r>
        <w:rPr>
          <w:rFonts w:hint="default" w:ascii="Times New Roman" w:hAnsi="Times New Roman" w:eastAsia="方正仿宋_GBK" w:cs="Times New Roman"/>
          <w:sz w:val="32"/>
          <w:szCs w:val="32"/>
          <w:shd w:val="clear" w:color="auto" w:fill="FFFFFF"/>
          <w:lang w:eastAsia="zh-CN"/>
        </w:rPr>
        <w:t>。</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（二）机关运行经费情况说明</w:t>
      </w:r>
    </w:p>
    <w:p>
      <w:pPr>
        <w:pageBreakBefore w:val="0"/>
        <w:widowControl/>
        <w:shd w:val="clear"/>
        <w:kinsoku/>
        <w:wordWrap/>
        <w:overflowPunct/>
        <w:topLinePunct w:val="0"/>
        <w:autoSpaceDN/>
        <w:bidi w:val="0"/>
        <w:adjustRightInd/>
        <w:snapToGrid w:val="0"/>
        <w:spacing w:before="157" w:beforeLines="50" w:beforeAutospacing="0" w:after="157" w:afterLines="5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（三）国有资产占用情况说明</w:t>
      </w:r>
    </w:p>
    <w:p>
      <w:pPr>
        <w:keepNext w:val="0"/>
        <w:keepLines w:val="0"/>
        <w:widowControl w:val="0"/>
        <w:suppressLineNumbers w:val="0"/>
        <w:shd w:val="clear"/>
        <w:autoSpaceDE w:val="0"/>
        <w:autoSpaceDN/>
        <w:spacing w:line="594" w:lineRule="exact"/>
        <w:ind w:left="0" w:firstLine="640" w:firstLineChars="200"/>
        <w:jc w:val="both"/>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rPr>
        <w:t>截至202</w:t>
      </w:r>
      <w:r>
        <w:rPr>
          <w:rFonts w:hint="default" w:ascii="Times New Roman" w:hAnsi="Times New Roman" w:eastAsia="方正仿宋_GBK" w:cs="Times New Roman"/>
          <w:b w:val="0"/>
          <w:bCs w:val="0"/>
          <w:kern w:val="2"/>
          <w:sz w:val="32"/>
          <w:szCs w:val="32"/>
          <w:lang w:val="en-US" w:eastAsia="zh-CN"/>
        </w:rPr>
        <w:t>3</w:t>
      </w:r>
      <w:r>
        <w:rPr>
          <w:rFonts w:hint="default" w:ascii="Times New Roman" w:hAnsi="Times New Roman" w:eastAsia="方正仿宋_GBK" w:cs="Times New Roman"/>
          <w:b w:val="0"/>
          <w:bCs w:val="0"/>
          <w:kern w:val="2"/>
          <w:sz w:val="32"/>
          <w:szCs w:val="32"/>
        </w:rPr>
        <w:t>年12月31日，本部门共有车辆0辆。</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（四）政府采购支出情况说明</w:t>
      </w:r>
    </w:p>
    <w:p>
      <w:pPr>
        <w:keepNext w:val="0"/>
        <w:keepLines w:val="0"/>
        <w:widowControl w:val="0"/>
        <w:suppressLineNumbers w:val="0"/>
        <w:shd w:val="clear"/>
        <w:autoSpaceDE w:val="0"/>
        <w:autoSpaceDN/>
        <w:spacing w:line="594" w:lineRule="exact"/>
        <w:ind w:left="0" w:firstLine="640" w:firstLineChars="200"/>
        <w:jc w:val="both"/>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rPr>
        <w:t> 202</w:t>
      </w:r>
      <w:r>
        <w:rPr>
          <w:rFonts w:hint="default" w:ascii="Times New Roman" w:hAnsi="Times New Roman" w:eastAsia="方正仿宋_GBK" w:cs="Times New Roman"/>
          <w:b w:val="0"/>
          <w:bCs w:val="0"/>
          <w:kern w:val="2"/>
          <w:sz w:val="32"/>
          <w:szCs w:val="32"/>
          <w:lang w:val="en-US" w:eastAsia="zh-CN"/>
        </w:rPr>
        <w:t>3</w:t>
      </w:r>
      <w:r>
        <w:rPr>
          <w:rFonts w:hint="default" w:ascii="Times New Roman" w:hAnsi="Times New Roman" w:eastAsia="方正仿宋_GBK" w:cs="Times New Roman"/>
          <w:b w:val="0"/>
          <w:bCs w:val="0"/>
          <w:kern w:val="2"/>
          <w:sz w:val="32"/>
          <w:szCs w:val="32"/>
        </w:rPr>
        <w:t>年度我单位未发生政府采购事项，无相关经费支出。</w:t>
      </w:r>
    </w:p>
    <w:p>
      <w:pPr>
        <w:rPr>
          <w:rStyle w:val="15"/>
          <w:rFonts w:hint="default" w:ascii="方正黑体_GBK" w:hAnsi="方正黑体_GBK" w:eastAsia="方正黑体_GBK" w:cs="方正黑体_GBK"/>
          <w:b w:val="0"/>
          <w:bCs/>
          <w:sz w:val="32"/>
          <w:szCs w:val="32"/>
          <w:shd w:val="clear" w:color="auto" w:fill="FFFFFF"/>
          <w:lang w:val="en-US" w:eastAsia="zh-CN" w:bidi="ar-SA"/>
        </w:rPr>
      </w:pPr>
      <w:r>
        <w:rPr>
          <w:rStyle w:val="15"/>
          <w:rFonts w:hint="eastAsia" w:ascii="方正黑体_GBK" w:hAnsi="方正黑体_GBK" w:eastAsia="方正黑体_GBK" w:cs="方正黑体_GBK"/>
          <w:b w:val="0"/>
          <w:bCs/>
          <w:sz w:val="32"/>
          <w:szCs w:val="32"/>
          <w:shd w:val="clear" w:color="auto" w:fill="FFFFFF"/>
          <w:lang w:eastAsia="zh-CN"/>
        </w:rPr>
        <w:t>五</w:t>
      </w:r>
      <w:r>
        <w:rPr>
          <w:rStyle w:val="15"/>
          <w:rFonts w:hint="eastAsia" w:ascii="方正黑体_GBK" w:hAnsi="方正黑体_GBK" w:eastAsia="方正黑体_GBK" w:cs="方正黑体_GBK"/>
          <w:b w:val="0"/>
          <w:bCs/>
          <w:sz w:val="32"/>
          <w:szCs w:val="32"/>
          <w:shd w:val="clear" w:color="auto" w:fill="FFFFFF"/>
        </w:rPr>
        <w:t>、</w:t>
      </w:r>
      <w:r>
        <w:rPr>
          <w:rStyle w:val="15"/>
          <w:rFonts w:hint="eastAsia" w:ascii="方正黑体_GBK" w:hAnsi="方正黑体_GBK" w:eastAsia="方正黑体_GBK" w:cs="方正黑体_GBK"/>
          <w:b w:val="0"/>
          <w:bCs/>
          <w:sz w:val="32"/>
          <w:szCs w:val="32"/>
          <w:shd w:val="clear" w:color="auto" w:fill="FFFFFF"/>
          <w:lang w:val="en-US" w:eastAsia="zh-CN" w:bidi="ar-SA"/>
        </w:rPr>
        <w:t>预算绩效管理情况说明</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（一）单位自评情况</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firstLine="640" w:firstLineChars="200"/>
        <w:textAlignment w:val="auto"/>
        <w:rPr>
          <w:rFonts w:hint="default"/>
          <w:lang w:val="en-US"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346.4415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其中，文管所文化人才专项绩效目标完成情况：聘用人才2人，巡查文物42次，有效提升我县文物安全；文物日常保护绩效目标完成情况：举办展览3次、巡查文物252次、文物资料收集整理103处，完成效果良好；重庆冶锌遗址群安防工程绩效目标完成情况：该工程已于2023年11月初步验收，安全事故发生率0%，完成效果良好；秦良玉文化生态保护区项目绩效目标完成情况：项目已完工，施工单位现阶段准备验收资料，安全事故发生率0%，完成效果良好；博物馆免费开放绩效目标完成情况：博物馆开放190天、平均每天开放6小时、接待观众8970人次，完成效果良好。</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（二）单位绩效评价情况</w:t>
      </w:r>
    </w:p>
    <w:p>
      <w:pPr>
        <w:pStyle w:val="21"/>
        <w:pageBreakBefore w:val="0"/>
        <w:widowControl/>
        <w:shd w:val="clear"/>
        <w:tabs>
          <w:tab w:val="center" w:pos="4153"/>
          <w:tab w:val="left" w:pos="7275"/>
        </w:tabs>
        <w:kinsoku/>
        <w:wordWrap/>
        <w:overflowPunct/>
        <w:topLinePunct w:val="0"/>
        <w:autoSpaceDN/>
        <w:bidi w:val="0"/>
        <w:adjustRightInd/>
        <w:spacing w:before="157" w:beforeLines="50" w:beforeAutospacing="0" w:after="157" w:afterLines="50" w:afterAutospacing="0" w:line="594" w:lineRule="exact"/>
        <w:ind w:left="0" w:leftChars="0"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我单位对</w:t>
      </w:r>
      <w:r>
        <w:rPr>
          <w:rFonts w:hint="default" w:ascii="Times New Roman" w:hAnsi="Times New Roman" w:eastAsia="方正仿宋_GBK" w:cs="Times New Roman"/>
          <w:sz w:val="32"/>
          <w:szCs w:val="32"/>
          <w:shd w:val="clear" w:color="auto" w:fill="FFFFFF"/>
          <w:lang w:val="en-US" w:eastAsia="zh-CN"/>
        </w:rPr>
        <w:t>博物馆免费开放项目</w:t>
      </w:r>
      <w:r>
        <w:rPr>
          <w:rFonts w:hint="default" w:ascii="Times New Roman" w:hAnsi="Times New Roman" w:eastAsia="方正仿宋_GBK" w:cs="Times New Roman"/>
          <w:sz w:val="32"/>
          <w:szCs w:val="32"/>
          <w:shd w:val="clear" w:color="auto" w:fill="FFFFFF"/>
          <w:lang w:eastAsia="zh-CN"/>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1.5</w:t>
      </w:r>
      <w:r>
        <w:rPr>
          <w:rFonts w:hint="default" w:ascii="Times New Roman" w:hAnsi="Times New Roman" w:eastAsia="方正仿宋_GBK" w:cs="Times New Roman"/>
          <w:sz w:val="32"/>
          <w:szCs w:val="32"/>
          <w:shd w:val="clear" w:color="auto" w:fill="FFFFFF"/>
          <w:lang w:eastAsia="zh-CN"/>
        </w:rPr>
        <w:t>万元，评价得分</w:t>
      </w:r>
      <w:r>
        <w:rPr>
          <w:rFonts w:hint="default" w:ascii="Times New Roman" w:hAnsi="Times New Roman" w:eastAsia="方正仿宋_GBK" w:cs="Times New Roman"/>
          <w:sz w:val="32"/>
          <w:szCs w:val="32"/>
          <w:shd w:val="clear" w:color="auto" w:fill="FFFFFF"/>
          <w:lang w:val="en-US" w:eastAsia="zh-CN"/>
        </w:rPr>
        <w:t>93</w:t>
      </w:r>
      <w:r>
        <w:rPr>
          <w:rFonts w:hint="default" w:ascii="Times New Roman" w:hAnsi="Times New Roman" w:eastAsia="方正仿宋_GBK" w:cs="Times New Roman"/>
          <w:sz w:val="32"/>
          <w:szCs w:val="32"/>
          <w:shd w:val="clear" w:color="auto" w:fill="FFFFFF"/>
          <w:lang w:eastAsia="zh-CN"/>
        </w:rPr>
        <w:t>分，评价等次为优，绩效评价发现了涵盖面不广等主要问题，建议加大宣传，开展更多项目的活动，吸引更多的群众；我单位对</w:t>
      </w:r>
      <w:r>
        <w:rPr>
          <w:rFonts w:hint="default" w:ascii="Times New Roman" w:hAnsi="Times New Roman" w:eastAsia="方正仿宋_GBK" w:cs="Times New Roman"/>
          <w:sz w:val="32"/>
          <w:szCs w:val="32"/>
          <w:shd w:val="clear" w:color="auto" w:fill="FFFFFF"/>
          <w:lang w:val="en-US" w:eastAsia="zh-CN"/>
        </w:rPr>
        <w:t>重庆冶锌遗址群安防工程项目</w:t>
      </w:r>
      <w:r>
        <w:rPr>
          <w:rFonts w:hint="default" w:ascii="Times New Roman" w:hAnsi="Times New Roman" w:eastAsia="方正仿宋_GBK" w:cs="Times New Roman"/>
          <w:sz w:val="32"/>
          <w:szCs w:val="32"/>
          <w:shd w:val="clear" w:color="auto" w:fill="FFFFFF"/>
          <w:lang w:eastAsia="zh-CN"/>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329.1705</w:t>
      </w:r>
      <w:r>
        <w:rPr>
          <w:rFonts w:hint="default" w:ascii="Times New Roman" w:hAnsi="Times New Roman" w:eastAsia="方正仿宋_GBK" w:cs="Times New Roman"/>
          <w:sz w:val="32"/>
          <w:szCs w:val="32"/>
          <w:shd w:val="clear" w:color="auto" w:fill="FFFFFF"/>
          <w:lang w:eastAsia="zh-CN"/>
        </w:rPr>
        <w:t>万元，评价得分</w:t>
      </w:r>
      <w:r>
        <w:rPr>
          <w:rFonts w:hint="default" w:ascii="Times New Roman" w:hAnsi="Times New Roman" w:eastAsia="方正仿宋_GBK" w:cs="Times New Roman"/>
          <w:sz w:val="32"/>
          <w:szCs w:val="32"/>
          <w:shd w:val="clear" w:color="auto" w:fill="FFFFFF"/>
          <w:lang w:val="en-US" w:eastAsia="zh-CN"/>
        </w:rPr>
        <w:t>97.37</w:t>
      </w:r>
      <w:r>
        <w:rPr>
          <w:rFonts w:hint="default" w:ascii="Times New Roman" w:hAnsi="Times New Roman" w:eastAsia="方正仿宋_GBK" w:cs="Times New Roman"/>
          <w:sz w:val="32"/>
          <w:szCs w:val="32"/>
          <w:shd w:val="clear" w:color="auto" w:fill="FFFFFF"/>
          <w:lang w:eastAsia="zh-CN"/>
        </w:rPr>
        <w:t>分，评价等次为优，绩效评价发现了资金未及时支付等主要问题，建议提</w:t>
      </w:r>
      <w:r>
        <w:rPr>
          <w:rFonts w:hint="eastAsia" w:ascii="Times New Roman" w:hAnsi="Times New Roman" w:eastAsia="方正仿宋_GBK" w:cs="Times New Roman"/>
          <w:sz w:val="32"/>
          <w:szCs w:val="32"/>
          <w:shd w:val="clear" w:color="auto" w:fill="FFFFFF"/>
          <w:lang w:eastAsia="zh-CN"/>
        </w:rPr>
        <w:t>高</w:t>
      </w:r>
      <w:r>
        <w:rPr>
          <w:rFonts w:hint="default" w:ascii="Times New Roman" w:hAnsi="Times New Roman" w:eastAsia="方正仿宋_GBK" w:cs="Times New Roman"/>
          <w:sz w:val="32"/>
          <w:szCs w:val="32"/>
          <w:shd w:val="clear" w:color="auto" w:fill="FFFFFF"/>
          <w:lang w:eastAsia="zh-CN"/>
        </w:rPr>
        <w:t>工作效率，按要求完成相关支付；我单位对</w:t>
      </w:r>
      <w:r>
        <w:rPr>
          <w:rFonts w:hint="default" w:ascii="Times New Roman" w:hAnsi="Times New Roman" w:eastAsia="方正仿宋_GBK" w:cs="Times New Roman"/>
          <w:sz w:val="32"/>
          <w:szCs w:val="32"/>
          <w:shd w:val="clear" w:color="auto" w:fill="FFFFFF"/>
          <w:lang w:val="en-US" w:eastAsia="zh-CN"/>
        </w:rPr>
        <w:t>文物日常保护项目</w:t>
      </w:r>
      <w:r>
        <w:rPr>
          <w:rFonts w:hint="default" w:ascii="Times New Roman" w:hAnsi="Times New Roman" w:eastAsia="方正仿宋_GBK" w:cs="Times New Roman"/>
          <w:sz w:val="32"/>
          <w:szCs w:val="32"/>
          <w:shd w:val="clear" w:color="auto" w:fill="FFFFFF"/>
          <w:lang w:eastAsia="zh-CN"/>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eastAsia="zh-CN"/>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lang w:eastAsia="zh-CN"/>
        </w:rPr>
        <w:t>分；我单位对</w:t>
      </w:r>
      <w:r>
        <w:rPr>
          <w:rFonts w:hint="default" w:ascii="Times New Roman" w:hAnsi="Times New Roman" w:eastAsia="方正仿宋_GBK" w:cs="Times New Roman"/>
          <w:sz w:val="32"/>
          <w:szCs w:val="32"/>
          <w:shd w:val="clear" w:color="auto" w:fill="FFFFFF"/>
          <w:lang w:val="en-US" w:eastAsia="zh-CN"/>
        </w:rPr>
        <w:t>文管所文化人才专项项目</w:t>
      </w:r>
      <w:r>
        <w:rPr>
          <w:rFonts w:hint="default" w:ascii="Times New Roman" w:hAnsi="Times New Roman" w:eastAsia="方正仿宋_GBK" w:cs="Times New Roman"/>
          <w:sz w:val="32"/>
          <w:szCs w:val="32"/>
          <w:shd w:val="clear" w:color="auto" w:fill="FFFFFF"/>
          <w:lang w:eastAsia="zh-CN"/>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lang w:eastAsia="zh-CN"/>
        </w:rPr>
        <w:t>分，评价等次为优；我单位对</w:t>
      </w:r>
      <w:r>
        <w:rPr>
          <w:rFonts w:hint="default" w:ascii="Times New Roman" w:hAnsi="Times New Roman" w:eastAsia="方正仿宋_GBK" w:cs="Times New Roman"/>
          <w:sz w:val="32"/>
          <w:szCs w:val="32"/>
          <w:shd w:val="clear" w:color="auto" w:fill="FFFFFF"/>
          <w:lang w:val="en-US" w:eastAsia="zh-CN"/>
        </w:rPr>
        <w:t>秦良玉文化生态保护区项目</w:t>
      </w:r>
      <w:r>
        <w:rPr>
          <w:rFonts w:hint="default" w:ascii="Times New Roman" w:hAnsi="Times New Roman" w:eastAsia="方正仿宋_GBK" w:cs="Times New Roman"/>
          <w:sz w:val="32"/>
          <w:szCs w:val="32"/>
          <w:shd w:val="clear" w:color="auto" w:fill="FFFFFF"/>
          <w:lang w:eastAsia="zh-CN"/>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1.771</w:t>
      </w:r>
      <w:r>
        <w:rPr>
          <w:rFonts w:hint="default" w:ascii="Times New Roman" w:hAnsi="Times New Roman" w:eastAsia="方正仿宋_GBK" w:cs="Times New Roman"/>
          <w:sz w:val="32"/>
          <w:szCs w:val="32"/>
          <w:shd w:val="clear" w:color="auto" w:fill="FFFFFF"/>
          <w:lang w:eastAsia="zh-CN"/>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lang w:eastAsia="zh-CN"/>
        </w:rPr>
        <w:t>分，评价等次为优。</w:t>
      </w:r>
    </w:p>
    <w:p>
      <w:pPr>
        <w:pStyle w:val="4"/>
        <w:pageBreakBefore w:val="0"/>
        <w:widowControl/>
        <w:shd w:val="clear"/>
        <w:kinsoku/>
        <w:wordWrap/>
        <w:overflowPunct/>
        <w:topLinePunct w:val="0"/>
        <w:autoSpaceDN/>
        <w:bidi w:val="0"/>
        <w:adjustRightInd/>
        <w:spacing w:before="157" w:beforeLines="50" w:beforeAutospacing="0" w:after="157" w:afterLines="50" w:afterAutospacing="0" w:line="594" w:lineRule="exact"/>
        <w:ind w:left="0" w:leftChars="0"/>
        <w:textAlignment w:val="auto"/>
        <w:rPr>
          <w:rFonts w:hint="eastAsia" w:cs="Times New Roman"/>
        </w:rPr>
      </w:pPr>
      <w:r>
        <w:rPr>
          <w:rFonts w:hint="eastAsia" w:cs="Times New Roman"/>
        </w:rPr>
        <w:t>（三）财政绩效评价情况</w:t>
      </w:r>
    </w:p>
    <w:p>
      <w:pPr>
        <w:pStyle w:val="16"/>
        <w:pageBreakBefore w:val="0"/>
        <w:widowControl/>
        <w:shd w:val="clear"/>
        <w:kinsoku/>
        <w:wordWrap/>
        <w:overflowPunct/>
        <w:topLinePunct w:val="0"/>
        <w:autoSpaceDE w:val="0"/>
        <w:autoSpaceDN/>
        <w:bidi w:val="0"/>
        <w:adjustRightInd/>
        <w:spacing w:before="157" w:beforeLines="50" w:beforeAutospacing="0" w:after="157" w:afterLines="50" w:afterAutospacing="0" w:line="594" w:lineRule="exact"/>
        <w:ind w:left="0" w:leftChars="0"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3"/>
        <w:numPr>
          <w:ilvl w:val="0"/>
          <w:numId w:val="0"/>
        </w:numPr>
        <w:shd w:val="clear" w:color="auto"/>
        <w:ind w:left="0" w:leftChars="0" w:firstLine="0" w:firstLineChars="0"/>
        <w:rPr>
          <w:rFonts w:hint="eastAsia" w:ascii="黑体" w:hAnsi="黑体" w:eastAsia="方正黑体_GBK" w:cs="黑体"/>
          <w:sz w:val="32"/>
          <w:szCs w:val="32"/>
          <w:shd w:val="clear" w:color="auto" w:fill="FFFFFF"/>
          <w:lang w:val="en-US" w:eastAsia="zh-CN" w:bidi="ar-SA"/>
        </w:rPr>
      </w:pPr>
      <w:r>
        <w:rPr>
          <w:rFonts w:hint="eastAsia" w:ascii="黑体" w:hAnsi="黑体" w:eastAsia="方正黑体_GBK" w:cs="黑体"/>
          <w:sz w:val="32"/>
          <w:szCs w:val="32"/>
          <w:shd w:val="clear" w:fill="FFFFFF"/>
          <w:lang w:val="en-US" w:eastAsia="zh-CN" w:bidi="ar-SA"/>
        </w:rPr>
        <w:t>六、</w:t>
      </w:r>
      <w:r>
        <w:rPr>
          <w:rFonts w:hint="eastAsia" w:ascii="黑体" w:hAnsi="黑体" w:eastAsia="方正黑体_GBK" w:cs="黑体"/>
          <w:sz w:val="32"/>
          <w:szCs w:val="32"/>
          <w:shd w:val="clear" w:color="auto" w:fill="FFFFFF"/>
          <w:lang w:val="en-US" w:eastAsia="zh-CN" w:bidi="ar-SA"/>
        </w:rPr>
        <w:t xml:space="preserve">决算公开联系方式及信息反馈渠道 </w:t>
      </w:r>
    </w:p>
    <w:p>
      <w:pPr>
        <w:pStyle w:val="3"/>
        <w:numPr>
          <w:ilvl w:val="0"/>
          <w:numId w:val="0"/>
        </w:numPr>
        <w:shd w:val="clear" w:color="auto"/>
        <w:ind w:leftChars="0"/>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本单位决算公开信息反馈和联系方式：</w:t>
      </w:r>
      <w:r>
        <w:rPr>
          <w:rFonts w:hint="default" w:ascii="Times New Roman" w:hAnsi="Times New Roman" w:eastAsia="方正仿宋_GBK" w:cs="Times New Roman"/>
          <w:color w:val="000000"/>
          <w:kern w:val="0"/>
          <w:sz w:val="32"/>
          <w:szCs w:val="32"/>
          <w:shd w:val="clear" w:fill="FFFFFF"/>
        </w:rPr>
        <w:t>023-73322106</w:t>
      </w:r>
    </w:p>
    <w:p>
      <w:pPr>
        <w:pStyle w:val="3"/>
        <w:shd w:val="clear"/>
        <w:snapToGrid w:val="0"/>
        <w:spacing w:before="0" w:beforeAutospacing="0" w:after="0" w:afterAutospacing="0" w:line="600" w:lineRule="exact"/>
        <w:ind w:firstLine="640" w:firstLineChars="200"/>
        <w:jc w:val="both"/>
        <w:rPr>
          <w:rStyle w:val="15"/>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FF0000"/>
          <w:sz w:val="32"/>
          <w:szCs w:val="32"/>
          <w:shd w:val="clear" w:color="auto" w:fill="FFFFFF"/>
        </w:rPr>
        <w:t>.</w:t>
      </w:r>
    </w:p>
    <w:p>
      <w:pPr>
        <w:rPr>
          <w:rFonts w:hint="default" w:cs="宋体"/>
          <w:sz w:val="21"/>
          <w:szCs w:val="21"/>
        </w:rPr>
      </w:pPr>
    </w:p>
    <w:tbl>
      <w:tblPr>
        <w:tblStyle w:val="12"/>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重庆市石柱土家族自治县文物管理所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430.18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431.95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431.95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431.95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431.95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重庆市石柱土家族自治县文物管理所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431.95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431.95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重庆市石柱土家族自治县文物管理所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431.95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346.44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329.17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重庆市石柱土家族自治县文物管理所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430.18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重庆市石柱土家族自治县文物管理所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344.67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329.17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重庆市石柱土家族自治县文物管理所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66.91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重庆市石柱土家族自治县文物管理所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重庆市石柱土家族自治县文物管理所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2"/>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重庆市石柱土家族自治县文物管理所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cs="宋体"/>
                <w:color w:val="000000"/>
                <w:sz w:val="16"/>
                <w:szCs w:val="16"/>
              </w:rPr>
            </w:pPr>
          </w:p>
        </w:tc>
      </w:tr>
    </w:tbl>
    <w:p>
      <w:pPr>
        <w:shd w:val="clea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2C5CD2-8B9F-408D-A0C2-17F9FD32912F}"/>
  </w:font>
  <w:font w:name="黑体">
    <w:panose1 w:val="02010609060101010101"/>
    <w:charset w:val="86"/>
    <w:family w:val="auto"/>
    <w:pitch w:val="default"/>
    <w:sig w:usb0="800002BF" w:usb1="38CF7CFA" w:usb2="00000016" w:usb3="00000000" w:csb0="00040001" w:csb1="00000000"/>
    <w:embedRegular r:id="rId2" w:fontKey="{D1C6A0D1-1E29-4CE2-802E-164EAA8D9D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0" w:usb1="00000000" w:usb2="00000000" w:usb3="00000000" w:csb0="00000000" w:csb1="00000000"/>
    <w:embedRegular r:id="rId3" w:fontKey="{013F26B8-E102-4FD8-BE45-5D1B5F21A7E1}"/>
  </w:font>
  <w:font w:name="方正楷体_GBK">
    <w:panose1 w:val="03000509000000000000"/>
    <w:charset w:val="86"/>
    <w:family w:val="auto"/>
    <w:pitch w:val="default"/>
    <w:sig w:usb0="00000000" w:usb1="00000000" w:usb2="00000000" w:usb3="00000000" w:csb0="00000000" w:csb1="00000000"/>
    <w:embedRegular r:id="rId4" w:fontKey="{28F6E8C8-DB63-4A7F-8765-E46A030E49D6}"/>
  </w:font>
  <w:font w:name="方正仿宋_GBK">
    <w:panose1 w:val="02000000000000000000"/>
    <w:charset w:val="86"/>
    <w:family w:val="script"/>
    <w:pitch w:val="default"/>
    <w:sig w:usb0="00000000" w:usb1="00000000" w:usb2="00000000" w:usb3="00000000" w:csb0="00000000" w:csb1="00000000"/>
    <w:embedRegular r:id="rId5" w:fontKey="{3E831A77-2C83-4EE3-9ABF-0DB34DDAC2C8}"/>
  </w:font>
  <w:font w:name="方正小标宋_GBK">
    <w:panose1 w:val="03000509000000000000"/>
    <w:charset w:val="86"/>
    <w:family w:val="script"/>
    <w:pitch w:val="default"/>
    <w:sig w:usb0="00000000" w:usb1="00000000" w:usb2="00000000" w:usb3="00000000" w:csb0="00000000" w:csb1="00000000"/>
    <w:embedRegular r:id="rId6" w:fontKey="{1648C2A8-C395-4979-97A8-947FD11BE1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8"/>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8"/>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8"/>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NmFmYjllZTliMTVjOTliNzFmM2RjZjkyNDM4NDkifQ=="/>
  </w:docVars>
  <w:rsids>
    <w:rsidRoot w:val="00B03CCD"/>
    <w:rsid w:val="001D3BB7"/>
    <w:rsid w:val="002B254B"/>
    <w:rsid w:val="003D21B2"/>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9E6512"/>
    <w:rsid w:val="0F836721"/>
    <w:rsid w:val="0FA25D96"/>
    <w:rsid w:val="107B59E5"/>
    <w:rsid w:val="10EC0126"/>
    <w:rsid w:val="10F70B9A"/>
    <w:rsid w:val="111445C7"/>
    <w:rsid w:val="111725AC"/>
    <w:rsid w:val="114278C6"/>
    <w:rsid w:val="1158083A"/>
    <w:rsid w:val="11643A4B"/>
    <w:rsid w:val="11ED0F98"/>
    <w:rsid w:val="11F03528"/>
    <w:rsid w:val="12C921C4"/>
    <w:rsid w:val="136C2CDA"/>
    <w:rsid w:val="13871C70"/>
    <w:rsid w:val="13A71CB4"/>
    <w:rsid w:val="13A96285"/>
    <w:rsid w:val="13AF1D43"/>
    <w:rsid w:val="13CE1647"/>
    <w:rsid w:val="13FD55AB"/>
    <w:rsid w:val="14200702"/>
    <w:rsid w:val="148B01D9"/>
    <w:rsid w:val="148B12E6"/>
    <w:rsid w:val="163A6CEE"/>
    <w:rsid w:val="173708E3"/>
    <w:rsid w:val="174A7237"/>
    <w:rsid w:val="17C374FC"/>
    <w:rsid w:val="182E4AB6"/>
    <w:rsid w:val="18846779"/>
    <w:rsid w:val="189079DC"/>
    <w:rsid w:val="189B0D0B"/>
    <w:rsid w:val="18B43F7C"/>
    <w:rsid w:val="194A1770"/>
    <w:rsid w:val="19B906A4"/>
    <w:rsid w:val="1B6F15B6"/>
    <w:rsid w:val="1BA64C58"/>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060F58"/>
    <w:rsid w:val="29310A5F"/>
    <w:rsid w:val="29657F00"/>
    <w:rsid w:val="29C37A35"/>
    <w:rsid w:val="2A076083"/>
    <w:rsid w:val="2A73162E"/>
    <w:rsid w:val="2AC46EA9"/>
    <w:rsid w:val="2B167953"/>
    <w:rsid w:val="2B200583"/>
    <w:rsid w:val="2B8209DE"/>
    <w:rsid w:val="2C636760"/>
    <w:rsid w:val="2C6762A3"/>
    <w:rsid w:val="2CF9108B"/>
    <w:rsid w:val="2FCA4B37"/>
    <w:rsid w:val="2FE029D7"/>
    <w:rsid w:val="2FF06E00"/>
    <w:rsid w:val="30586FEC"/>
    <w:rsid w:val="315F0B22"/>
    <w:rsid w:val="31D41644"/>
    <w:rsid w:val="31D84415"/>
    <w:rsid w:val="32285F6F"/>
    <w:rsid w:val="32770556"/>
    <w:rsid w:val="329C0913"/>
    <w:rsid w:val="32AA0460"/>
    <w:rsid w:val="32ED6F47"/>
    <w:rsid w:val="3337290D"/>
    <w:rsid w:val="33E31118"/>
    <w:rsid w:val="33EF7674"/>
    <w:rsid w:val="34120C85"/>
    <w:rsid w:val="342D7BC6"/>
    <w:rsid w:val="34DB551B"/>
    <w:rsid w:val="352930DB"/>
    <w:rsid w:val="35573069"/>
    <w:rsid w:val="355F6038"/>
    <w:rsid w:val="358C217E"/>
    <w:rsid w:val="359F29EC"/>
    <w:rsid w:val="36C9128A"/>
    <w:rsid w:val="37841E99"/>
    <w:rsid w:val="37BF1123"/>
    <w:rsid w:val="383C3F15"/>
    <w:rsid w:val="385C4BC4"/>
    <w:rsid w:val="38BE4696"/>
    <w:rsid w:val="3939115E"/>
    <w:rsid w:val="39B82A39"/>
    <w:rsid w:val="39C42CA8"/>
    <w:rsid w:val="39CE564E"/>
    <w:rsid w:val="39DC4FD6"/>
    <w:rsid w:val="39F03D7A"/>
    <w:rsid w:val="39F33306"/>
    <w:rsid w:val="3A2C1C67"/>
    <w:rsid w:val="3A3D4373"/>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2FE0D52"/>
    <w:rsid w:val="43307B09"/>
    <w:rsid w:val="439A3EB9"/>
    <w:rsid w:val="43BB152F"/>
    <w:rsid w:val="44C37687"/>
    <w:rsid w:val="45345046"/>
    <w:rsid w:val="45CB699A"/>
    <w:rsid w:val="465B470D"/>
    <w:rsid w:val="469D6AD4"/>
    <w:rsid w:val="471E6C84"/>
    <w:rsid w:val="4748792B"/>
    <w:rsid w:val="475D719D"/>
    <w:rsid w:val="47674801"/>
    <w:rsid w:val="48225EF7"/>
    <w:rsid w:val="488F422B"/>
    <w:rsid w:val="48C320FE"/>
    <w:rsid w:val="48E36915"/>
    <w:rsid w:val="48EB6572"/>
    <w:rsid w:val="495C4A24"/>
    <w:rsid w:val="497135DF"/>
    <w:rsid w:val="4A263DF2"/>
    <w:rsid w:val="4A6F6675"/>
    <w:rsid w:val="4B135857"/>
    <w:rsid w:val="4B7951CB"/>
    <w:rsid w:val="4B7C315C"/>
    <w:rsid w:val="4D7A36CB"/>
    <w:rsid w:val="4DAC4ACA"/>
    <w:rsid w:val="4DBE01D2"/>
    <w:rsid w:val="4F0C6BA3"/>
    <w:rsid w:val="4F186D58"/>
    <w:rsid w:val="4FE57130"/>
    <w:rsid w:val="50777A61"/>
    <w:rsid w:val="50F06B6E"/>
    <w:rsid w:val="51D21804"/>
    <w:rsid w:val="52234D33"/>
    <w:rsid w:val="522F6E0C"/>
    <w:rsid w:val="52463BA1"/>
    <w:rsid w:val="52F163D4"/>
    <w:rsid w:val="531A2DB4"/>
    <w:rsid w:val="53844570"/>
    <w:rsid w:val="53C0244D"/>
    <w:rsid w:val="53DD4D4E"/>
    <w:rsid w:val="53E578CE"/>
    <w:rsid w:val="541330F0"/>
    <w:rsid w:val="54272666"/>
    <w:rsid w:val="543B029D"/>
    <w:rsid w:val="54861779"/>
    <w:rsid w:val="552256E1"/>
    <w:rsid w:val="554E5773"/>
    <w:rsid w:val="555829E0"/>
    <w:rsid w:val="555A3CBC"/>
    <w:rsid w:val="5582012B"/>
    <w:rsid w:val="558E4E05"/>
    <w:rsid w:val="55BE2E85"/>
    <w:rsid w:val="56020701"/>
    <w:rsid w:val="56530F5D"/>
    <w:rsid w:val="567700D3"/>
    <w:rsid w:val="56E46059"/>
    <w:rsid w:val="56FF7E9E"/>
    <w:rsid w:val="578867FC"/>
    <w:rsid w:val="5842572D"/>
    <w:rsid w:val="59884A03"/>
    <w:rsid w:val="59E7033A"/>
    <w:rsid w:val="5A3B59D6"/>
    <w:rsid w:val="5AD134D8"/>
    <w:rsid w:val="5C263CE4"/>
    <w:rsid w:val="5C5D2777"/>
    <w:rsid w:val="5CF66BF3"/>
    <w:rsid w:val="5D290C69"/>
    <w:rsid w:val="5F2D4A41"/>
    <w:rsid w:val="5FFF5CB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4150B9"/>
    <w:rsid w:val="6883293E"/>
    <w:rsid w:val="688412AD"/>
    <w:rsid w:val="68EB1B71"/>
    <w:rsid w:val="69A655C1"/>
    <w:rsid w:val="6A6C7940"/>
    <w:rsid w:val="6AAD2300"/>
    <w:rsid w:val="6B474EF5"/>
    <w:rsid w:val="6C0A5AC5"/>
    <w:rsid w:val="6C560CAE"/>
    <w:rsid w:val="6C576495"/>
    <w:rsid w:val="6D903FF5"/>
    <w:rsid w:val="6DA955B8"/>
    <w:rsid w:val="6DE346AB"/>
    <w:rsid w:val="6DE5391A"/>
    <w:rsid w:val="6EA63EC8"/>
    <w:rsid w:val="6EFD1324"/>
    <w:rsid w:val="6F5A53AC"/>
    <w:rsid w:val="6FAC003D"/>
    <w:rsid w:val="6FE55E12"/>
    <w:rsid w:val="6FFB2E76"/>
    <w:rsid w:val="708F6F7F"/>
    <w:rsid w:val="70D94BD3"/>
    <w:rsid w:val="71C34D91"/>
    <w:rsid w:val="72DB435C"/>
    <w:rsid w:val="72E2613A"/>
    <w:rsid w:val="72F771F4"/>
    <w:rsid w:val="73934AD2"/>
    <w:rsid w:val="73B643A5"/>
    <w:rsid w:val="746D7236"/>
    <w:rsid w:val="74F6714B"/>
    <w:rsid w:val="750837F0"/>
    <w:rsid w:val="754758CF"/>
    <w:rsid w:val="764F62AB"/>
    <w:rsid w:val="765C45EC"/>
    <w:rsid w:val="768A7619"/>
    <w:rsid w:val="772E1EBA"/>
    <w:rsid w:val="781926BC"/>
    <w:rsid w:val="784C1CDC"/>
    <w:rsid w:val="79226841"/>
    <w:rsid w:val="796D60A4"/>
    <w:rsid w:val="799314ED"/>
    <w:rsid w:val="79A031D5"/>
    <w:rsid w:val="79D833A4"/>
    <w:rsid w:val="79F71A7C"/>
    <w:rsid w:val="7A1525F7"/>
    <w:rsid w:val="7B420052"/>
    <w:rsid w:val="7BD06A28"/>
    <w:rsid w:val="7C3A7C0B"/>
    <w:rsid w:val="7C5248E4"/>
    <w:rsid w:val="7C566698"/>
    <w:rsid w:val="7C5866A3"/>
    <w:rsid w:val="7D7406BB"/>
    <w:rsid w:val="7DD96FDF"/>
    <w:rsid w:val="7DE94331"/>
    <w:rsid w:val="7F1F69D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3"/>
    <w:next w:val="1"/>
    <w:qFormat/>
    <w:uiPriority w:val="0"/>
    <w:pPr>
      <w:shd w:val="clear" w:color="auto" w:fill="FFFFFF"/>
      <w:outlineLvl w:val="0"/>
    </w:pPr>
    <w:rPr>
      <w:rFonts w:ascii="黑体" w:hAnsi="黑体" w:eastAsia="方正黑体_GBK" w:cs="黑体"/>
      <w:sz w:val="32"/>
      <w:szCs w:val="32"/>
      <w:shd w:val="clear" w:color="auto" w:fill="FFFFFF"/>
    </w:rPr>
  </w:style>
  <w:style w:type="paragraph" w:styleId="4">
    <w:name w:val="heading 2"/>
    <w:basedOn w:val="1"/>
    <w:next w:val="1"/>
    <w:unhideWhenUsed/>
    <w:qFormat/>
    <w:uiPriority w:val="0"/>
    <w:pPr>
      <w:keepNext/>
      <w:keepLines/>
      <w:spacing w:before="260" w:beforeLines="0" w:after="260" w:afterLines="0" w:line="240" w:lineRule="auto"/>
      <w:outlineLvl w:val="1"/>
    </w:pPr>
    <w:rPr>
      <w:rFonts w:ascii="Arial" w:hAnsi="Arial" w:eastAsia="方正楷体_GBK"/>
      <w:sz w:val="32"/>
    </w:rPr>
  </w:style>
  <w:style w:type="paragraph" w:styleId="5">
    <w:name w:val="heading 3"/>
    <w:basedOn w:val="1"/>
    <w:next w:val="1"/>
    <w:link w:val="22"/>
    <w:unhideWhenUsed/>
    <w:qFormat/>
    <w:uiPriority w:val="0"/>
    <w:pPr>
      <w:keepNext/>
      <w:keepLines/>
      <w:spacing w:before="260" w:beforeLines="0" w:beforeAutospacing="0" w:after="260" w:afterLines="0" w:afterAutospacing="0" w:line="413" w:lineRule="auto"/>
      <w:outlineLvl w:val="2"/>
    </w:pPr>
    <w:rPr>
      <w:rFonts w:eastAsia="方正仿宋_GBK"/>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styleId="6">
    <w:name w:val="Body Text Indent"/>
    <w:basedOn w:val="1"/>
    <w:unhideWhenUsed/>
    <w:qFormat/>
    <w:uiPriority w:val="99"/>
    <w:pPr>
      <w:spacing w:after="120"/>
      <w:ind w:left="420" w:leftChars="2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Body Text First Indent 2"/>
    <w:basedOn w:val="6"/>
    <w:unhideWhenUsed/>
    <w:qFormat/>
    <w:uiPriority w:val="99"/>
    <w:pPr>
      <w:spacing w:line="400" w:lineRule="exact"/>
      <w:ind w:firstLine="420" w:firstLineChars="200"/>
    </w:pPr>
    <w:rPr>
      <w:rFonts w:ascii="Calibri" w:hAnsi="Calibri" w:eastAsia="宋体" w:cs="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7"/>
    <w:qFormat/>
    <w:uiPriority w:val="0"/>
    <w:rPr>
      <w:rFonts w:ascii="宋体" w:hAnsi="宋体"/>
      <w:sz w:val="18"/>
      <w:szCs w:val="18"/>
    </w:rPr>
  </w:style>
  <w:style w:type="paragraph" w:styleId="21">
    <w:name w:val="List Paragraph"/>
    <w:basedOn w:val="1"/>
    <w:qFormat/>
    <w:uiPriority w:val="34"/>
    <w:pPr>
      <w:ind w:firstLine="420" w:firstLineChars="200"/>
    </w:pPr>
  </w:style>
  <w:style w:type="character" w:customStyle="1" w:styleId="22">
    <w:name w:val="标题 3 Char"/>
    <w:link w:val="5"/>
    <w:qFormat/>
    <w:uiPriority w:val="0"/>
    <w:rPr>
      <w:rFonts w:eastAsia="方正仿宋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7076</Words>
  <Characters>8953</Characters>
  <Lines>190</Lines>
  <Paragraphs>53</Paragraphs>
  <TotalTime>5</TotalTime>
  <ScaleCrop>false</ScaleCrop>
  <LinksUpToDate>false</LinksUpToDate>
  <CharactersWithSpaces>10079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86135</cp:lastModifiedBy>
  <dcterms:modified xsi:type="dcterms:W3CDTF">2024-10-22T08:33:04Z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880BC44AE38642769D4AECDB1B7620B0_13</vt:lpwstr>
  </property>
</Properties>
</file>