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E1CC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ascii="Times New Roman" w:hAnsi="Times New Roman" w:eastAsia="方正小标宋_GBK" w:cs="方正小标宋_GBK"/>
          <w:sz w:val="44"/>
          <w:szCs w:val="44"/>
        </w:rPr>
      </w:pPr>
      <w:r>
        <w:rPr>
          <w:rFonts w:ascii="Times New Roman" w:hAnsi="Times New Roman" w:eastAsia="方正小标宋_GBK" w:cs="方正小标宋_GBK"/>
          <w:sz w:val="44"/>
          <w:szCs w:val="44"/>
        </w:rPr>
        <w:t>重庆市石柱土家族自治县图书馆</w:t>
      </w:r>
    </w:p>
    <w:p w14:paraId="305C3D7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center"/>
        <w:textAlignment w:val="auto"/>
        <w:rPr>
          <w:rFonts w:hint="default" w:ascii="Times New Roman" w:hAnsi="Times New Roman" w:eastAsia="方正小标宋_GBK" w:cs="方正小标宋_GBK"/>
          <w:sz w:val="44"/>
          <w:szCs w:val="44"/>
          <w:shd w:val="clear" w:color="auto" w:fill="FFFFFF"/>
        </w:rPr>
      </w:pPr>
      <w:r>
        <w:rPr>
          <w:rFonts w:ascii="Times New Roman" w:hAnsi="Times New Roman" w:eastAsia="方正小标宋_GBK" w:cs="方正小标宋_GBK"/>
          <w:sz w:val="44"/>
          <w:szCs w:val="44"/>
          <w:shd w:val="clear" w:color="auto" w:fill="FFFFFF"/>
        </w:rPr>
        <w:t>2023年度决算公开说明</w:t>
      </w:r>
    </w:p>
    <w:p w14:paraId="0216B61F">
      <w:pPr>
        <w:pageBreakBefore w:val="0"/>
        <w:widowControl/>
        <w:kinsoku/>
        <w:wordWrap/>
        <w:overflowPunct/>
        <w:topLinePunct w:val="0"/>
        <w:autoSpaceDE/>
        <w:autoSpaceDN/>
        <w:bidi w:val="0"/>
        <w:snapToGrid/>
        <w:spacing w:line="594" w:lineRule="exact"/>
        <w:ind w:firstLine="640" w:firstLineChars="200"/>
        <w:textAlignment w:val="auto"/>
        <w:rPr>
          <w:rFonts w:hint="eastAsia" w:ascii="方正黑体_GBK" w:hAnsi="方正黑体_GBK" w:eastAsia="方正黑体_GBK" w:cs="方正黑体_GBK"/>
          <w:sz w:val="32"/>
          <w:szCs w:val="32"/>
        </w:rPr>
      </w:pPr>
    </w:p>
    <w:p w14:paraId="23A8F15F">
      <w:pPr>
        <w:pageBreakBefore w:val="0"/>
        <w:widowControl/>
        <w:kinsoku/>
        <w:wordWrap/>
        <w:overflowPunct/>
        <w:topLinePunct w:val="0"/>
        <w:autoSpaceDE/>
        <w:autoSpaceDN/>
        <w:bidi w:val="0"/>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1E782029">
      <w:pPr>
        <w:pStyle w:val="4"/>
        <w:pageBreakBefore w:val="0"/>
        <w:widowControl/>
        <w:kinsoku/>
        <w:wordWrap/>
        <w:overflowPunct/>
        <w:topLinePunct w:val="0"/>
        <w:autoSpaceDE/>
        <w:autoSpaceDN/>
        <w:bidi w:val="0"/>
        <w:adjustRightInd/>
        <w:snapToGrid/>
        <w:spacing w:before="0" w:beforeLines="0" w:beforeAutospacing="0" w:after="0" w:afterLines="0" w:afterAutospacing="0" w:line="594" w:lineRule="exact"/>
        <w:ind w:firstLine="640" w:firstLineChars="200"/>
        <w:textAlignment w:val="auto"/>
        <w:rPr>
          <w:rFonts w:hint="eastAsia" w:ascii="Times New Roman" w:hAnsi="Times New Roman" w:eastAsia="方正楷体_GBK" w:cs="方正楷体_GBK"/>
        </w:rPr>
      </w:pPr>
      <w:r>
        <w:rPr>
          <w:rFonts w:hint="eastAsia" w:ascii="Times New Roman" w:hAnsi="Times New Roman" w:eastAsia="方正楷体_GBK" w:cs="方正楷体_GBK"/>
        </w:rPr>
        <w:t>（一）职能职责</w:t>
      </w:r>
      <w:bookmarkStart w:id="0" w:name="_GoBack"/>
      <w:bookmarkEnd w:id="0"/>
    </w:p>
    <w:p w14:paraId="616886AB">
      <w:pPr>
        <w:pStyle w:val="4"/>
        <w:pageBreakBefore w:val="0"/>
        <w:widowControl/>
        <w:kinsoku/>
        <w:wordWrap/>
        <w:overflowPunct/>
        <w:topLinePunct w:val="0"/>
        <w:autoSpaceDE/>
        <w:autoSpaceDN/>
        <w:bidi w:val="0"/>
        <w:adjustRightInd w:val="0"/>
        <w:snapToGrid/>
        <w:spacing w:before="0" w:beforeLines="0" w:beforeAutospacing="0" w:after="0" w:afterLines="0" w:afterAutospacing="0" w:line="594"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石柱县图书馆主要</w:t>
      </w:r>
      <w:r>
        <w:rPr>
          <w:rFonts w:hint="eastAsia" w:ascii="Times New Roman" w:hAnsi="Times New Roman" w:eastAsia="方正仿宋_GBK" w:cs="方正仿宋_GBK"/>
          <w:sz w:val="32"/>
          <w:szCs w:val="32"/>
        </w:rPr>
        <w:t>负责图书、文献、报刊、音像等资料的收集、储藏、流通、开发利用；负责图书资料借阅、科技咨询、信息服务、古籍普查收藏；负责文献数字化处理和建设、数据库建设、图书资料网络系统建设；负责图书业务培训和社会教育；负责图书资料信息共享服务、公益性流动文化服务；负责全县全民阅读推广；参与图书馆总分馆建设；负责全县图书情报工作者培训；负责文化信息资源共享工程服务；承担县文化和旅游发展委员会领导交办的其他工作。</w:t>
      </w:r>
    </w:p>
    <w:p w14:paraId="3C5EC6CD">
      <w:pPr>
        <w:pStyle w:val="4"/>
        <w:pageBreakBefore w:val="0"/>
        <w:widowControl/>
        <w:kinsoku/>
        <w:wordWrap/>
        <w:overflowPunct/>
        <w:topLinePunct w:val="0"/>
        <w:autoSpaceDE/>
        <w:autoSpaceDN/>
        <w:bidi w:val="0"/>
        <w:adjustRightInd/>
        <w:snapToGrid/>
        <w:spacing w:before="0" w:beforeLines="0" w:beforeAutospacing="0" w:after="0" w:afterLines="0" w:afterAutospacing="0" w:line="594" w:lineRule="exact"/>
        <w:ind w:left="0" w:leftChars="0" w:firstLine="640" w:firstLineChars="200"/>
        <w:textAlignment w:val="auto"/>
        <w:rPr>
          <w:rFonts w:hint="eastAsia" w:ascii="Times New Roman" w:hAnsi="Times New Roman" w:eastAsia="方正楷体_GBK" w:cs="方正楷体_GBK"/>
        </w:rPr>
      </w:pPr>
      <w:r>
        <w:rPr>
          <w:rFonts w:hint="eastAsia" w:ascii="Times New Roman" w:hAnsi="Times New Roman" w:eastAsia="方正楷体_GBK" w:cs="方正楷体_GBK"/>
        </w:rPr>
        <w:t>（二）机构设置</w:t>
      </w:r>
    </w:p>
    <w:p w14:paraId="44A5F780">
      <w:pPr>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设有</w:t>
      </w:r>
      <w:r>
        <w:rPr>
          <w:rFonts w:hint="eastAsia" w:ascii="Times New Roman" w:hAnsi="Times New Roman" w:eastAsia="方正仿宋_GBK" w:cs="方正仿宋_GBK"/>
          <w:kern w:val="0"/>
          <w:sz w:val="32"/>
          <w:szCs w:val="32"/>
        </w:rPr>
        <w:t>独立编制机构1个，其中政府机关0个，事业编制机构1个，独立核算机构1个。</w:t>
      </w:r>
      <w:r>
        <w:rPr>
          <w:rFonts w:hint="eastAsia" w:ascii="Times New Roman" w:hAnsi="Times New Roman" w:eastAsia="方正仿宋_GBK" w:cs="方正仿宋_GBK"/>
          <w:kern w:val="0"/>
          <w:sz w:val="32"/>
          <w:szCs w:val="32"/>
          <w:lang w:val="en-US" w:eastAsia="zh-CN"/>
        </w:rPr>
        <w:t>核定财政全额拨款事业编制6名，设馆长1名，副馆长1名。</w:t>
      </w:r>
    </w:p>
    <w:p w14:paraId="2CCAB27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7EA3363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6B1CB2F2">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eastAsia="方正仿宋_GBK" w:cs="方正仿宋_GBK" w:asciiTheme="minorAscii" w:hAnsiTheme="minorAscii"/>
          <w:sz w:val="32"/>
          <w:szCs w:val="32"/>
          <w:lang w:val="en-US" w:eastAsia="zh-CN"/>
        </w:rPr>
      </w:pPr>
      <w:r>
        <w:rPr>
          <w:rFonts w:hint="default" w:eastAsia="方正仿宋_GBK" w:cs="方正仿宋_GBK" w:asciiTheme="minorAscii" w:hAnsiTheme="minorAscii"/>
          <w:b/>
          <w:bCs/>
          <w:sz w:val="32"/>
          <w:szCs w:val="32"/>
        </w:rPr>
        <w:t>1.总体情况</w:t>
      </w:r>
      <w:r>
        <w:rPr>
          <w:rFonts w:hint="default" w:eastAsia="方正仿宋_GBK" w:cs="方正仿宋_GBK" w:asciiTheme="minorAscii" w:hAnsiTheme="minorAscii"/>
          <w:sz w:val="32"/>
          <w:szCs w:val="32"/>
        </w:rPr>
        <w:t>。2023年度收入总计252.08万元，支出总计252.08万元。收支较上年决算数增加74.08万元，增长41.62%，主要原因是</w:t>
      </w:r>
      <w:r>
        <w:rPr>
          <w:rFonts w:hint="default" w:eastAsia="方正仿宋_GBK" w:cs="方正仿宋_GBK" w:asciiTheme="minorAscii" w:hAnsiTheme="minorAscii"/>
          <w:sz w:val="32"/>
          <w:szCs w:val="32"/>
          <w:lang w:eastAsia="zh-CN"/>
        </w:rPr>
        <w:t>因评估定级增加一级馆建设经费和全民阅读经费，以及人员经费的增加。</w:t>
      </w:r>
    </w:p>
    <w:p w14:paraId="1F493C16">
      <w:pPr>
        <w:keepNext w:val="0"/>
        <w:keepLines w:val="0"/>
        <w:pageBreakBefore w:val="0"/>
        <w:widowControl/>
        <w:kinsoku/>
        <w:wordWrap/>
        <w:overflowPunct/>
        <w:topLinePunct w:val="0"/>
        <w:autoSpaceDE/>
        <w:autoSpaceDN/>
        <w:bidi w:val="0"/>
        <w:adjustRightInd/>
        <w:snapToGrid/>
        <w:spacing w:line="594" w:lineRule="exact"/>
        <w:ind w:firstLine="643" w:firstLineChars="200"/>
        <w:textAlignment w:val="auto"/>
        <w:rPr>
          <w:rFonts w:hint="default" w:eastAsia="方正仿宋_GBK" w:cs="方正仿宋_GBK" w:asciiTheme="minorAscii" w:hAnsiTheme="minorAscii"/>
          <w:sz w:val="32"/>
          <w:szCs w:val="32"/>
          <w:shd w:val="clear" w:color="auto" w:fill="FFFFFF"/>
        </w:rPr>
      </w:pPr>
      <w:r>
        <w:rPr>
          <w:rFonts w:hint="default" w:eastAsia="方正仿宋_GBK" w:cs="方正仿宋_GBK" w:asciiTheme="minorAscii" w:hAnsiTheme="minorAscii"/>
          <w:b/>
          <w:bCs/>
          <w:sz w:val="32"/>
          <w:szCs w:val="32"/>
        </w:rPr>
        <w:t>2.收入情况</w:t>
      </w:r>
      <w:r>
        <w:rPr>
          <w:rFonts w:hint="default" w:eastAsia="方正仿宋_GBK" w:cs="方正仿宋_GBK" w:asciiTheme="minorAscii" w:hAnsiTheme="minorAscii"/>
          <w:sz w:val="32"/>
          <w:szCs w:val="32"/>
        </w:rPr>
        <w:t>。2023年度收入合计252.08万元，较上年决算数增加74.08万元，增长41.62%，主要原因是评估定级增加一级馆文化建设经费40万元，文化人才专项资金4万元，全民阅读14.4万元，2022年超额绩效预发及清算，准备期职业年金缴费导致本年收入增加</w:t>
      </w:r>
      <w:r>
        <w:rPr>
          <w:rFonts w:hint="default" w:eastAsia="方正仿宋_GBK" w:cs="方正仿宋_GBK" w:asciiTheme="minorAscii" w:hAnsiTheme="minorAscii"/>
          <w:sz w:val="32"/>
          <w:szCs w:val="32"/>
          <w:lang w:eastAsia="zh-CN"/>
        </w:rPr>
        <w:t>。</w:t>
      </w:r>
      <w:r>
        <w:rPr>
          <w:rFonts w:hint="default" w:eastAsia="方正仿宋_GBK" w:cs="方正仿宋_GBK" w:asciiTheme="minorAscii" w:hAnsiTheme="minorAscii"/>
          <w:sz w:val="32"/>
          <w:szCs w:val="32"/>
        </w:rPr>
        <w:t>其中：财政拨款收入252.08万元，占100.00%；事业收入0.00万元，占0.00%；经营收</w:t>
      </w:r>
      <w:r>
        <w:rPr>
          <w:rFonts w:hint="default" w:eastAsia="方正仿宋_GBK" w:cs="方正仿宋_GBK" w:asciiTheme="minorAscii" w:hAnsiTheme="minorAscii"/>
          <w:sz w:val="32"/>
          <w:szCs w:val="32"/>
          <w:shd w:val="clear" w:color="auto" w:fill="FFFFFF"/>
        </w:rPr>
        <w:t>入</w:t>
      </w:r>
      <w:r>
        <w:rPr>
          <w:rFonts w:hint="default" w:eastAsia="方正仿宋_GBK" w:cs="方正仿宋_GBK" w:asciiTheme="minorAscii" w:hAnsiTheme="minorAscii"/>
          <w:sz w:val="32"/>
          <w:szCs w:val="32"/>
        </w:rPr>
        <w:t>0.00</w:t>
      </w:r>
      <w:r>
        <w:rPr>
          <w:rFonts w:hint="default" w:eastAsia="方正仿宋_GBK" w:cs="方正仿宋_GBK" w:asciiTheme="minorAscii" w:hAnsiTheme="minorAscii"/>
          <w:sz w:val="32"/>
          <w:szCs w:val="32"/>
          <w:shd w:val="clear" w:color="auto" w:fill="FFFFFF"/>
        </w:rPr>
        <w:t>万元，占0.00%；其他收入</w:t>
      </w:r>
      <w:r>
        <w:rPr>
          <w:rFonts w:hint="default" w:eastAsia="方正仿宋_GBK" w:cs="方正仿宋_GBK" w:asciiTheme="minorAscii" w:hAnsiTheme="minorAscii"/>
          <w:sz w:val="32"/>
          <w:szCs w:val="32"/>
        </w:rPr>
        <w:t>0.00</w:t>
      </w:r>
      <w:r>
        <w:rPr>
          <w:rFonts w:hint="default" w:eastAsia="方正仿宋_GBK" w:cs="方正仿宋_GBK" w:asciiTheme="minorAscii" w:hAnsiTheme="minorAscii"/>
          <w:sz w:val="32"/>
          <w:szCs w:val="32"/>
          <w:shd w:val="clear" w:color="auto" w:fill="FFFFFF"/>
        </w:rPr>
        <w:t>万元，占0.00%。此外，使用非财政拨款结余和专用结余</w:t>
      </w:r>
      <w:r>
        <w:rPr>
          <w:rFonts w:hint="default" w:eastAsia="方正仿宋_GBK" w:cs="方正仿宋_GBK" w:asciiTheme="minorAscii" w:hAnsiTheme="minorAscii"/>
          <w:sz w:val="32"/>
          <w:szCs w:val="32"/>
        </w:rPr>
        <w:t>0.00</w:t>
      </w:r>
      <w:r>
        <w:rPr>
          <w:rFonts w:hint="default" w:eastAsia="方正仿宋_GBK" w:cs="方正仿宋_GBK" w:asciiTheme="minorAscii" w:hAnsiTheme="minorAscii"/>
          <w:sz w:val="32"/>
          <w:szCs w:val="32"/>
          <w:shd w:val="clear" w:color="auto" w:fill="FFFFFF"/>
        </w:rPr>
        <w:t>万元，年初结转和结余</w:t>
      </w:r>
      <w:r>
        <w:rPr>
          <w:rFonts w:hint="default" w:eastAsia="方正仿宋_GBK" w:cs="方正仿宋_GBK" w:asciiTheme="minorAscii" w:hAnsiTheme="minorAscii"/>
          <w:sz w:val="32"/>
          <w:szCs w:val="32"/>
        </w:rPr>
        <w:t>0.00</w:t>
      </w:r>
      <w:r>
        <w:rPr>
          <w:rFonts w:hint="default" w:eastAsia="方正仿宋_GBK" w:cs="方正仿宋_GBK" w:asciiTheme="minorAscii" w:hAnsiTheme="minorAscii"/>
          <w:sz w:val="32"/>
          <w:szCs w:val="32"/>
          <w:shd w:val="clear" w:color="auto" w:fill="FFFFFF"/>
        </w:rPr>
        <w:t>万元。</w:t>
      </w:r>
    </w:p>
    <w:p w14:paraId="712AE22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leftChars="0" w:firstLine="643" w:firstLineChars="200"/>
        <w:jc w:val="both"/>
        <w:textAlignment w:val="auto"/>
        <w:rPr>
          <w:rFonts w:hint="default" w:ascii="Calibri" w:hAnsi="Calibri" w:eastAsia="方正仿宋_GBK" w:cs="Calibri"/>
          <w:sz w:val="32"/>
          <w:szCs w:val="32"/>
          <w:shd w:val="clear" w:color="auto" w:fill="FFFFFF"/>
        </w:rPr>
      </w:pPr>
      <w:r>
        <w:rPr>
          <w:rStyle w:val="14"/>
          <w:rFonts w:hint="default" w:ascii="Calibri" w:hAnsi="Calibri" w:eastAsia="方正仿宋_GBK" w:cs="Calibri"/>
          <w:b/>
          <w:bCs w:val="0"/>
          <w:sz w:val="32"/>
          <w:szCs w:val="32"/>
          <w:shd w:val="clear" w:color="auto" w:fill="FFFFFF"/>
        </w:rPr>
        <w:t>3.支出情况</w:t>
      </w:r>
      <w:r>
        <w:rPr>
          <w:rStyle w:val="14"/>
          <w:rFonts w:hint="default" w:ascii="Calibri" w:hAnsi="Calibri" w:eastAsia="方正仿宋_GBK" w:cs="Calibri"/>
          <w:b w:val="0"/>
          <w:bCs/>
          <w:sz w:val="32"/>
          <w:szCs w:val="32"/>
          <w:shd w:val="clear" w:color="auto" w:fill="FFFFFF"/>
        </w:rPr>
        <w:t>。</w:t>
      </w:r>
      <w:r>
        <w:rPr>
          <w:rFonts w:hint="default" w:ascii="Calibri" w:hAnsi="Calibri" w:eastAsia="方正仿宋_GBK" w:cs="Calibri"/>
          <w:sz w:val="32"/>
          <w:szCs w:val="32"/>
          <w:shd w:val="clear" w:color="auto" w:fill="FFFFFF"/>
        </w:rPr>
        <w:t>2023年度支出合计</w:t>
      </w:r>
      <w:r>
        <w:rPr>
          <w:rFonts w:hint="default" w:ascii="Calibri" w:hAnsi="Calibri" w:eastAsia="方正仿宋_GBK" w:cs="Calibri"/>
          <w:sz w:val="32"/>
          <w:szCs w:val="32"/>
        </w:rPr>
        <w:t>252.08</w:t>
      </w:r>
      <w:r>
        <w:rPr>
          <w:rFonts w:hint="default" w:ascii="Calibri" w:hAnsi="Calibri" w:eastAsia="方正仿宋_GBK" w:cs="Calibri"/>
          <w:sz w:val="32"/>
          <w:szCs w:val="32"/>
          <w:shd w:val="clear" w:color="auto" w:fill="FFFFFF"/>
        </w:rPr>
        <w:t>万元，较上年决算数增加74.08万元，增长41.62%，主要原因是</w:t>
      </w:r>
      <w:r>
        <w:rPr>
          <w:rFonts w:hint="default" w:ascii="Calibri" w:hAnsi="Calibri" w:eastAsia="方正仿宋_GBK" w:cs="Calibri"/>
          <w:sz w:val="32"/>
          <w:szCs w:val="32"/>
        </w:rPr>
        <w:t>评估定级增加一级馆文化建设经费40万元，文化人才专项资金4万元，全民阅读14.4万元，2022年超额绩效预发及清算，准备期职业年金缴费导致本年收入增加</w:t>
      </w:r>
      <w:r>
        <w:rPr>
          <w:rFonts w:hint="default" w:ascii="Calibri" w:hAnsi="Calibri" w:eastAsia="方正仿宋_GBK" w:cs="Calibri"/>
          <w:sz w:val="32"/>
          <w:szCs w:val="32"/>
          <w:lang w:eastAsia="zh-CN"/>
        </w:rPr>
        <w:t>。</w:t>
      </w:r>
      <w:r>
        <w:rPr>
          <w:rFonts w:hint="default" w:ascii="Calibri" w:hAnsi="Calibri" w:eastAsia="方正仿宋_GBK" w:cs="Calibri"/>
          <w:sz w:val="32"/>
          <w:szCs w:val="32"/>
          <w:shd w:val="clear" w:color="auto" w:fill="FFFFFF"/>
        </w:rPr>
        <w:t>其中：基本支出</w:t>
      </w:r>
      <w:r>
        <w:rPr>
          <w:rFonts w:hint="default" w:ascii="Calibri" w:hAnsi="Calibri" w:eastAsia="方正仿宋_GBK" w:cs="Calibri"/>
          <w:sz w:val="32"/>
          <w:szCs w:val="32"/>
        </w:rPr>
        <w:t>138.69</w:t>
      </w:r>
      <w:r>
        <w:rPr>
          <w:rFonts w:hint="default" w:ascii="Calibri" w:hAnsi="Calibri" w:eastAsia="方正仿宋_GBK" w:cs="Calibri"/>
          <w:sz w:val="32"/>
          <w:szCs w:val="32"/>
          <w:shd w:val="clear" w:color="auto" w:fill="FFFFFF"/>
        </w:rPr>
        <w:t>万元，占55.02%；项目支出</w:t>
      </w:r>
      <w:r>
        <w:rPr>
          <w:rFonts w:hint="default" w:ascii="Calibri" w:hAnsi="Calibri" w:eastAsia="方正仿宋_GBK" w:cs="Calibri"/>
          <w:sz w:val="32"/>
          <w:szCs w:val="32"/>
        </w:rPr>
        <w:t>113.39</w:t>
      </w:r>
      <w:r>
        <w:rPr>
          <w:rFonts w:hint="default" w:ascii="Calibri" w:hAnsi="Calibri" w:eastAsia="方正仿宋_GBK" w:cs="Calibri"/>
          <w:sz w:val="32"/>
          <w:szCs w:val="32"/>
          <w:shd w:val="clear" w:color="auto" w:fill="FFFFFF"/>
        </w:rPr>
        <w:t>万元，占44.98%；经营支出</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万元，占0.00%。此外，结余分配</w:t>
      </w:r>
      <w:r>
        <w:rPr>
          <w:rFonts w:hint="default" w:ascii="Calibri" w:hAnsi="Calibri" w:eastAsia="方正仿宋_GBK" w:cs="Calibri"/>
          <w:sz w:val="32"/>
          <w:szCs w:val="32"/>
        </w:rPr>
        <w:t>0.00</w:t>
      </w:r>
      <w:r>
        <w:rPr>
          <w:rFonts w:hint="default" w:ascii="Calibri" w:hAnsi="Calibri" w:eastAsia="方正仿宋_GBK" w:cs="Calibri"/>
          <w:sz w:val="32"/>
          <w:szCs w:val="32"/>
          <w:shd w:val="clear" w:color="auto" w:fill="FFFFFF"/>
        </w:rPr>
        <w:t>万元。</w:t>
      </w:r>
    </w:p>
    <w:p w14:paraId="2EA9A94D">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eastAsia" w:ascii="Times New Roman" w:hAnsi="Times New Roman" w:eastAsia="方正仿宋_GBK" w:cs="方正仿宋_GBK"/>
          <w:sz w:val="32"/>
          <w:szCs w:val="32"/>
          <w:lang w:eastAsia="zh-CN"/>
        </w:rPr>
      </w:pPr>
      <w:r>
        <w:rPr>
          <w:rStyle w:val="14"/>
          <w:rFonts w:ascii="Times New Roman" w:hAnsi="Times New Roman" w:eastAsia="方正仿宋_GBK" w:cs="方正仿宋_GBK"/>
          <w:b/>
          <w:bCs w:val="0"/>
          <w:sz w:val="32"/>
          <w:szCs w:val="32"/>
          <w:shd w:val="clear" w:color="auto" w:fill="FFFFFF"/>
        </w:rPr>
        <w:t>4.结转结余情况</w:t>
      </w:r>
      <w:r>
        <w:rPr>
          <w:rStyle w:val="14"/>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2C2F831B">
      <w:pPr>
        <w:pStyle w:val="4"/>
        <w:pageBreakBefore w:val="0"/>
        <w:widowControl/>
        <w:shd w:val="clear"/>
        <w:kinsoku/>
        <w:wordWrap/>
        <w:overflowPunct/>
        <w:topLinePunct w:val="0"/>
        <w:autoSpaceDE/>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（二）财政拨款收入支出决算总体情况说明</w:t>
      </w:r>
    </w:p>
    <w:p w14:paraId="0EC2A666">
      <w:pPr>
        <w:pStyle w:val="3"/>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2023年度财政拨款收、支总计252.08万元。与2022年相比，财政拨款收、支总计各增加74.08万元，增长41.62%。主要原因是</w:t>
      </w:r>
      <w:r>
        <w:rPr>
          <w:rFonts w:hint="eastAsia" w:ascii="Times New Roman" w:hAnsi="Times New Roman" w:eastAsia="方正仿宋_GBK" w:cs="方正仿宋_GBK"/>
          <w:sz w:val="32"/>
          <w:szCs w:val="32"/>
          <w:shd w:val="clear" w:color="auto" w:fill="FFFFFF"/>
          <w:lang w:eastAsia="zh-CN"/>
        </w:rPr>
        <w:t>因评估定级增加一级馆建设经费和全民阅读经费，以及人员经费的增加。</w:t>
      </w:r>
    </w:p>
    <w:p w14:paraId="429F7851">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（三）一般公共预算财政拨款收入支出决算情况说明</w:t>
      </w:r>
    </w:p>
    <w:p w14:paraId="4C78E30C">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方正仿宋_GBK"/>
          <w:sz w:val="32"/>
          <w:szCs w:val="32"/>
        </w:rPr>
      </w:pPr>
      <w:r>
        <w:rPr>
          <w:rStyle w:val="20"/>
          <w:rFonts w:ascii="Times New Roman" w:hAnsi="Times New Roman"/>
          <w:b/>
          <w:bCs/>
        </w:rPr>
        <w:t>1.收入情况</w:t>
      </w:r>
      <w:r>
        <w:rPr>
          <w:rStyle w:val="20"/>
          <w:rFonts w:ascii="Times New Roman" w:hAnsi="Times New Roman"/>
        </w:rPr>
        <w:t>。</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252.08</w:t>
      </w:r>
      <w:r>
        <w:rPr>
          <w:rFonts w:ascii="Times New Roman" w:hAnsi="Times New Roman" w:eastAsia="方正仿宋_GBK" w:cs="方正仿宋_GBK"/>
          <w:sz w:val="32"/>
          <w:szCs w:val="32"/>
          <w:shd w:val="clear" w:color="auto" w:fill="FFFFFF"/>
        </w:rPr>
        <w:t>万元，较上年决算数增加74.08万元，增长41.62%。主要原因是</w:t>
      </w:r>
      <w:r>
        <w:rPr>
          <w:rFonts w:hint="eastAsia" w:ascii="Times New Roman" w:hAnsi="Times New Roman" w:eastAsia="方正仿宋_GBK" w:cs="方正仿宋_GBK"/>
          <w:sz w:val="32"/>
          <w:szCs w:val="32"/>
          <w:shd w:val="clear" w:color="auto" w:fill="FFFFFF"/>
          <w:lang w:eastAsia="zh-CN"/>
        </w:rPr>
        <w:t>因评估定级增加一级馆建设经费和全民阅读经费，以及人员经费的增加。</w:t>
      </w:r>
      <w:r>
        <w:rPr>
          <w:rFonts w:ascii="Times New Roman" w:hAnsi="Times New Roman" w:eastAsia="方正仿宋_GBK" w:cs="方正仿宋_GBK"/>
          <w:sz w:val="32"/>
          <w:szCs w:val="32"/>
          <w:shd w:val="clear" w:color="auto" w:fill="FFFFFF"/>
        </w:rPr>
        <w:t>较年初预算数减少3.90万元，下降1.52%。主要原因是</w:t>
      </w:r>
      <w:r>
        <w:rPr>
          <w:rFonts w:hint="eastAsia" w:ascii="Times New Roman" w:hAnsi="Times New Roman" w:eastAsia="仿宋_GB2312"/>
          <w:sz w:val="32"/>
          <w:szCs w:val="32"/>
        </w:rPr>
        <w:t>2022年结转免费开放资金</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7D77911D">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eastAsia" w:ascii="Times New Roman" w:hAnsi="Times New Roman" w:eastAsia="仿宋_GB2312" w:cs="方正仿宋_GBK"/>
          <w:sz w:val="32"/>
          <w:szCs w:val="32"/>
          <w:lang w:eastAsia="zh-CN"/>
        </w:rPr>
      </w:pPr>
      <w:r>
        <w:rPr>
          <w:rStyle w:val="20"/>
          <w:rFonts w:ascii="Times New Roman" w:hAnsi="Times New Roman"/>
          <w:b/>
          <w:bCs/>
        </w:rPr>
        <w:t>2.支出情况</w:t>
      </w:r>
      <w:r>
        <w:rPr>
          <w:rStyle w:val="20"/>
          <w:rFonts w:ascii="Times New Roman" w:hAnsi="Times New Roman"/>
        </w:rPr>
        <w:t>。</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252.08</w:t>
      </w:r>
      <w:r>
        <w:rPr>
          <w:rFonts w:ascii="Times New Roman" w:hAnsi="Times New Roman" w:eastAsia="方正仿宋_GBK" w:cs="方正仿宋_GBK"/>
          <w:sz w:val="32"/>
          <w:szCs w:val="32"/>
          <w:shd w:val="clear" w:color="auto" w:fill="FFFFFF"/>
        </w:rPr>
        <w:t>万元，较上年决算数增加74.08万元，增长41.62%。主要原因是</w:t>
      </w:r>
      <w:r>
        <w:rPr>
          <w:rFonts w:hint="eastAsia" w:ascii="Times New Roman" w:hAnsi="Times New Roman" w:eastAsia="方正仿宋_GBK" w:cs="方正仿宋_GBK"/>
          <w:sz w:val="32"/>
          <w:szCs w:val="32"/>
          <w:shd w:val="clear" w:color="auto" w:fill="FFFFFF"/>
          <w:lang w:eastAsia="zh-CN"/>
        </w:rPr>
        <w:t>因评估定级增加一级馆建设经费和全民阅读经费，以及人员经费的增加。</w:t>
      </w:r>
      <w:r>
        <w:rPr>
          <w:rFonts w:ascii="Times New Roman" w:hAnsi="Times New Roman" w:eastAsia="方正仿宋_GBK" w:cs="方正仿宋_GBK"/>
          <w:sz w:val="32"/>
          <w:szCs w:val="32"/>
          <w:shd w:val="clear" w:color="auto" w:fill="FFFFFF"/>
        </w:rPr>
        <w:t>较年初预算数减少3.90万元，下降1.52%。主要原因是</w:t>
      </w:r>
      <w:r>
        <w:rPr>
          <w:rFonts w:hint="eastAsia" w:ascii="Times New Roman" w:hAnsi="Times New Roman" w:eastAsia="仿宋_GB2312"/>
          <w:sz w:val="32"/>
          <w:szCs w:val="32"/>
        </w:rPr>
        <w:t>2022年结转免费开放资金</w:t>
      </w:r>
      <w:r>
        <w:rPr>
          <w:rFonts w:hint="eastAsia" w:ascii="Times New Roman" w:hAnsi="Times New Roman" w:eastAsia="仿宋_GB2312"/>
          <w:sz w:val="32"/>
          <w:szCs w:val="32"/>
          <w:lang w:eastAsia="zh-CN"/>
        </w:rPr>
        <w:t>。</w:t>
      </w:r>
    </w:p>
    <w:p w14:paraId="5D3F5C43">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3" w:firstLineChars="200"/>
        <w:jc w:val="both"/>
        <w:textAlignment w:val="auto"/>
        <w:rPr>
          <w:rFonts w:hint="eastAsia" w:ascii="Times New Roman" w:hAnsi="Times New Roman" w:eastAsia="方正仿宋_GBK" w:cs="方正仿宋_GBK"/>
          <w:sz w:val="32"/>
          <w:szCs w:val="32"/>
          <w:shd w:val="clear" w:color="auto" w:fill="FFFFFF"/>
          <w:lang w:eastAsia="zh-CN"/>
        </w:rPr>
      </w:pPr>
      <w:r>
        <w:rPr>
          <w:rStyle w:val="20"/>
          <w:rFonts w:ascii="Times New Roman" w:hAnsi="Times New Roman"/>
          <w:b/>
          <w:bCs/>
        </w:rPr>
        <w:t>3.结转结余情况</w:t>
      </w:r>
      <w:r>
        <w:rPr>
          <w:rStyle w:val="20"/>
          <w:rFonts w:ascii="Times New Roman" w:hAnsi="Times New Roman"/>
        </w:rPr>
        <w:t>。</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02207B8E">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ascii="Times New Roman" w:hAnsi="Times New Roman" w:eastAsia="方正仿宋_GBK" w:cs="方正仿宋_GBK"/>
          <w:sz w:val="32"/>
          <w:szCs w:val="32"/>
          <w:shd w:val="clear" w:color="auto" w:fill="FFFFFF"/>
        </w:rPr>
      </w:pPr>
      <w:r>
        <w:rPr>
          <w:rStyle w:val="20"/>
          <w:rFonts w:ascii="Times New Roman" w:hAnsi="Times New Roman"/>
          <w:b/>
          <w:bCs/>
        </w:rPr>
        <w:t>4.比较情况</w:t>
      </w:r>
      <w:r>
        <w:rPr>
          <w:rStyle w:val="20"/>
          <w:rFonts w:ascii="Times New Roman" w:hAnsi="Times New Roman"/>
        </w:rPr>
        <w:t>。本单位2023年度一般公共预算财政拨款支出主要用于以下</w:t>
      </w:r>
      <w:r>
        <w:rPr>
          <w:rFonts w:ascii="Times New Roman" w:hAnsi="Times New Roman" w:eastAsia="方正仿宋_GBK" w:cs="方正仿宋_GBK"/>
          <w:sz w:val="32"/>
          <w:szCs w:val="32"/>
          <w:shd w:val="clear" w:color="auto" w:fill="FFFFFF"/>
        </w:rPr>
        <w:t>几个方面：</w:t>
      </w:r>
    </w:p>
    <w:p w14:paraId="5011A599">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仿宋_GB2312"/>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）文化旅游体育与传媒支出</w:t>
      </w:r>
      <w:r>
        <w:rPr>
          <w:rFonts w:ascii="Times New Roman" w:hAnsi="Times New Roman" w:eastAsia="方正仿宋_GBK" w:cs="方正仿宋_GBK"/>
          <w:sz w:val="32"/>
          <w:szCs w:val="32"/>
        </w:rPr>
        <w:t>212.98</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84.49</w:t>
      </w:r>
      <w:r>
        <w:rPr>
          <w:rFonts w:ascii="Times New Roman" w:hAnsi="Times New Roman" w:eastAsia="方正仿宋_GBK" w:cs="方正仿宋_GBK"/>
          <w:sz w:val="32"/>
          <w:szCs w:val="32"/>
          <w:shd w:val="clear" w:color="auto" w:fill="FFFFFF"/>
        </w:rPr>
        <w:t>%，较年初预算数减少7.21万元，下降3.27%，主要原因是</w:t>
      </w:r>
      <w:r>
        <w:rPr>
          <w:rFonts w:hint="eastAsia" w:ascii="Times New Roman" w:hAnsi="Times New Roman" w:eastAsia="仿宋_GB2312"/>
          <w:sz w:val="32"/>
          <w:szCs w:val="32"/>
        </w:rPr>
        <w:t>2022年结转免费开放资金</w:t>
      </w:r>
      <w:r>
        <w:rPr>
          <w:rFonts w:hint="eastAsia" w:ascii="Times New Roman" w:hAnsi="Times New Roman" w:eastAsia="仿宋_GB2312"/>
          <w:sz w:val="32"/>
          <w:szCs w:val="32"/>
          <w:lang w:eastAsia="zh-CN"/>
        </w:rPr>
        <w:t>。</w:t>
      </w:r>
    </w:p>
    <w:p w14:paraId="7A5AE9A8">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宋体"/>
          <w:kern w:val="0"/>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26.09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10.35</w:t>
      </w:r>
      <w:r>
        <w:rPr>
          <w:rFonts w:ascii="Times New Roman" w:hAnsi="Times New Roman" w:eastAsia="方正仿宋_GBK" w:cs="方正仿宋_GBK"/>
          <w:sz w:val="32"/>
          <w:szCs w:val="32"/>
          <w:shd w:val="clear" w:color="auto" w:fill="FFFFFF"/>
        </w:rPr>
        <w:t>%，较年初预算数增加3.10万元，增长13.48%，主要原因是</w:t>
      </w:r>
      <w:r>
        <w:rPr>
          <w:rFonts w:hint="eastAsia" w:ascii="Times New Roman" w:hAnsi="Times New Roman" w:eastAsia="方正仿宋_GBK" w:cs="宋体"/>
          <w:kern w:val="0"/>
          <w:sz w:val="32"/>
          <w:szCs w:val="32"/>
        </w:rPr>
        <w:t>工资待遇上涨</w:t>
      </w:r>
      <w:r>
        <w:rPr>
          <w:rFonts w:hint="eastAsia" w:ascii="Times New Roman" w:hAnsi="Times New Roman" w:eastAsia="方正仿宋_GBK" w:cs="宋体"/>
          <w:kern w:val="0"/>
          <w:sz w:val="32"/>
          <w:szCs w:val="32"/>
          <w:lang w:eastAsia="zh-CN"/>
        </w:rPr>
        <w:t>。</w:t>
      </w:r>
    </w:p>
    <w:p w14:paraId="472C3E86">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7.15</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2.83</w:t>
      </w:r>
      <w:r>
        <w:rPr>
          <w:rFonts w:ascii="Times New Roman" w:hAnsi="Times New Roman" w:eastAsia="方正仿宋_GBK" w:cs="方正仿宋_GBK"/>
          <w:sz w:val="32"/>
          <w:szCs w:val="32"/>
          <w:shd w:val="clear" w:color="auto" w:fill="FFFFFF"/>
        </w:rPr>
        <w:t>%，较年初预算数增加0.09万元，增长1.27%，主要原因是</w:t>
      </w:r>
      <w:r>
        <w:rPr>
          <w:rFonts w:hint="eastAsia" w:ascii="Times New Roman" w:hAnsi="Times New Roman" w:eastAsia="方正仿宋_GBK" w:cs="宋体"/>
          <w:kern w:val="0"/>
          <w:sz w:val="32"/>
          <w:szCs w:val="32"/>
          <w:lang w:eastAsia="zh-CN"/>
        </w:rPr>
        <w:t>调资</w:t>
      </w:r>
      <w:r>
        <w:rPr>
          <w:rFonts w:hint="eastAsia" w:ascii="Times New Roman" w:hAnsi="Times New Roman" w:eastAsia="方正仿宋_GBK" w:cs="宋体"/>
          <w:kern w:val="0"/>
          <w:sz w:val="32"/>
          <w:szCs w:val="32"/>
        </w:rPr>
        <w:t>导致</w:t>
      </w:r>
      <w:r>
        <w:rPr>
          <w:rFonts w:hint="eastAsia" w:ascii="Times New Roman" w:hAnsi="Times New Roman" w:eastAsia="方正仿宋_GBK" w:cs="宋体"/>
          <w:kern w:val="0"/>
          <w:sz w:val="32"/>
          <w:szCs w:val="32"/>
          <w:lang w:eastAsia="zh-CN"/>
        </w:rPr>
        <w:t>保险</w:t>
      </w:r>
      <w:r>
        <w:rPr>
          <w:rFonts w:hint="eastAsia" w:ascii="Times New Roman" w:hAnsi="Times New Roman" w:eastAsia="方正仿宋_GBK" w:cs="宋体"/>
          <w:kern w:val="0"/>
          <w:sz w:val="32"/>
          <w:szCs w:val="32"/>
        </w:rPr>
        <w:t>增加</w:t>
      </w:r>
      <w:r>
        <w:rPr>
          <w:rFonts w:hint="eastAsia" w:ascii="Times New Roman" w:hAnsi="Times New Roman" w:eastAsia="方正仿宋_GBK" w:cs="宋体"/>
          <w:kern w:val="0"/>
          <w:sz w:val="32"/>
          <w:szCs w:val="32"/>
          <w:lang w:eastAsia="zh-CN"/>
        </w:rPr>
        <w:t>。</w:t>
      </w:r>
    </w:p>
    <w:p w14:paraId="71C45FF0">
      <w:pPr>
        <w:pageBreakBefore w:val="0"/>
        <w:widowControl/>
        <w:shd w:val="clear"/>
        <w:kinsoku/>
        <w:wordWrap/>
        <w:overflowPunct/>
        <w:topLinePunct w:val="0"/>
        <w:autoSpaceDN/>
        <w:bidi w:val="0"/>
        <w:adjustRightInd/>
        <w:spacing w:beforeAutospacing="0" w:afterAutospacing="0" w:line="594" w:lineRule="exact"/>
        <w:ind w:left="0" w:leftChars="0" w:firstLine="640" w:firstLineChars="200"/>
        <w:textAlignment w:val="auto"/>
        <w:rPr>
          <w:rFonts w:hint="eastAsia" w:ascii="Times New Roman" w:hAnsi="Times New Roman" w:eastAsia="方正仿宋_GBK" w:cs="方正仿宋_GBK"/>
          <w:color w:val="FF0000"/>
          <w:sz w:val="32"/>
          <w:szCs w:val="32"/>
          <w:shd w:val="clear" w:color="auto" w:fill="FFFFFF"/>
          <w:lang w:eastAsia="zh-CN"/>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住房保障支出5.86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2.33</w:t>
      </w:r>
      <w:r>
        <w:rPr>
          <w:rFonts w:ascii="Times New Roman" w:hAnsi="Times New Roman" w:eastAsia="方正仿宋_GBK" w:cs="方正仿宋_GBK"/>
          <w:sz w:val="32"/>
          <w:szCs w:val="32"/>
          <w:shd w:val="clear" w:color="auto" w:fill="FFFFFF"/>
        </w:rPr>
        <w:t>%，较年初预算数增加0.12万元，增长2.09%，主要原因是</w:t>
      </w:r>
      <w:r>
        <w:rPr>
          <w:rFonts w:hint="eastAsia" w:ascii="Times New Roman" w:hAnsi="Times New Roman" w:eastAsia="方正仿宋_GBK" w:cs="宋体"/>
          <w:kern w:val="0"/>
          <w:sz w:val="32"/>
          <w:szCs w:val="32"/>
          <w:lang w:eastAsia="zh-CN"/>
        </w:rPr>
        <w:t>调资</w:t>
      </w:r>
      <w:r>
        <w:rPr>
          <w:rFonts w:hint="eastAsia" w:ascii="Times New Roman" w:hAnsi="Times New Roman" w:eastAsia="方正仿宋_GBK" w:cs="宋体"/>
          <w:kern w:val="0"/>
          <w:sz w:val="32"/>
          <w:szCs w:val="32"/>
        </w:rPr>
        <w:t>导致公积金增加</w:t>
      </w:r>
      <w:r>
        <w:rPr>
          <w:rFonts w:hint="eastAsia" w:ascii="Times New Roman" w:hAnsi="Times New Roman" w:eastAsia="方正仿宋_GBK" w:cs="宋体"/>
          <w:kern w:val="0"/>
          <w:sz w:val="32"/>
          <w:szCs w:val="32"/>
          <w:lang w:eastAsia="zh-CN"/>
        </w:rPr>
        <w:t>。</w:t>
      </w:r>
    </w:p>
    <w:p w14:paraId="63540F4D">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（四）一般公共预算财政拨款基本支出决算情况说明</w:t>
      </w:r>
    </w:p>
    <w:p w14:paraId="7115B554">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138.69</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119.73</w:t>
      </w:r>
      <w:r>
        <w:rPr>
          <w:rFonts w:ascii="Times New Roman" w:hAnsi="Times New Roman" w:eastAsia="方正仿宋_GBK" w:cs="方正仿宋_GBK"/>
          <w:sz w:val="32"/>
          <w:szCs w:val="32"/>
          <w:shd w:val="clear" w:color="auto" w:fill="FFFFFF"/>
        </w:rPr>
        <w:t>万元，较上年决算数增加5.56万元，增长4.87%，主要原因是</w:t>
      </w:r>
      <w:r>
        <w:rPr>
          <w:rFonts w:hint="eastAsia" w:ascii="Times New Roman" w:hAnsi="Times New Roman" w:eastAsia="方正仿宋_GBK" w:cs="宋体"/>
          <w:kern w:val="0"/>
          <w:sz w:val="32"/>
          <w:szCs w:val="32"/>
          <w:lang w:eastAsia="zh-CN"/>
        </w:rPr>
        <w:t>调资</w:t>
      </w:r>
      <w:r>
        <w:rPr>
          <w:rFonts w:hint="eastAsia" w:ascii="Times New Roman" w:hAnsi="Times New Roman" w:eastAsia="方正仿宋_GBK" w:cs="宋体"/>
          <w:kern w:val="0"/>
          <w:sz w:val="32"/>
          <w:szCs w:val="32"/>
        </w:rPr>
        <w:t>导致</w:t>
      </w:r>
      <w:r>
        <w:rPr>
          <w:rFonts w:hint="eastAsia" w:ascii="Times New Roman" w:hAnsi="Times New Roman" w:eastAsia="方正仿宋_GBK" w:cs="宋体"/>
          <w:kern w:val="0"/>
          <w:sz w:val="32"/>
          <w:szCs w:val="32"/>
          <w:lang w:eastAsia="zh-CN"/>
        </w:rPr>
        <w:t>导致待遇上涨，</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宋体"/>
          <w:kern w:val="0"/>
          <w:sz w:val="32"/>
          <w:szCs w:val="32"/>
        </w:rPr>
        <w:t>基本工资、绩效工资、社会保障缴费、住房公积金、退休人员</w:t>
      </w:r>
      <w:r>
        <w:rPr>
          <w:rFonts w:hint="eastAsia" w:ascii="Times New Roman" w:hAnsi="Times New Roman" w:eastAsia="方正仿宋_GBK" w:cs="宋体"/>
          <w:kern w:val="0"/>
          <w:sz w:val="32"/>
          <w:szCs w:val="32"/>
          <w:lang w:eastAsia="zh-CN"/>
        </w:rPr>
        <w:t>健康休养费</w:t>
      </w:r>
      <w:r>
        <w:rPr>
          <w:rFonts w:hint="eastAsia" w:ascii="Times New Roman" w:hAnsi="Times New Roman" w:eastAsia="方正仿宋_GBK" w:cs="方正仿宋_GBK"/>
          <w:color w:val="auto"/>
          <w:sz w:val="32"/>
          <w:szCs w:val="32"/>
          <w:shd w:val="clear" w:color="auto" w:fill="FFFFFF"/>
          <w:lang w:eastAsia="zh-CN"/>
        </w:rPr>
        <w:t>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18.96</w:t>
      </w:r>
      <w:r>
        <w:rPr>
          <w:rFonts w:ascii="Times New Roman" w:hAnsi="Times New Roman" w:eastAsia="方正仿宋_GBK" w:cs="方正仿宋_GBK"/>
          <w:sz w:val="32"/>
          <w:szCs w:val="32"/>
          <w:shd w:val="clear" w:color="auto" w:fill="FFFFFF"/>
        </w:rPr>
        <w:t>万元，较上年决算数增加0.22万元，增长1.17%，主要原因是</w:t>
      </w:r>
      <w:r>
        <w:rPr>
          <w:rFonts w:hint="eastAsia" w:ascii="Times New Roman" w:hAnsi="Times New Roman" w:eastAsia="方正仿宋_GBK" w:cs="方正仿宋_GBK"/>
          <w:sz w:val="32"/>
          <w:szCs w:val="32"/>
          <w:shd w:val="clear" w:color="auto" w:fill="FFFFFF"/>
          <w:lang w:eastAsia="zh-CN"/>
        </w:rPr>
        <w:t>工会经费增加，</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宋体"/>
          <w:kern w:val="0"/>
          <w:sz w:val="32"/>
          <w:szCs w:val="32"/>
        </w:rPr>
        <w:t>主要包括办公费、</w:t>
      </w:r>
      <w:r>
        <w:rPr>
          <w:rFonts w:hint="eastAsia" w:ascii="Times New Roman" w:hAnsi="Times New Roman" w:eastAsia="方正仿宋_GBK" w:cs="宋体"/>
          <w:kern w:val="0"/>
          <w:sz w:val="32"/>
          <w:szCs w:val="32"/>
          <w:lang w:eastAsia="zh-CN"/>
        </w:rPr>
        <w:t>劳务费、</w:t>
      </w:r>
      <w:r>
        <w:rPr>
          <w:rFonts w:hint="eastAsia" w:ascii="Times New Roman" w:hAnsi="Times New Roman" w:eastAsia="方正仿宋_GBK" w:cs="宋体"/>
          <w:kern w:val="0"/>
          <w:sz w:val="32"/>
          <w:szCs w:val="32"/>
        </w:rPr>
        <w:t>水电费等</w:t>
      </w:r>
      <w:r>
        <w:rPr>
          <w:rFonts w:hint="eastAsia" w:ascii="Times New Roman" w:hAnsi="Times New Roman" w:eastAsia="方正仿宋_GBK" w:cs="宋体"/>
          <w:kern w:val="0"/>
          <w:sz w:val="32"/>
          <w:szCs w:val="32"/>
          <w:lang w:eastAsia="zh-CN"/>
        </w:rPr>
        <w:t>。</w:t>
      </w:r>
    </w:p>
    <w:p w14:paraId="053CD926">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（五）政府性基金预算收支决算情况说明</w:t>
      </w:r>
    </w:p>
    <w:p w14:paraId="6706FD27">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Style w:val="14"/>
          <w:rFonts w:ascii="Times New Roman" w:hAnsi="Times New Roman" w:eastAsia="方正仿宋_GBK" w:cs="方正仿宋_GBK"/>
          <w:b w:val="0"/>
          <w:bCs/>
          <w:color w:val="auto"/>
          <w:sz w:val="32"/>
          <w:szCs w:val="32"/>
          <w:shd w:val="clear" w:color="auto" w:fill="auto"/>
        </w:rPr>
        <w:t>本单位2023年度无</w:t>
      </w:r>
      <w:r>
        <w:rPr>
          <w:rStyle w:val="14"/>
          <w:rFonts w:hint="eastAsia" w:ascii="Times New Roman" w:hAnsi="Times New Roman" w:eastAsia="方正仿宋_GBK" w:cs="方正仿宋_GBK"/>
          <w:b w:val="0"/>
          <w:bCs/>
          <w:color w:val="auto"/>
          <w:sz w:val="32"/>
          <w:szCs w:val="32"/>
          <w:shd w:val="clear" w:color="auto" w:fill="auto"/>
          <w:lang w:eastAsia="zh-CN"/>
        </w:rPr>
        <w:t>政府性基金</w:t>
      </w:r>
      <w:r>
        <w:rPr>
          <w:rStyle w:val="14"/>
          <w:rFonts w:ascii="Times New Roman" w:hAnsi="Times New Roman" w:eastAsia="方正仿宋_GBK" w:cs="方正仿宋_GBK"/>
          <w:b w:val="0"/>
          <w:bCs/>
          <w:color w:val="auto"/>
          <w:sz w:val="32"/>
          <w:szCs w:val="32"/>
          <w:shd w:val="clear" w:color="auto" w:fill="auto"/>
        </w:rPr>
        <w:t>预算财政拨款</w:t>
      </w:r>
      <w:r>
        <w:rPr>
          <w:rStyle w:val="14"/>
          <w:rFonts w:hint="eastAsia" w:ascii="Times New Roman" w:hAnsi="Times New Roman" w:eastAsia="方正仿宋_GBK" w:cs="方正仿宋_GBK"/>
          <w:b w:val="0"/>
          <w:bCs/>
          <w:color w:val="auto"/>
          <w:sz w:val="32"/>
          <w:szCs w:val="32"/>
          <w:shd w:val="clear" w:color="auto" w:fill="auto"/>
          <w:lang w:eastAsia="zh-CN"/>
        </w:rPr>
        <w:t>收支</w:t>
      </w:r>
      <w:r>
        <w:rPr>
          <w:rStyle w:val="14"/>
          <w:rFonts w:ascii="Times New Roman" w:hAnsi="Times New Roman" w:eastAsia="方正仿宋_GBK" w:cs="方正仿宋_GBK"/>
          <w:b w:val="0"/>
          <w:bCs/>
          <w:color w:val="auto"/>
          <w:sz w:val="32"/>
          <w:szCs w:val="32"/>
          <w:shd w:val="clear" w:color="auto" w:fill="auto"/>
        </w:rPr>
        <w:t>。</w:t>
      </w:r>
    </w:p>
    <w:p w14:paraId="2DC9286D">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（六）国有资本经营预算财政拨款支出决算情况说明</w:t>
      </w:r>
    </w:p>
    <w:p w14:paraId="78B96C0D">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color w:val="auto"/>
          <w:sz w:val="32"/>
          <w:szCs w:val="32"/>
          <w:shd w:val="clear" w:color="auto" w:fill="auto"/>
        </w:rPr>
      </w:pPr>
      <w:r>
        <w:rPr>
          <w:rStyle w:val="14"/>
          <w:rFonts w:ascii="Times New Roman" w:hAnsi="Times New Roman" w:eastAsia="方正仿宋_GBK" w:cs="方正仿宋_GBK"/>
          <w:b w:val="0"/>
          <w:bCs/>
          <w:color w:val="auto"/>
          <w:sz w:val="32"/>
          <w:szCs w:val="32"/>
          <w:shd w:val="clear" w:color="auto" w:fill="auto"/>
        </w:rPr>
        <w:t>本单位2023年度无国有资本经营预算财政拨款支出。</w:t>
      </w:r>
    </w:p>
    <w:p w14:paraId="0B80DB62">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08214C05">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textAlignment w:val="auto"/>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（一）“三公”经费支出总体情况说明</w:t>
      </w:r>
    </w:p>
    <w:p w14:paraId="5E0211E4">
      <w:pPr>
        <w:pageBreakBefore w:val="0"/>
        <w:widowControl/>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default"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2023年度“三公”经费支出共计</w:t>
      </w:r>
      <w:r>
        <w:rPr>
          <w:rFonts w:hint="eastAsia" w:ascii="Times New Roman" w:hAnsi="Times New Roman" w:eastAsia="方正仿宋_GBK" w:cs="方正仿宋_GBK"/>
          <w:sz w:val="32"/>
          <w:szCs w:val="32"/>
        </w:rPr>
        <w:t>1.06</w:t>
      </w:r>
      <w:r>
        <w:rPr>
          <w:rFonts w:hint="eastAsia" w:ascii="Times New Roman" w:hAnsi="Times New Roman" w:eastAsia="方正仿宋_GBK" w:cs="方正仿宋_GBK"/>
          <w:sz w:val="32"/>
          <w:szCs w:val="32"/>
          <w:shd w:val="clear" w:color="auto" w:fill="FFFFFF"/>
        </w:rPr>
        <w:t>万元，较年初预算数减少0.94万元，下降47.00%，主要原因是</w:t>
      </w:r>
      <w:r>
        <w:rPr>
          <w:rFonts w:hint="eastAsia" w:ascii="Times New Roman" w:hAnsi="Times New Roman" w:eastAsia="方正仿宋_GBK"/>
          <w:sz w:val="32"/>
          <w:szCs w:val="32"/>
        </w:rPr>
        <w:t>厉行节约，从严控制三公经费支出</w:t>
      </w:r>
      <w:r>
        <w:rPr>
          <w:rFonts w:hint="eastAsia" w:ascii="Times New Roman" w:hAnsi="Times New Roman" w:eastAsia="方正仿宋_GBK"/>
          <w:sz w:val="32"/>
          <w:szCs w:val="32"/>
          <w:lang w:eastAsia="zh-CN"/>
        </w:rPr>
        <w:t>。</w:t>
      </w:r>
      <w:r>
        <w:rPr>
          <w:rFonts w:hint="eastAsia" w:ascii="Times New Roman" w:hAnsi="Times New Roman" w:eastAsia="方正仿宋_GBK" w:cs="方正仿宋_GBK"/>
          <w:sz w:val="32"/>
          <w:szCs w:val="32"/>
          <w:shd w:val="clear" w:color="auto" w:fill="FFFFFF"/>
        </w:rPr>
        <w:t>较上年支出数增加0.73万元，增长221.21%，主要原因是</w:t>
      </w:r>
      <w:r>
        <w:rPr>
          <w:rFonts w:hint="eastAsia" w:ascii="Times New Roman" w:hAnsi="Times New Roman" w:eastAsia="方正仿宋_GBK" w:cs="方正仿宋_GBK"/>
          <w:sz w:val="32"/>
          <w:szCs w:val="32"/>
        </w:rPr>
        <w:t>流动图书车</w:t>
      </w:r>
      <w:r>
        <w:rPr>
          <w:rFonts w:hint="eastAsia" w:ascii="Times New Roman" w:hAnsi="Times New Roman" w:eastAsia="方正仿宋_GBK" w:cs="方正仿宋_GBK"/>
          <w:sz w:val="32"/>
          <w:szCs w:val="32"/>
          <w:lang w:eastAsia="zh-CN"/>
        </w:rPr>
        <w:t>运行费用增加</w:t>
      </w:r>
      <w:r>
        <w:rPr>
          <w:rFonts w:hint="eastAsia" w:ascii="Times New Roman" w:hAnsi="Times New Roman" w:eastAsia="方正仿宋_GBK" w:cs="方正仿宋_GBK"/>
          <w:sz w:val="32"/>
          <w:szCs w:val="32"/>
        </w:rPr>
        <w:t>。</w:t>
      </w:r>
    </w:p>
    <w:p w14:paraId="422DDD32">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（二）“三公”经费分项支出情况</w:t>
      </w:r>
    </w:p>
    <w:p w14:paraId="4B98AB60">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ascii="Times New Roman" w:hAnsi="Times New Roman" w:eastAsia="方正仿宋_GBK" w:cs="方正仿宋_GBK"/>
          <w:sz w:val="32"/>
          <w:szCs w:val="32"/>
          <w:shd w:val="clear" w:color="auto" w:fill="FFFFFF"/>
        </w:rPr>
        <w:t>2023年度本单位因公出国（境）费用</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费用支出较年初预算数无增减</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较上年支出数无增减</w:t>
      </w:r>
      <w:r>
        <w:rPr>
          <w:rFonts w:hint="eastAsia" w:ascii="Times New Roman" w:hAnsi="Times New Roman" w:eastAsia="方正仿宋_GBK" w:cs="方正仿宋_GBK"/>
          <w:sz w:val="32"/>
          <w:szCs w:val="32"/>
          <w:shd w:val="clear" w:color="auto" w:fill="FFFFFF"/>
          <w:lang w:eastAsia="zh-CN"/>
        </w:rPr>
        <w:t>。</w:t>
      </w:r>
    </w:p>
    <w:p w14:paraId="7FD86BE6">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公务车购置费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万元，费用支出较年初预算数无增减，较上年支出数无增减</w:t>
      </w:r>
      <w:r>
        <w:rPr>
          <w:rFonts w:hint="eastAsia" w:ascii="Times New Roman" w:hAnsi="Times New Roman" w:eastAsia="方正仿宋_GBK" w:cs="方正仿宋_GBK"/>
          <w:sz w:val="32"/>
          <w:szCs w:val="32"/>
          <w:shd w:val="clear" w:color="auto" w:fill="FFFFFF"/>
          <w:lang w:eastAsia="zh-CN"/>
        </w:rPr>
        <w:t>。</w:t>
      </w:r>
    </w:p>
    <w:p w14:paraId="5FDF01C6">
      <w:pPr>
        <w:pageBreakBefore w:val="0"/>
        <w:widowControl/>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公务车运行维护费</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cs="方正仿宋_GBK"/>
          <w:color w:val="000000" w:themeColor="text1"/>
          <w:sz w:val="32"/>
          <w:szCs w:val="32"/>
          <w:shd w:val="clear" w:color="auto" w:fill="FFFFFF"/>
          <w:lang w:eastAsia="zh-CN"/>
        </w:rPr>
        <w:t>流动图书车的运行，</w:t>
      </w:r>
      <w:r>
        <w:rPr>
          <w:rFonts w:hint="eastAsia" w:ascii="Times New Roman" w:hAnsi="Times New Roman" w:eastAsia="方正仿宋_GBK" w:cs="方正仿宋_GBK"/>
          <w:color w:val="000000" w:themeColor="text1"/>
          <w:sz w:val="32"/>
          <w:szCs w:val="32"/>
          <w:shd w:val="clear" w:color="auto" w:fill="FFFFFF"/>
        </w:rPr>
        <w:t>费用支出较年初预算数无增减</w:t>
      </w:r>
      <w:r>
        <w:rPr>
          <w:rFonts w:hint="eastAsia" w:ascii="Times New Roman" w:hAnsi="Times New Roman" w:eastAsia="方正仿宋_GBK" w:cs="方正仿宋_GBK"/>
          <w:color w:val="000000" w:themeColor="text1"/>
          <w:sz w:val="32"/>
          <w:szCs w:val="32"/>
          <w:shd w:val="clear" w:color="auto" w:fill="FFFFFF"/>
          <w:lang w:eastAsia="zh-CN"/>
        </w:rPr>
        <w:t>。</w:t>
      </w:r>
      <w:r>
        <w:rPr>
          <w:rFonts w:hint="eastAsia" w:ascii="Times New Roman" w:hAnsi="Times New Roman" w:eastAsia="方正仿宋_GBK" w:cs="方正仿宋_GBK"/>
          <w:color w:val="000000" w:themeColor="text1"/>
          <w:sz w:val="32"/>
          <w:szCs w:val="32"/>
          <w:shd w:val="clear" w:color="auto" w:fill="FFFFFF"/>
        </w:rPr>
        <w:t>较上年支出数增加0.87万元，增长669.23%，主要原因是</w:t>
      </w:r>
      <w:r>
        <w:rPr>
          <w:rFonts w:hint="eastAsia" w:ascii="Times New Roman" w:hAnsi="Times New Roman" w:eastAsia="方正仿宋_GBK" w:cs="方正仿宋_GBK"/>
          <w:color w:val="000000" w:themeColor="text1"/>
          <w:sz w:val="32"/>
          <w:szCs w:val="32"/>
        </w:rPr>
        <w:t>是2023年评估定级活动需</w:t>
      </w:r>
      <w:r>
        <w:rPr>
          <w:rFonts w:hint="eastAsia" w:ascii="Times New Roman" w:hAnsi="Times New Roman" w:eastAsia="方正仿宋_GBK" w:cs="方正仿宋_GBK"/>
          <w:sz w:val="32"/>
          <w:szCs w:val="32"/>
        </w:rPr>
        <w:t>求增多，流动图书车年久维修费增加。</w:t>
      </w:r>
    </w:p>
    <w:p w14:paraId="2233CC9D">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公务接待费</w:t>
      </w:r>
      <w:r>
        <w:rPr>
          <w:rFonts w:ascii="Times New Roman" w:hAnsi="Times New Roman" w:eastAsia="方正仿宋_GBK" w:cs="方正仿宋_GBK"/>
          <w:sz w:val="32"/>
          <w:szCs w:val="32"/>
        </w:rPr>
        <w:t>0.06</w:t>
      </w:r>
      <w:r>
        <w:rPr>
          <w:rFonts w:ascii="Times New Roman" w:hAnsi="Times New Roman" w:eastAsia="方正仿宋_GBK" w:cs="方正仿宋_GBK"/>
          <w:sz w:val="32"/>
          <w:szCs w:val="32"/>
          <w:shd w:val="clear" w:color="auto" w:fill="FFFFFF"/>
        </w:rPr>
        <w:t>万元，主要用于</w:t>
      </w:r>
      <w:r>
        <w:rPr>
          <w:rFonts w:hint="eastAsia" w:ascii="Times New Roman" w:hAnsi="Times New Roman" w:eastAsia="方正仿宋_GBK"/>
          <w:sz w:val="32"/>
          <w:szCs w:val="32"/>
        </w:rPr>
        <w:t>接待</w:t>
      </w:r>
      <w:r>
        <w:rPr>
          <w:rFonts w:hint="eastAsia" w:ascii="Times New Roman" w:hAnsi="Times New Roman" w:eastAsia="方正仿宋_GBK"/>
          <w:sz w:val="32"/>
          <w:szCs w:val="32"/>
          <w:lang w:eastAsia="zh-CN"/>
        </w:rPr>
        <w:t>评估定级专家组检查</w:t>
      </w:r>
      <w:r>
        <w:rPr>
          <w:rFonts w:hint="eastAsia" w:ascii="Times New Roman" w:hAnsi="Times New Roman" w:eastAsia="方正仿宋_GBK" w:cs="方正仿宋_GBK"/>
          <w:sz w:val="32"/>
          <w:szCs w:val="32"/>
          <w:shd w:val="clear" w:color="auto" w:fill="FFFFFF"/>
          <w:lang w:eastAsia="zh-CN"/>
        </w:rPr>
        <w:t>，费</w:t>
      </w:r>
      <w:r>
        <w:rPr>
          <w:rFonts w:ascii="Times New Roman" w:hAnsi="Times New Roman" w:eastAsia="方正仿宋_GBK" w:cs="方正仿宋_GBK"/>
          <w:sz w:val="32"/>
          <w:szCs w:val="32"/>
          <w:shd w:val="clear" w:color="auto" w:fill="FFFFFF"/>
        </w:rPr>
        <w:t>用支出较年初预算数减少0.94万元，下降94.00%，主要原因</w:t>
      </w:r>
      <w:r>
        <w:rPr>
          <w:rFonts w:hint="eastAsia" w:ascii="Times New Roman" w:hAnsi="Times New Roman" w:eastAsia="方正仿宋_GBK"/>
          <w:sz w:val="32"/>
          <w:szCs w:val="32"/>
        </w:rPr>
        <w:t>厉行节约，从严控制三公经费支出</w:t>
      </w:r>
      <w:r>
        <w:rPr>
          <w:rFonts w:hint="eastAsia" w:ascii="Times New Roman" w:hAnsi="Times New Roman" w:eastAsia="方正仿宋_GBK"/>
          <w:sz w:val="32"/>
          <w:szCs w:val="32"/>
          <w:lang w:eastAsia="zh-CN"/>
        </w:rPr>
        <w:t>。</w:t>
      </w:r>
      <w:r>
        <w:rPr>
          <w:rFonts w:ascii="Times New Roman" w:hAnsi="Times New Roman" w:eastAsia="方正仿宋_GBK" w:cs="方正仿宋_GBK"/>
          <w:sz w:val="32"/>
          <w:szCs w:val="32"/>
          <w:shd w:val="clear" w:color="auto" w:fill="FFFFFF"/>
        </w:rPr>
        <w:t>较上年支出数减少0.14万元，下降70.00%，主要原因是</w:t>
      </w:r>
      <w:r>
        <w:rPr>
          <w:rFonts w:hint="eastAsia" w:ascii="Times New Roman" w:hAnsi="Times New Roman" w:eastAsia="仿宋_GB2312"/>
          <w:sz w:val="32"/>
          <w:szCs w:val="32"/>
        </w:rPr>
        <w:t>严格落实紧日子要求，减少公务接待，尽量安排工作餐。</w:t>
      </w:r>
    </w:p>
    <w:p w14:paraId="60177809">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（三）“三公”经费实物量情况</w:t>
      </w:r>
    </w:p>
    <w:p w14:paraId="44798F1A">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59.50</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1.00</w:t>
      </w:r>
      <w:r>
        <w:rPr>
          <w:rFonts w:ascii="Times New Roman" w:hAnsi="Times New Roman" w:eastAsia="方正仿宋_GBK" w:cs="方正仿宋_GBK"/>
          <w:sz w:val="32"/>
          <w:szCs w:val="32"/>
          <w:shd w:val="clear" w:color="auto" w:fill="FFFFFF"/>
        </w:rPr>
        <w:t>万元。</w:t>
      </w:r>
    </w:p>
    <w:p w14:paraId="7850BD7B">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31AF581A">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（一）财政拨款会议费和培训费情况说明</w:t>
      </w:r>
    </w:p>
    <w:p w14:paraId="702C5C4C">
      <w:pPr>
        <w:pageBreakBefore w:val="0"/>
        <w:widowControl/>
        <w:shd w:val="clear"/>
        <w:kinsoku/>
        <w:wordWrap/>
        <w:overflowPunct/>
        <w:topLinePunct w:val="0"/>
        <w:autoSpaceDN/>
        <w:bidi w:val="0"/>
        <w:adjustRightInd/>
        <w:snapToGrid w:val="0"/>
        <w:spacing w:beforeAutospacing="0" w:afterAutospacing="0" w:line="594" w:lineRule="exact"/>
        <w:ind w:firstLine="640" w:firstLineChars="200"/>
        <w:textAlignment w:val="auto"/>
        <w:rPr>
          <w:rFonts w:hint="eastAsia" w:ascii="Times New Roman" w:hAnsi="Times New Roman" w:eastAsia="方正仿宋_GBK" w:cs="方正仿宋_GBK"/>
          <w:sz w:val="32"/>
          <w:szCs w:val="32"/>
          <w:lang w:eastAsia="zh-CN"/>
        </w:rPr>
      </w:pPr>
      <w:r>
        <w:rPr>
          <w:rFonts w:ascii="Times New Roman" w:hAnsi="Times New Roman" w:eastAsia="方正仿宋_GBK" w:cs="方正仿宋_GBK"/>
          <w:sz w:val="32"/>
          <w:szCs w:val="32"/>
          <w:shd w:val="clear" w:color="auto" w:fill="FFFFFF"/>
        </w:rPr>
        <w:t>本年度会议费支出</w:t>
      </w:r>
      <w:r>
        <w:rPr>
          <w:rFonts w:ascii="Times New Roman" w:hAnsi="Times New Roman" w:eastAsia="方正仿宋_GBK" w:cs="方正仿宋_GBK"/>
          <w:sz w:val="32"/>
          <w:szCs w:val="32"/>
        </w:rPr>
        <w:t>0.50</w:t>
      </w:r>
      <w:r>
        <w:rPr>
          <w:rFonts w:ascii="Times New Roman" w:hAnsi="Times New Roman" w:eastAsia="方正仿宋_GBK" w:cs="方正仿宋_GBK"/>
          <w:sz w:val="32"/>
          <w:szCs w:val="32"/>
          <w:shd w:val="clear" w:color="auto" w:fill="FFFFFF"/>
        </w:rPr>
        <w:t>万元，较上年决算数增加0.50万元，</w:t>
      </w:r>
      <w:r>
        <w:rPr>
          <w:rFonts w:hint="eastAsia" w:ascii="Times New Roman" w:hAnsi="Times New Roman" w:eastAsia="方正仿宋_GBK" w:cs="方正仿宋_GBK"/>
          <w:sz w:val="32"/>
          <w:szCs w:val="32"/>
          <w:shd w:val="clear" w:color="auto" w:fill="FFFFFF"/>
        </w:rPr>
        <w:t>增长100.00%，主要原因是</w:t>
      </w:r>
      <w:r>
        <w:rPr>
          <w:rFonts w:hint="eastAsia" w:ascii="Times New Roman" w:hAnsi="Times New Roman" w:eastAsia="方正仿宋_GBK" w:cs="方正仿宋_GBK"/>
          <w:sz w:val="32"/>
          <w:szCs w:val="32"/>
        </w:rPr>
        <w:t>2023年参加中图学会及重庆图书馆学会增多</w:t>
      </w:r>
      <w:r>
        <w:rPr>
          <w:rFonts w:hint="eastAsia" w:ascii="Times New Roman" w:hAnsi="Times New Roman" w:eastAsia="方正仿宋_GBK" w:cs="方正仿宋_GBK"/>
          <w:sz w:val="32"/>
          <w:szCs w:val="32"/>
          <w:lang w:eastAsia="zh-CN"/>
        </w:rPr>
        <w:t>。</w:t>
      </w:r>
    </w:p>
    <w:p w14:paraId="62EF6530">
      <w:pPr>
        <w:pageBreakBefore w:val="0"/>
        <w:widowControl/>
        <w:shd w:val="clear"/>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Times New Roman" w:hAnsi="Times New Roman" w:eastAsia="仿宋_GB2312"/>
          <w:sz w:val="32"/>
          <w:szCs w:val="32"/>
        </w:rPr>
      </w:pPr>
      <w:r>
        <w:rPr>
          <w:rFonts w:ascii="Times New Roman" w:hAnsi="Times New Roman" w:eastAsia="方正仿宋_GBK" w:cs="方正仿宋_GBK"/>
          <w:sz w:val="32"/>
          <w:szCs w:val="32"/>
          <w:shd w:val="clear" w:color="auto" w:fill="FFFFFF"/>
        </w:rPr>
        <w:t>本年度培训费支出</w:t>
      </w:r>
      <w:r>
        <w:rPr>
          <w:rFonts w:ascii="Times New Roman" w:hAnsi="Times New Roman" w:eastAsia="方正仿宋_GBK" w:cs="方正仿宋_GBK"/>
          <w:sz w:val="32"/>
          <w:szCs w:val="32"/>
        </w:rPr>
        <w:t>0.50</w:t>
      </w:r>
      <w:r>
        <w:rPr>
          <w:rFonts w:ascii="Times New Roman" w:hAnsi="Times New Roman" w:eastAsia="方正仿宋_GBK" w:cs="方正仿宋_GBK"/>
          <w:sz w:val="32"/>
          <w:szCs w:val="32"/>
          <w:shd w:val="clear" w:color="auto" w:fill="FFFFFF"/>
        </w:rPr>
        <w:t>万元，较上年决算数增加0.50万元，增长100.00%，主要原因是</w:t>
      </w:r>
      <w:r>
        <w:rPr>
          <w:rFonts w:hint="eastAsia" w:ascii="Times New Roman" w:hAnsi="Times New Roman" w:eastAsia="仿宋_GB2312"/>
          <w:sz w:val="32"/>
          <w:szCs w:val="32"/>
        </w:rPr>
        <w:t>2023年参加中图学会及重庆图书馆学会增多。</w:t>
      </w:r>
    </w:p>
    <w:p w14:paraId="0AC6A404">
      <w:pPr>
        <w:pageBreakBefore w:val="0"/>
        <w:widowControl/>
        <w:shd w:val="clear"/>
        <w:kinsoku/>
        <w:wordWrap/>
        <w:overflowPunct/>
        <w:topLinePunct w:val="0"/>
        <w:autoSpaceDN/>
        <w:bidi w:val="0"/>
        <w:adjustRightInd/>
        <w:snapToGrid w:val="0"/>
        <w:spacing w:beforeAutospacing="0" w:afterAutospacing="0" w:line="594"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14:paraId="3D218611">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auto"/>
          <w:sz w:val="32"/>
          <w:szCs w:val="32"/>
        </w:rPr>
      </w:pPr>
      <w:r>
        <w:rPr>
          <w:rFonts w:hint="default" w:ascii="Times New Roman" w:hAnsi="Times New Roman" w:eastAsia="方正仿宋_GBK" w:cs="方正仿宋_GBK"/>
          <w:color w:val="auto"/>
          <w:sz w:val="32"/>
          <w:szCs w:val="32"/>
        </w:rPr>
        <w:t>按照部门决算列报口径，我单位不在机关运行经费统计范围之内。</w:t>
      </w:r>
    </w:p>
    <w:p w14:paraId="39477AEF">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14:paraId="6220E227">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截至2023年12月31日，本单位共有车辆</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辆，其中，应急保障用车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w:t>
      </w:r>
      <w:r>
        <w:rPr>
          <w:rFonts w:hint="eastAsia" w:ascii="Times New Roman" w:hAnsi="Times New Roman" w:eastAsia="方正仿宋_GBK" w:cs="方正仿宋_GBK"/>
          <w:sz w:val="32"/>
          <w:szCs w:val="32"/>
          <w:shd w:val="clear" w:color="auto" w:fill="FFFFFF"/>
          <w:lang w:eastAsia="zh-CN"/>
        </w:rPr>
        <w:t>。</w:t>
      </w:r>
      <w:r>
        <w:rPr>
          <w:rFonts w:ascii="Times New Roman" w:hAnsi="Times New Roman" w:eastAsia="方正仿宋_GBK" w:cs="方正仿宋_GBK"/>
          <w:sz w:val="32"/>
          <w:szCs w:val="32"/>
          <w:shd w:val="clear" w:color="auto" w:fill="FFFFFF"/>
        </w:rPr>
        <w:t>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14:paraId="59EE05C9">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14:paraId="6F9564CD">
      <w:pPr>
        <w:pStyle w:val="3"/>
        <w:pageBreakBefore w:val="0"/>
        <w:widowControl/>
        <w:shd w:val="clear"/>
        <w:kinsoku/>
        <w:wordWrap/>
        <w:overflowPunct/>
        <w:topLinePunct w:val="0"/>
        <w:autoSpaceDN/>
        <w:bidi w:val="0"/>
        <w:adjustRightInd/>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方正仿宋_GBK"/>
          <w:color w:val="auto"/>
          <w:sz w:val="32"/>
          <w:szCs w:val="32"/>
          <w:shd w:val="clear" w:color="auto" w:fill="FFFFFF"/>
        </w:rPr>
      </w:pPr>
      <w:r>
        <w:rPr>
          <w:rFonts w:ascii="Times New Roman" w:hAnsi="Times New Roman" w:eastAsia="方正仿宋_GBK" w:cs="方正仿宋_GBK"/>
          <w:color w:val="auto"/>
          <w:sz w:val="32"/>
          <w:szCs w:val="32"/>
          <w:shd w:val="clear" w:color="auto" w:fill="FFFFFF"/>
        </w:rPr>
        <w:t>2023年度我单位未发生政府采购事项，无相关经费支出。</w:t>
      </w:r>
    </w:p>
    <w:p w14:paraId="3C7E7DC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14:paraId="7081869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14:paraId="1D53EE3F">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Calibri" w:hAnsi="Calibri" w:eastAsia="方正仿宋_GBK" w:cs="Calibri"/>
          <w:sz w:val="32"/>
          <w:szCs w:val="32"/>
          <w:lang w:eastAsia="zh-CN"/>
        </w:rPr>
      </w:pPr>
      <w:r>
        <w:rPr>
          <w:rFonts w:hint="default" w:ascii="Calibri" w:hAnsi="Calibri" w:eastAsia="方正仿宋_GBK" w:cs="Calibri"/>
          <w:sz w:val="32"/>
          <w:szCs w:val="32"/>
        </w:rPr>
        <w:t>根据预算绩效管理要求，我单位对</w:t>
      </w:r>
      <w:r>
        <w:rPr>
          <w:rFonts w:hint="default" w:ascii="Calibri" w:hAnsi="Calibri" w:eastAsia="方正仿宋_GBK" w:cs="Calibri"/>
          <w:sz w:val="32"/>
          <w:szCs w:val="32"/>
          <w:lang w:val="en-US" w:eastAsia="zh-CN"/>
        </w:rPr>
        <w:t>4</w:t>
      </w:r>
      <w:r>
        <w:rPr>
          <w:rFonts w:hint="default" w:ascii="Calibri" w:hAnsi="Calibri" w:eastAsia="方正仿宋_GBK" w:cs="Calibri"/>
          <w:sz w:val="32"/>
          <w:szCs w:val="32"/>
        </w:rPr>
        <w:t>个二级项目开展了绩效自评，涉及财政拨款项目支出资金</w:t>
      </w:r>
      <w:r>
        <w:rPr>
          <w:rFonts w:hint="default" w:ascii="Calibri" w:hAnsi="Calibri" w:eastAsia="方正仿宋_GBK" w:cs="Calibri"/>
          <w:sz w:val="32"/>
          <w:szCs w:val="32"/>
          <w:lang w:val="en-US" w:eastAsia="zh-CN"/>
        </w:rPr>
        <w:t>113.4</w:t>
      </w:r>
      <w:r>
        <w:rPr>
          <w:rFonts w:hint="default" w:ascii="Calibri" w:hAnsi="Calibri" w:eastAsia="方正仿宋_GBK" w:cs="Calibri"/>
          <w:sz w:val="32"/>
          <w:szCs w:val="32"/>
        </w:rPr>
        <w:t>万元</w:t>
      </w:r>
      <w:r>
        <w:rPr>
          <w:rFonts w:hint="default" w:ascii="Calibri" w:hAnsi="Calibri" w:eastAsia="方正仿宋_GBK" w:cs="Calibri"/>
          <w:sz w:val="32"/>
          <w:szCs w:val="32"/>
          <w:lang w:eastAsia="zh-CN"/>
        </w:rPr>
        <w:t>。</w:t>
      </w:r>
      <w:r>
        <w:rPr>
          <w:rFonts w:hint="default" w:ascii="Calibri" w:hAnsi="Calibri" w:eastAsia="方正仿宋_GBK" w:cs="Calibri"/>
          <w:sz w:val="32"/>
          <w:szCs w:val="32"/>
        </w:rPr>
        <w:t>从评价情况来看，</w:t>
      </w:r>
      <w:r>
        <w:rPr>
          <w:rFonts w:hint="default" w:ascii="Calibri" w:hAnsi="Calibri" w:eastAsia="方正仿宋_GBK" w:cs="Calibri"/>
          <w:sz w:val="32"/>
          <w:szCs w:val="32"/>
          <w:lang w:eastAsia="zh-CN"/>
        </w:rPr>
        <w:t>总体情况良好。</w:t>
      </w:r>
      <w:r>
        <w:rPr>
          <w:rFonts w:hint="default" w:ascii="Calibri" w:hAnsi="Calibri" w:eastAsia="方正仿宋_GBK" w:cs="Calibri"/>
          <w:sz w:val="32"/>
          <w:szCs w:val="32"/>
        </w:rPr>
        <w:t>全县</w:t>
      </w:r>
      <w:r>
        <w:rPr>
          <w:rFonts w:hint="default" w:ascii="Calibri" w:hAnsi="Calibri" w:eastAsia="方正仿宋_GBK" w:cs="Calibri"/>
          <w:sz w:val="32"/>
          <w:szCs w:val="32"/>
          <w:lang w:eastAsia="zh-CN"/>
        </w:rPr>
        <w:t>全民阅读推广效果</w:t>
      </w:r>
      <w:r>
        <w:rPr>
          <w:rFonts w:hint="default" w:ascii="Calibri" w:hAnsi="Calibri" w:eastAsia="方正仿宋_GBK" w:cs="Calibri"/>
          <w:sz w:val="32"/>
          <w:szCs w:val="32"/>
        </w:rPr>
        <w:t>良好，</w:t>
      </w:r>
      <w:r>
        <w:rPr>
          <w:rFonts w:hint="default" w:ascii="Calibri" w:hAnsi="Calibri" w:eastAsia="方正仿宋_GBK" w:cs="Calibri"/>
          <w:sz w:val="32"/>
          <w:szCs w:val="32"/>
          <w:lang w:eastAsia="zh-CN"/>
        </w:rPr>
        <w:t>在第七次全国公共图书馆评估定级中被评为一级馆，在</w:t>
      </w:r>
      <w:r>
        <w:rPr>
          <w:rFonts w:hint="default" w:ascii="Calibri" w:hAnsi="Calibri" w:eastAsia="方正仿宋_GBK" w:cs="Calibri"/>
          <w:sz w:val="32"/>
          <w:szCs w:val="32"/>
          <w:lang w:val="en-US" w:eastAsia="zh-CN"/>
        </w:rPr>
        <w:t>2023年</w:t>
      </w:r>
      <w:r>
        <w:rPr>
          <w:rFonts w:hint="default" w:ascii="Calibri" w:hAnsi="Calibri" w:eastAsia="方正仿宋_GBK" w:cs="Calibri"/>
          <w:sz w:val="32"/>
          <w:szCs w:val="32"/>
          <w:lang w:eastAsia="zh-CN"/>
        </w:rPr>
        <w:t>免费开放绩效考核中获评一等次。</w:t>
      </w:r>
    </w:p>
    <w:p w14:paraId="29807312">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14:paraId="7E568A00">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eastAsia="方正仿宋_GBK" w:cs="方正仿宋_GBK" w:asciiTheme="minorAscii" w:hAnsiTheme="minorAscii"/>
          <w:sz w:val="32"/>
          <w:szCs w:val="32"/>
        </w:rPr>
      </w:pPr>
      <w:r>
        <w:rPr>
          <w:rFonts w:hint="default" w:eastAsia="方正仿宋_GBK" w:cs="方正仿宋_GBK" w:asciiTheme="minorAscii" w:hAnsiTheme="minorAscii"/>
          <w:sz w:val="32"/>
          <w:szCs w:val="32"/>
        </w:rPr>
        <w:t>我单位对</w:t>
      </w:r>
      <w:r>
        <w:rPr>
          <w:rFonts w:hint="default" w:eastAsia="方正仿宋_GBK" w:cs="方正仿宋_GBK" w:asciiTheme="minorAscii" w:hAnsiTheme="minorAscii"/>
          <w:sz w:val="32"/>
          <w:szCs w:val="32"/>
          <w:lang w:eastAsia="zh-CN"/>
        </w:rPr>
        <w:t>一级馆文化建设</w:t>
      </w:r>
      <w:r>
        <w:rPr>
          <w:rFonts w:hint="default" w:eastAsia="方正仿宋_GBK" w:cs="方正仿宋_GBK" w:asciiTheme="minorAscii" w:hAnsiTheme="minorAscii"/>
          <w:sz w:val="32"/>
          <w:szCs w:val="32"/>
        </w:rPr>
        <w:t>开展了绩效评价，涉及财政拨款项目资金</w:t>
      </w:r>
      <w:r>
        <w:rPr>
          <w:rFonts w:hint="default" w:eastAsia="方正仿宋_GBK" w:cs="方正仿宋_GBK" w:asciiTheme="minorAscii" w:hAnsiTheme="minorAscii"/>
          <w:sz w:val="32"/>
          <w:szCs w:val="32"/>
          <w:lang w:val="en-US" w:eastAsia="zh-CN"/>
        </w:rPr>
        <w:t>40</w:t>
      </w:r>
      <w:r>
        <w:rPr>
          <w:rFonts w:hint="default" w:eastAsia="方正仿宋_GBK" w:cs="方正仿宋_GBK" w:asciiTheme="minorAscii" w:hAnsiTheme="minorAscii"/>
          <w:sz w:val="32"/>
          <w:szCs w:val="32"/>
        </w:rPr>
        <w:t>万元，评价得分</w:t>
      </w:r>
      <w:r>
        <w:rPr>
          <w:rFonts w:hint="default" w:eastAsia="方正仿宋_GBK" w:cs="方正仿宋_GBK" w:asciiTheme="minorAscii" w:hAnsiTheme="minorAscii"/>
          <w:sz w:val="32"/>
          <w:szCs w:val="32"/>
          <w:lang w:val="en-US" w:eastAsia="zh-CN"/>
        </w:rPr>
        <w:t>99.87</w:t>
      </w:r>
      <w:r>
        <w:rPr>
          <w:rFonts w:hint="default" w:eastAsia="方正仿宋_GBK" w:cs="方正仿宋_GBK" w:asciiTheme="minorAscii" w:hAnsiTheme="minorAscii"/>
          <w:sz w:val="32"/>
          <w:szCs w:val="32"/>
        </w:rPr>
        <w:t>分，评价等次为</w:t>
      </w:r>
      <w:r>
        <w:rPr>
          <w:rFonts w:hint="default" w:eastAsia="方正仿宋_GBK" w:cs="方正仿宋_GBK" w:asciiTheme="minorAscii" w:hAnsiTheme="minorAscii"/>
          <w:sz w:val="32"/>
          <w:szCs w:val="32"/>
          <w:lang w:eastAsia="zh-CN"/>
        </w:rPr>
        <w:t>优</w:t>
      </w:r>
      <w:r>
        <w:rPr>
          <w:rFonts w:hint="default" w:eastAsia="方正仿宋_GBK" w:cs="方正仿宋_GBK" w:asciiTheme="minorAscii" w:hAnsiTheme="minorAscii"/>
          <w:sz w:val="32"/>
          <w:szCs w:val="32"/>
        </w:rPr>
        <w:t>，绩效评价发现了</w:t>
      </w:r>
      <w:r>
        <w:rPr>
          <w:rFonts w:hint="default" w:eastAsia="方正仿宋_GBK" w:cs="方正仿宋_GBK" w:asciiTheme="minorAscii" w:hAnsiTheme="minorAscii"/>
          <w:sz w:val="32"/>
          <w:szCs w:val="32"/>
          <w:lang w:eastAsia="zh-CN"/>
        </w:rPr>
        <w:t>我县城市书房数量不足等</w:t>
      </w:r>
      <w:r>
        <w:rPr>
          <w:rFonts w:hint="default" w:eastAsia="方正仿宋_GBK" w:cs="方正仿宋_GBK" w:asciiTheme="minorAscii" w:hAnsiTheme="minorAscii"/>
          <w:sz w:val="32"/>
          <w:szCs w:val="32"/>
        </w:rPr>
        <w:t>问题，</w:t>
      </w:r>
      <w:r>
        <w:rPr>
          <w:rFonts w:hint="default" w:eastAsia="方正仿宋_GBK" w:cs="方正仿宋_GBK" w:asciiTheme="minorAscii" w:hAnsiTheme="minorAscii"/>
          <w:sz w:val="32"/>
          <w:szCs w:val="32"/>
          <w:lang w:eastAsia="zh-CN"/>
        </w:rPr>
        <w:t>建议增加我县新型阅读空间建设资金</w:t>
      </w:r>
      <w:r>
        <w:rPr>
          <w:rFonts w:hint="default" w:eastAsia="方正仿宋_GBK" w:cs="方正仿宋_GBK" w:asciiTheme="minorAscii" w:hAnsiTheme="minorAscii"/>
          <w:sz w:val="32"/>
          <w:szCs w:val="32"/>
        </w:rPr>
        <w:t>；对</w:t>
      </w:r>
      <w:r>
        <w:rPr>
          <w:rFonts w:hint="default" w:eastAsia="方正仿宋_GBK" w:cs="方正仿宋_GBK" w:asciiTheme="minorAscii" w:hAnsiTheme="minorAscii"/>
          <w:sz w:val="32"/>
          <w:szCs w:val="32"/>
          <w:lang w:eastAsia="zh-CN"/>
        </w:rPr>
        <w:t>免费开放</w:t>
      </w:r>
      <w:r>
        <w:rPr>
          <w:rFonts w:hint="default" w:eastAsia="方正仿宋_GBK" w:cs="方正仿宋_GBK" w:asciiTheme="minorAscii" w:hAnsiTheme="minorAscii"/>
          <w:sz w:val="32"/>
          <w:szCs w:val="32"/>
        </w:rPr>
        <w:t>开展了绩效评价，涉及财政拨款项目资金</w:t>
      </w:r>
      <w:r>
        <w:rPr>
          <w:rFonts w:hint="default" w:eastAsia="方正仿宋_GBK" w:cs="方正仿宋_GBK" w:asciiTheme="minorAscii" w:hAnsiTheme="minorAscii"/>
          <w:sz w:val="32"/>
          <w:szCs w:val="32"/>
          <w:lang w:val="en-US" w:eastAsia="zh-CN"/>
        </w:rPr>
        <w:t>69</w:t>
      </w:r>
      <w:r>
        <w:rPr>
          <w:rFonts w:hint="default" w:eastAsia="方正仿宋_GBK" w:cs="方正仿宋_GBK" w:asciiTheme="minorAscii" w:hAnsiTheme="minorAscii"/>
          <w:sz w:val="32"/>
          <w:szCs w:val="32"/>
        </w:rPr>
        <w:t>万元，评价得分</w:t>
      </w:r>
      <w:r>
        <w:rPr>
          <w:rFonts w:hint="default" w:eastAsia="方正仿宋_GBK" w:cs="方正仿宋_GBK" w:asciiTheme="minorAscii" w:hAnsiTheme="minorAscii"/>
          <w:sz w:val="32"/>
          <w:szCs w:val="32"/>
          <w:lang w:val="en-US" w:eastAsia="zh-CN"/>
        </w:rPr>
        <w:t>97.83</w:t>
      </w:r>
      <w:r>
        <w:rPr>
          <w:rFonts w:hint="default" w:eastAsia="方正仿宋_GBK" w:cs="方正仿宋_GBK" w:asciiTheme="minorAscii" w:hAnsiTheme="minorAscii"/>
          <w:sz w:val="32"/>
          <w:szCs w:val="32"/>
        </w:rPr>
        <w:t>分，评价等次为</w:t>
      </w:r>
      <w:r>
        <w:rPr>
          <w:rFonts w:hint="default" w:eastAsia="方正仿宋_GBK" w:cs="方正仿宋_GBK" w:asciiTheme="minorAscii" w:hAnsiTheme="minorAscii"/>
          <w:sz w:val="32"/>
          <w:szCs w:val="32"/>
          <w:lang w:eastAsia="zh-CN"/>
        </w:rPr>
        <w:t>优</w:t>
      </w:r>
      <w:r>
        <w:rPr>
          <w:rFonts w:hint="default" w:eastAsia="方正仿宋_GBK" w:cs="方正仿宋_GBK" w:asciiTheme="minorAscii" w:hAnsiTheme="minorAscii"/>
          <w:sz w:val="32"/>
          <w:szCs w:val="32"/>
        </w:rPr>
        <w:t>，绩效评价发现了</w:t>
      </w:r>
      <w:r>
        <w:rPr>
          <w:rFonts w:hint="default" w:eastAsia="方正仿宋_GBK" w:cs="方正仿宋_GBK" w:asciiTheme="minorAscii" w:hAnsiTheme="minorAscii"/>
          <w:sz w:val="32"/>
          <w:szCs w:val="32"/>
          <w:lang w:eastAsia="zh-CN"/>
        </w:rPr>
        <w:t>公益讲座参与普及度不高，涵盖面不广</w:t>
      </w:r>
      <w:r>
        <w:rPr>
          <w:rFonts w:hint="default" w:eastAsia="方正仿宋_GBK" w:cs="方正仿宋_GBK" w:asciiTheme="minorAscii" w:hAnsiTheme="minorAscii"/>
          <w:sz w:val="32"/>
          <w:szCs w:val="32"/>
        </w:rPr>
        <w:t>等主要问题，</w:t>
      </w:r>
      <w:r>
        <w:rPr>
          <w:rFonts w:hint="default" w:eastAsia="方正仿宋_GBK" w:cs="方正仿宋_GBK" w:asciiTheme="minorAscii" w:hAnsiTheme="minorAscii"/>
          <w:sz w:val="32"/>
          <w:szCs w:val="32"/>
          <w:lang w:eastAsia="zh-CN"/>
        </w:rPr>
        <w:t>建议加大宣传，</w:t>
      </w:r>
      <w:r>
        <w:rPr>
          <w:rFonts w:hint="default" w:eastAsia="方正仿宋_GBK" w:cs="方正仿宋_GBK" w:asciiTheme="minorAscii" w:hAnsiTheme="minorAscii"/>
          <w:sz w:val="32"/>
          <w:szCs w:val="32"/>
        </w:rPr>
        <w:t>开展更多项目的活动</w:t>
      </w:r>
      <w:r>
        <w:rPr>
          <w:rFonts w:hint="default" w:eastAsia="方正仿宋_GBK" w:cs="方正仿宋_GBK" w:asciiTheme="minorAscii" w:hAnsiTheme="minorAscii"/>
          <w:sz w:val="32"/>
          <w:szCs w:val="32"/>
          <w:lang w:eastAsia="zh-CN"/>
        </w:rPr>
        <w:t>，吸引更多的读者</w:t>
      </w:r>
      <w:r>
        <w:rPr>
          <w:rFonts w:hint="default" w:eastAsia="方正仿宋_GBK" w:cs="方正仿宋_GBK" w:asciiTheme="minorAscii" w:hAnsiTheme="minorAscii"/>
          <w:sz w:val="32"/>
          <w:szCs w:val="32"/>
        </w:rPr>
        <w:t>。</w:t>
      </w:r>
    </w:p>
    <w:p w14:paraId="58A82208">
      <w:pPr>
        <w:pStyle w:val="4"/>
        <w:pageBreakBefore w:val="0"/>
        <w:widowControl/>
        <w:shd w:val="clear"/>
        <w:kinsoku/>
        <w:wordWrap/>
        <w:overflowPunct/>
        <w:topLinePunct w:val="0"/>
        <w:autoSpaceDN/>
        <w:bidi w:val="0"/>
        <w:adjustRightInd/>
        <w:spacing w:before="0" w:beforeLines="0" w:beforeAutospacing="0" w:after="0" w:afterLines="0" w:afterAutospacing="0" w:line="594" w:lineRule="exact"/>
        <w:ind w:left="0" w:leftChars="0" w:firstLine="640" w:firstLineChars="200"/>
        <w:textAlignment w:val="auto"/>
        <w:rPr>
          <w:rFonts w:ascii="Times New Roman" w:hAnsi="Times New Roman"/>
        </w:rPr>
      </w:pPr>
      <w:r>
        <w:rPr>
          <w:rFonts w:hint="eastAsia" w:ascii="Times New Roman" w:hAnsi="Times New Roman"/>
        </w:rPr>
        <w:t>（三）财政绩效评价情况</w:t>
      </w:r>
    </w:p>
    <w:p w14:paraId="3DE9FF7F">
      <w:pPr>
        <w:pStyle w:val="15"/>
        <w:pageBreakBefore w:val="0"/>
        <w:widowControl/>
        <w:shd w:val="clear"/>
        <w:kinsoku/>
        <w:wordWrap/>
        <w:overflowPunct/>
        <w:topLinePunct w:val="0"/>
        <w:autoSpaceDE w:val="0"/>
        <w:autoSpaceDN/>
        <w:bidi w:val="0"/>
        <w:adjustRightInd/>
        <w:spacing w:beforeAutospacing="0" w:afterAutospacing="0" w:line="594" w:lineRule="exact"/>
        <w:ind w:left="0" w:leftChars="0" w:firstLine="643"/>
        <w:textAlignment w:val="auto"/>
        <w:rPr>
          <w:rFonts w:hint="eastAsia" w:ascii="Times New Roman" w:hAnsi="Times New Roman" w:eastAsia="方正仿宋_GBK" w:cs="方正仿宋_GBK"/>
          <w:b w:val="0"/>
          <w:bCs w:val="0"/>
          <w:sz w:val="32"/>
          <w:szCs w:val="32"/>
          <w:highlight w:val="none"/>
          <w:shd w:val="clear" w:color="auto" w:fill="FFFFFF"/>
        </w:rPr>
      </w:pPr>
      <w:r>
        <w:rPr>
          <w:rFonts w:hint="eastAsia" w:ascii="Times New Roman" w:hAnsi="Times New Roman" w:eastAsia="方正仿宋_GBK" w:cs="方正仿宋_GBK"/>
          <w:b w:val="0"/>
          <w:bCs w:val="0"/>
          <w:sz w:val="32"/>
          <w:szCs w:val="32"/>
          <w:highlight w:val="none"/>
          <w:shd w:val="clear" w:color="auto" w:fill="FFFFFF"/>
        </w:rPr>
        <w:t>市财政局未委托第三方对我单位开展绩效评价。</w:t>
      </w:r>
    </w:p>
    <w:p w14:paraId="44522FFA">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专业名词解释</w:t>
      </w:r>
    </w:p>
    <w:p w14:paraId="35B236FB">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Style w:val="21"/>
          <w:rFonts w:hint="eastAsia" w:ascii="Times New Roman" w:hAnsi="Times New Roman" w:cs="Times New Roman"/>
          <w:szCs w:val="24"/>
          <w:lang w:val="en-US" w:eastAsia="zh-CN" w:bidi="ar-SA"/>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14:paraId="0BF1A78F">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（二）年初结转和结余：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0368FB9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（三）年末结转和结余：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5AE152A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Style w:val="21"/>
          <w:rFonts w:ascii="Times New Roman" w:hAnsi="Times New Roman"/>
        </w:rPr>
      </w:pPr>
      <w:r>
        <w:rPr>
          <w:rStyle w:val="21"/>
          <w:rFonts w:ascii="Times New Roman" w:hAnsi="Times New Roman"/>
        </w:rPr>
        <w:t>（四）基本支出：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7A2DB6">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（五）项目支出：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756FA77F">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（六）“三公”经费：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CCC3590">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left="0" w:leftChars="0" w:firstLine="640" w:firstLineChars="200"/>
        <w:jc w:val="both"/>
        <w:textAlignment w:val="auto"/>
        <w:rPr>
          <w:rStyle w:val="14"/>
          <w:rFonts w:ascii="Times New Roman" w:hAnsi="Times New Roman" w:eastAsia="方正仿宋_GBK" w:cs="方正仿宋_GBK"/>
          <w:sz w:val="32"/>
          <w:szCs w:val="32"/>
          <w:shd w:val="clear" w:color="auto" w:fill="FFFFFF"/>
        </w:rPr>
      </w:pPr>
      <w:r>
        <w:rPr>
          <w:rStyle w:val="21"/>
          <w:rFonts w:ascii="Times New Roman" w:hAnsi="Times New Roman"/>
        </w:rPr>
        <w:t>（七）</w:t>
      </w:r>
      <w:r>
        <w:rPr>
          <w:rStyle w:val="14"/>
          <w:rFonts w:ascii="Times New Roman" w:hAnsi="Times New Roman" w:eastAsia="方正仿宋_GBK" w:cs="方正仿宋_GBK"/>
          <w:sz w:val="32"/>
          <w:szCs w:val="32"/>
          <w:shd w:val="clear" w:color="auto" w:fill="FFFFFF"/>
        </w:rPr>
        <w:t> </w:t>
      </w:r>
      <w:r>
        <w:rPr>
          <w:rStyle w:val="21"/>
          <w:rFonts w:ascii="Times New Roman" w:hAnsi="Times New Roman"/>
        </w:rPr>
        <w:t>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194FB66E">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（八）商品和服务支出（支出经济分类科目类级）：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75D40364">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Style w:val="21"/>
          <w:rFonts w:ascii="Times New Roman" w:hAnsi="Times New Roman"/>
        </w:rPr>
      </w:pPr>
      <w:r>
        <w:rPr>
          <w:rStyle w:val="21"/>
          <w:rFonts w:ascii="Times New Roman" w:hAnsi="Times New Roman"/>
        </w:rPr>
        <w:t>（九） 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14:paraId="0B4785DC">
      <w:pPr>
        <w:pStyle w:val="3"/>
        <w:keepNext w:val="0"/>
        <w:keepLines w:val="0"/>
        <w:pageBreakBefore w:val="0"/>
        <w:widowControl/>
        <w:shd w:val="clear"/>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sz w:val="32"/>
          <w:szCs w:val="32"/>
        </w:rPr>
      </w:pPr>
      <w:r>
        <w:rPr>
          <w:rStyle w:val="21"/>
          <w:rFonts w:ascii="Times New Roman" w:hAnsi="Times New Roman"/>
        </w:rPr>
        <w:t>（十）其他资本性支出（支出经济分类科目类级）：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r>
        <w:rPr>
          <w:rStyle w:val="14"/>
          <w:rFonts w:ascii="Times New Roman" w:hAnsi="Times New Roman" w:eastAsia="方正仿宋_GBK" w:cs="方正仿宋_GBK"/>
          <w:sz w:val="32"/>
          <w:szCs w:val="32"/>
          <w:shd w:val="clear" w:color="auto" w:fill="FFFFFF"/>
        </w:rPr>
        <w:t> </w:t>
      </w:r>
    </w:p>
    <w:p w14:paraId="36750B51">
      <w:pPr>
        <w:keepNext w:val="0"/>
        <w:keepLines w:val="0"/>
        <w:pageBreakBefore w:val="0"/>
        <w:widowControl/>
        <w:kinsoku/>
        <w:wordWrap/>
        <w:overflowPunct/>
        <w:topLinePunct w:val="0"/>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七、决算公开联系方式及信息反馈渠道</w:t>
      </w:r>
    </w:p>
    <w:p w14:paraId="0BAB328E">
      <w:pPr>
        <w:pStyle w:val="15"/>
        <w:keepNext w:val="0"/>
        <w:keepLines w:val="0"/>
        <w:pageBreakBefore w:val="0"/>
        <w:widowControl/>
        <w:shd w:val="clear"/>
        <w:kinsoku/>
        <w:wordWrap/>
        <w:overflowPunct/>
        <w:topLinePunct w:val="0"/>
        <w:autoSpaceDE w:val="0"/>
        <w:autoSpaceDN/>
        <w:bidi w:val="0"/>
        <w:adjustRightInd/>
        <w:snapToGrid/>
        <w:spacing w:beforeAutospacing="0" w:afterAutospacing="0" w:line="594" w:lineRule="exact"/>
        <w:ind w:left="0" w:leftChars="0" w:firstLine="640" w:firstLineChars="200"/>
        <w:textAlignment w:val="auto"/>
        <w:rPr>
          <w:rStyle w:val="14"/>
          <w:rFonts w:hint="eastAsia" w:ascii="Times New Roman" w:hAnsi="Times New Roman"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ascii="Times New Roman" w:hAnsi="Times New Roman" w:eastAsia="方正仿宋_GBK" w:cs="方正仿宋_GBK"/>
          <w:sz w:val="32"/>
          <w:szCs w:val="32"/>
          <w:shd w:val="clear" w:color="auto" w:fill="FFFFFF"/>
        </w:rPr>
        <w:t>本单位决算公开信息反馈和联系方</w:t>
      </w:r>
      <w:r>
        <w:rPr>
          <w:rFonts w:ascii="Times New Roman" w:hAnsi="Times New Roman" w:eastAsia="方正仿宋_GBK" w:cs="方正仿宋_GBK"/>
          <w:color w:val="auto"/>
          <w:sz w:val="32"/>
          <w:szCs w:val="32"/>
          <w:shd w:val="clear" w:color="auto" w:fill="FFFFFF"/>
        </w:rPr>
        <w:t>式：</w:t>
      </w:r>
      <w:r>
        <w:rPr>
          <w:rFonts w:hint="eastAsia" w:ascii="Times New Roman" w:hAnsi="Times New Roman" w:eastAsia="方正仿宋_GBK" w:cs="方正仿宋_GBK"/>
          <w:color w:val="auto"/>
          <w:sz w:val="32"/>
          <w:szCs w:val="32"/>
          <w:shd w:val="clear" w:color="auto" w:fill="FFFFFF"/>
          <w:lang w:val="en-US" w:eastAsia="zh-CN"/>
        </w:rPr>
        <w:t>023-85005234。</w:t>
      </w:r>
    </w:p>
    <w:p w14:paraId="7CFC32D1">
      <w:pPr>
        <w:pageBreakBefore w:val="0"/>
        <w:widowControl/>
        <w:kinsoku/>
        <w:overflowPunct/>
        <w:topLinePunct w:val="0"/>
        <w:autoSpaceDN/>
        <w:bidi w:val="0"/>
        <w:rPr>
          <w:rFonts w:hint="default" w:ascii="Times New Roman" w:hAnsi="Times New Roman" w:cs="宋体"/>
          <w:sz w:val="21"/>
          <w:szCs w:val="21"/>
        </w:rPr>
      </w:pPr>
    </w:p>
    <w:tbl>
      <w:tblPr>
        <w:tblStyle w:val="11"/>
        <w:tblW w:w="5005" w:type="pct"/>
        <w:tblInd w:w="0" w:type="dxa"/>
        <w:tblLayout w:type="autofit"/>
        <w:tblCellMar>
          <w:top w:w="0" w:type="dxa"/>
          <w:left w:w="0" w:type="dxa"/>
          <w:bottom w:w="0" w:type="dxa"/>
          <w:right w:w="0" w:type="dxa"/>
        </w:tblCellMar>
      </w:tblPr>
      <w:tblGrid>
        <w:gridCol w:w="5122"/>
        <w:gridCol w:w="2020"/>
        <w:gridCol w:w="4809"/>
        <w:gridCol w:w="3442"/>
      </w:tblGrid>
      <w:tr w14:paraId="555719A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C29D5C2">
            <w:pPr>
              <w:pageBreakBefore w:val="0"/>
              <w:widowControl/>
              <w:kinsoku/>
              <w:overflowPunct/>
              <w:topLinePunct w:val="0"/>
              <w:autoSpaceDN/>
              <w:bidi w:val="0"/>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3F9AA7F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1D84F47">
            <w:pPr>
              <w:pageBreakBefore w:val="0"/>
              <w:widowControl/>
              <w:kinsoku/>
              <w:overflowPunct/>
              <w:topLinePunct w:val="0"/>
              <w:autoSpaceDN/>
              <w:bidi w:val="0"/>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7A15988">
            <w:pPr>
              <w:pageBreakBefore w:val="0"/>
              <w:widowControl/>
              <w:kinsoku/>
              <w:overflowPunct/>
              <w:topLinePunct w:val="0"/>
              <w:autoSpaceDN/>
              <w:bidi w:val="0"/>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4E5C37E">
            <w:pPr>
              <w:pageBreakBefore w:val="0"/>
              <w:widowControl/>
              <w:kinsoku/>
              <w:overflowPunct/>
              <w:topLinePunct w:val="0"/>
              <w:autoSpaceDN/>
              <w:bidi w:val="0"/>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0987914">
            <w:pPr>
              <w:pageBreakBefore w:val="0"/>
              <w:widowControl/>
              <w:kinsoku/>
              <w:overflowPunct/>
              <w:topLinePunct w:val="0"/>
              <w:autoSpaceDN/>
              <w:bidi w:val="0"/>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5BB621D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C9F9628">
            <w:pPr>
              <w:pageBreakBefore w:val="0"/>
              <w:widowControl/>
              <w:kinsoku/>
              <w:overflowPunct/>
              <w:topLinePunct w:val="0"/>
              <w:autoSpaceDN/>
              <w:bidi w:val="0"/>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rPr>
              <w:t>重庆市石柱土家族自治县图书馆</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122719B">
            <w:pPr>
              <w:pageBreakBefore w:val="0"/>
              <w:widowControl/>
              <w:kinsoku/>
              <w:overflowPunct/>
              <w:topLinePunct w:val="0"/>
              <w:autoSpaceDN/>
              <w:bidi w:val="0"/>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DF179A5">
            <w:pPr>
              <w:pageBreakBefore w:val="0"/>
              <w:widowControl/>
              <w:kinsoku/>
              <w:overflowPunct/>
              <w:topLinePunct w:val="0"/>
              <w:autoSpaceDN/>
              <w:bidi w:val="0"/>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8A25AB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6547">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D67879D">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0FDC59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5EBFF">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1D97DD">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C7CF72">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CC22A7">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61C06ED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55447">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FEE2A">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252.08</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23725D">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F33F7">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D8FD4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C8856">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4E2F">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431A11">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9A19">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86415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6F322">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D748D">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8786D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1FF6">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3D76DF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64420">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E03B">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BDBBB">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9FD06">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B4796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63F1A">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78D97">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63E88C">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89395">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389DB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0C5A3">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1111">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FEA9B">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A66B3">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4820A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D725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DB0D7">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71C11D">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6BC30">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212.98</w:t>
            </w:r>
            <w:r>
              <w:rPr>
                <w:rFonts w:ascii="Times New Roman" w:hAnsi="Times New Roman"/>
                <w:color w:val="000000"/>
                <w:sz w:val="20"/>
              </w:rPr>
              <w:t xml:space="preserve"> </w:t>
            </w:r>
          </w:p>
        </w:tc>
      </w:tr>
      <w:tr w14:paraId="7F5D53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E27CD">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0D5E48C">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EE7A2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7E320">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26.09</w:t>
            </w:r>
            <w:r>
              <w:rPr>
                <w:rFonts w:ascii="Times New Roman" w:hAnsi="Times New Roman"/>
                <w:color w:val="000000"/>
                <w:sz w:val="20"/>
              </w:rPr>
              <w:t xml:space="preserve"> </w:t>
            </w:r>
          </w:p>
        </w:tc>
      </w:tr>
      <w:tr w14:paraId="7D189D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3F882">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AD1137">
            <w:pPr>
              <w:pageBreakBefore w:val="0"/>
              <w:widowControl/>
              <w:kinsoku/>
              <w:overflowPunct/>
              <w:topLinePunct w:val="0"/>
              <w:autoSpaceDN/>
              <w:bidi w:val="0"/>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F7FB7">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91B2D">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7.15</w:t>
            </w:r>
            <w:r>
              <w:rPr>
                <w:rFonts w:ascii="Times New Roman" w:hAnsi="Times New Roman"/>
                <w:color w:val="000000"/>
                <w:sz w:val="20"/>
              </w:rPr>
              <w:t xml:space="preserve"> </w:t>
            </w:r>
          </w:p>
        </w:tc>
      </w:tr>
      <w:tr w14:paraId="4E1D82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D4C03">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1AE88">
            <w:pPr>
              <w:pageBreakBefore w:val="0"/>
              <w:widowControl/>
              <w:kinsoku/>
              <w:overflowPunct/>
              <w:topLinePunct w:val="0"/>
              <w:autoSpaceDN/>
              <w:bidi w:val="0"/>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2D06E2">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8419">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6E22C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3B86F">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88FB47">
            <w:pPr>
              <w:pageBreakBefore w:val="0"/>
              <w:widowControl/>
              <w:kinsoku/>
              <w:overflowPunct/>
              <w:topLinePunct w:val="0"/>
              <w:autoSpaceDN/>
              <w:bidi w:val="0"/>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227C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DBA32">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D9665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D1577">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DB5C5C">
            <w:pPr>
              <w:pageBreakBefore w:val="0"/>
              <w:widowControl/>
              <w:kinsoku/>
              <w:overflowPunct/>
              <w:topLinePunct w:val="0"/>
              <w:autoSpaceDN/>
              <w:bidi w:val="0"/>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F38B9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9F85B">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85CAC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35B10">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05AD">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CB6E7">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E83FA">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0817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2867A">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F94A1">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DF3C9">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6FB2">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73CC2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7C879">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ABCE">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FFA7FB">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0C16D">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9EF0B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4C17D">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5D677">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43888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7915">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75276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5D905">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1C5A4">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396A99">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695D">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6AD7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0B6AD">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6FC9">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B2FD93">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E59F">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1BD18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A5BA2">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006C">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13790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47702">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r>
      <w:tr w14:paraId="1FD1D7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AD115">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E16F">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0CE00">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6C67A">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E7EA4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2B4F2">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633A2">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A5056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B8A3">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A02AF1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3BF00">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B6359">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E8619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3F84D">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0C4BEA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DE3E4">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01B7">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DC154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A9CC3">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E9851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6B585">
            <w:pPr>
              <w:pageBreakBefore w:val="0"/>
              <w:widowControl/>
              <w:kinsoku/>
              <w:overflowPunct/>
              <w:topLinePunct w:val="0"/>
              <w:autoSpaceDN/>
              <w:bidi w:val="0"/>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B949">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07E31F">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8A3C2">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3CB68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A8305">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6EFC6">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15F84">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22578">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FCC12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AEED0">
            <w:pPr>
              <w:pageBreakBefore w:val="0"/>
              <w:widowControl/>
              <w:kinsoku/>
              <w:overflowPunct/>
              <w:topLinePunct w:val="0"/>
              <w:autoSpaceDN/>
              <w:bidi w:val="0"/>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398A7">
            <w:pPr>
              <w:pageBreakBefore w:val="0"/>
              <w:widowControl/>
              <w:kinsoku/>
              <w:overflowPunct/>
              <w:topLinePunct w:val="0"/>
              <w:autoSpaceDN/>
              <w:bidi w:val="0"/>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BE61D5">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0CDC">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52535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E35A7">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886D4">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252.08</w:t>
            </w: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B731F">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21A03">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252.08</w:t>
            </w:r>
            <w:r>
              <w:rPr>
                <w:rFonts w:ascii="Times New Roman" w:hAnsi="Times New Roman"/>
                <w:color w:val="000000"/>
                <w:sz w:val="20"/>
              </w:rPr>
              <w:t xml:space="preserve"> </w:t>
            </w:r>
          </w:p>
        </w:tc>
      </w:tr>
      <w:tr w14:paraId="358CE8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995B2">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A434">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75C70">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B7AB9">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DA8ED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FF237">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6BFF0">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05149">
            <w:pPr>
              <w:pageBreakBefore w:val="0"/>
              <w:widowControl/>
              <w:kinsoku/>
              <w:overflowPunct/>
              <w:topLinePunct w:val="0"/>
              <w:autoSpaceDN/>
              <w:bidi w:val="0"/>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FE28AC6">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2FA914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2DA91">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40D46">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252.08</w:t>
            </w:r>
            <w:r>
              <w:rPr>
                <w:rFonts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3793D0C">
            <w:pPr>
              <w:pageBreakBefore w:val="0"/>
              <w:widowControl/>
              <w:kinsoku/>
              <w:overflowPunct/>
              <w:topLinePunct w:val="0"/>
              <w:autoSpaceDN/>
              <w:bidi w:val="0"/>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4DA02">
            <w:pPr>
              <w:pageBreakBefore w:val="0"/>
              <w:widowControl/>
              <w:kinsoku/>
              <w:overflowPunct/>
              <w:topLinePunct w:val="0"/>
              <w:autoSpaceDN/>
              <w:bidi w:val="0"/>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252.08</w:t>
            </w:r>
            <w:r>
              <w:rPr>
                <w:rFonts w:ascii="Times New Roman" w:hAnsi="Times New Roman"/>
                <w:color w:val="000000"/>
                <w:sz w:val="20"/>
              </w:rPr>
              <w:t xml:space="preserve"> </w:t>
            </w:r>
          </w:p>
        </w:tc>
      </w:tr>
    </w:tbl>
    <w:p w14:paraId="24BA8B0A">
      <w:pPr>
        <w:pageBreakBefore w:val="0"/>
        <w:widowControl/>
        <w:kinsoku/>
        <w:overflowPunct/>
        <w:topLinePunct w:val="0"/>
        <w:autoSpaceDN/>
        <w:bidi w:val="0"/>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11"/>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7A1B6F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6C95C32">
            <w:pPr>
              <w:pageBreakBefore w:val="0"/>
              <w:widowControl/>
              <w:kinsoku/>
              <w:overflowPunct/>
              <w:topLinePunct w:val="0"/>
              <w:autoSpaceDN/>
              <w:bidi w:val="0"/>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427D7A8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EE4CE52">
            <w:pPr>
              <w:pageBreakBefore w:val="0"/>
              <w:widowControl/>
              <w:kinsoku/>
              <w:overflowPunct/>
              <w:topLinePunct w:val="0"/>
              <w:autoSpaceDN/>
              <w:bidi w:val="0"/>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rPr>
              <w:t>重庆市石柱土家族自治县图书馆</w:t>
            </w:r>
          </w:p>
        </w:tc>
        <w:tc>
          <w:tcPr>
            <w:tcW w:w="401" w:type="pct"/>
            <w:tcBorders>
              <w:top w:val="nil"/>
              <w:left w:val="nil"/>
              <w:bottom w:val="nil"/>
              <w:right w:val="nil"/>
            </w:tcBorders>
            <w:shd w:val="clear" w:color="auto" w:fill="auto"/>
            <w:noWrap/>
            <w:tcMar>
              <w:top w:w="15" w:type="dxa"/>
              <w:left w:w="15" w:type="dxa"/>
              <w:right w:w="15" w:type="dxa"/>
            </w:tcMar>
            <w:vAlign w:val="bottom"/>
          </w:tcPr>
          <w:p w14:paraId="139A902F">
            <w:pPr>
              <w:pageBreakBefore w:val="0"/>
              <w:widowControl/>
              <w:kinsoku/>
              <w:overflowPunct/>
              <w:topLinePunct w:val="0"/>
              <w:autoSpaceDN/>
              <w:bidi w:val="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CD7ADF">
            <w:pPr>
              <w:pageBreakBefore w:val="0"/>
              <w:widowControl/>
              <w:kinsoku/>
              <w:overflowPunct/>
              <w:topLinePunct w:val="0"/>
              <w:autoSpaceDN/>
              <w:bidi w:val="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4BB6752">
            <w:pPr>
              <w:pageBreakBefore w:val="0"/>
              <w:widowControl/>
              <w:kinsoku/>
              <w:overflowPunct/>
              <w:topLinePunct w:val="0"/>
              <w:autoSpaceDN/>
              <w:bidi w:val="0"/>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4F1EBD3">
            <w:pPr>
              <w:pageBreakBefore w:val="0"/>
              <w:widowControl/>
              <w:kinsoku/>
              <w:overflowPunct/>
              <w:topLinePunct w:val="0"/>
              <w:autoSpaceDN/>
              <w:bidi w:val="0"/>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3AA9F96">
            <w:pPr>
              <w:pageBreakBefore w:val="0"/>
              <w:widowControl/>
              <w:kinsoku/>
              <w:overflowPunct/>
              <w:topLinePunct w:val="0"/>
              <w:autoSpaceDN/>
              <w:bidi w:val="0"/>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F0ADC09">
            <w:pPr>
              <w:pageBreakBefore w:val="0"/>
              <w:widowControl/>
              <w:kinsoku/>
              <w:overflowPunct/>
              <w:topLinePunct w:val="0"/>
              <w:autoSpaceDN/>
              <w:bidi w:val="0"/>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5D14443">
            <w:pPr>
              <w:pageBreakBefore w:val="0"/>
              <w:widowControl/>
              <w:kinsoku/>
              <w:overflowPunct/>
              <w:topLinePunct w:val="0"/>
              <w:autoSpaceDN/>
              <w:bidi w:val="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632072C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A4EA5B7">
            <w:pPr>
              <w:pageBreakBefore w:val="0"/>
              <w:widowControl/>
              <w:kinsoku/>
              <w:overflowPunct/>
              <w:topLinePunct w:val="0"/>
              <w:autoSpaceDN/>
              <w:bidi w:val="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C625AE">
            <w:pPr>
              <w:pageBreakBefore w:val="0"/>
              <w:widowControl/>
              <w:kinsoku/>
              <w:overflowPunct/>
              <w:topLinePunct w:val="0"/>
              <w:autoSpaceDN/>
              <w:bidi w:val="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CCEE119">
            <w:pPr>
              <w:pageBreakBefore w:val="0"/>
              <w:widowControl/>
              <w:kinsoku/>
              <w:overflowPunct/>
              <w:topLinePunct w:val="0"/>
              <w:autoSpaceDN/>
              <w:bidi w:val="0"/>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8933BE">
            <w:pPr>
              <w:pageBreakBefore w:val="0"/>
              <w:widowControl/>
              <w:kinsoku/>
              <w:overflowPunct/>
              <w:topLinePunct w:val="0"/>
              <w:autoSpaceDN/>
              <w:bidi w:val="0"/>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7AB5D49">
            <w:pPr>
              <w:pageBreakBefore w:val="0"/>
              <w:widowControl/>
              <w:kinsoku/>
              <w:overflowPunct/>
              <w:topLinePunct w:val="0"/>
              <w:autoSpaceDN/>
              <w:bidi w:val="0"/>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F902087">
            <w:pPr>
              <w:pageBreakBefore w:val="0"/>
              <w:widowControl/>
              <w:kinsoku/>
              <w:overflowPunct/>
              <w:topLinePunct w:val="0"/>
              <w:autoSpaceDN/>
              <w:bidi w:val="0"/>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20BDDFC">
            <w:pPr>
              <w:pageBreakBefore w:val="0"/>
              <w:widowControl/>
              <w:kinsoku/>
              <w:overflowPunct/>
              <w:topLinePunct w:val="0"/>
              <w:autoSpaceDN/>
              <w:bidi w:val="0"/>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9001066">
            <w:pPr>
              <w:pageBreakBefore w:val="0"/>
              <w:widowControl/>
              <w:kinsoku/>
              <w:overflowPunct/>
              <w:topLinePunct w:val="0"/>
              <w:autoSpaceDN/>
              <w:bidi w:val="0"/>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7F9123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BF6AB6B">
            <w:pPr>
              <w:pageBreakBefore w:val="0"/>
              <w:widowControl/>
              <w:kinsoku/>
              <w:overflowPunct/>
              <w:topLinePunct w:val="0"/>
              <w:autoSpaceDN/>
              <w:bidi w:val="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8FFEE">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701EB">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3DC4E">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7F2AAC">
            <w:pPr>
              <w:pageBreakBefore w:val="0"/>
              <w:widowControl/>
              <w:kinsoku/>
              <w:overflowPunct/>
              <w:topLinePunct w:val="0"/>
              <w:autoSpaceDN/>
              <w:bidi w:val="0"/>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DF271">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E0A2B">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0DCB7">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1EE338DE">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3A62E">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522DF5">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CD1E7">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9DD80">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9ABB1">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D61AD">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E18EF">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C97B0">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A72B1">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B76BD">
            <w:pPr>
              <w:pageBreakBefore w:val="0"/>
              <w:widowControl/>
              <w:kinsoku/>
              <w:overflowPunct/>
              <w:topLinePunct w:val="0"/>
              <w:autoSpaceDN/>
              <w:bidi w:val="0"/>
              <w:jc w:val="center"/>
              <w:rPr>
                <w:rFonts w:hint="default" w:ascii="Times New Roman" w:hAnsi="Times New Roman" w:cs="宋体"/>
                <w:b/>
                <w:color w:val="000000"/>
                <w:sz w:val="20"/>
                <w:szCs w:val="20"/>
              </w:rPr>
            </w:pPr>
          </w:p>
        </w:tc>
      </w:tr>
      <w:tr w14:paraId="6647239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F9727">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F94DA5">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C9B09">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9B0FF">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8010D">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B9652">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590B7">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A7BEF">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D1CF1">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48D2D">
            <w:pPr>
              <w:pageBreakBefore w:val="0"/>
              <w:widowControl/>
              <w:kinsoku/>
              <w:overflowPunct/>
              <w:topLinePunct w:val="0"/>
              <w:autoSpaceDN/>
              <w:bidi w:val="0"/>
              <w:jc w:val="center"/>
              <w:rPr>
                <w:rFonts w:hint="default" w:ascii="Times New Roman" w:hAnsi="Times New Roman" w:cs="宋体"/>
                <w:b/>
                <w:color w:val="000000"/>
                <w:sz w:val="20"/>
                <w:szCs w:val="20"/>
              </w:rPr>
            </w:pPr>
          </w:p>
        </w:tc>
      </w:tr>
      <w:tr w14:paraId="09FD496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AA36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9BDE37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19385">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32DF2">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C5941">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B1E15">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EBEF5">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D75F0">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220E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CE4BC">
            <w:pPr>
              <w:pageBreakBefore w:val="0"/>
              <w:widowControl/>
              <w:kinsoku/>
              <w:overflowPunct/>
              <w:topLinePunct w:val="0"/>
              <w:autoSpaceDN/>
              <w:bidi w:val="0"/>
              <w:jc w:val="center"/>
              <w:rPr>
                <w:rFonts w:hint="default" w:ascii="Times New Roman" w:hAnsi="Times New Roman" w:cs="宋体"/>
                <w:b/>
                <w:color w:val="000000"/>
                <w:sz w:val="20"/>
                <w:szCs w:val="20"/>
              </w:rPr>
            </w:pPr>
          </w:p>
        </w:tc>
      </w:tr>
      <w:tr w14:paraId="00C5535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8E838">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81FB7E">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AE5DD">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D8AF">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0C96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2CD9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DE49A">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2CF84">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B0177">
            <w:pPr>
              <w:pageBreakBefore w:val="0"/>
              <w:widowControl/>
              <w:kinsoku/>
              <w:overflowPunct/>
              <w:topLinePunct w:val="0"/>
              <w:autoSpaceDN/>
              <w:bidi w:val="0"/>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27DB9">
            <w:pPr>
              <w:pageBreakBefore w:val="0"/>
              <w:widowControl/>
              <w:kinsoku/>
              <w:overflowPunct/>
              <w:topLinePunct w:val="0"/>
              <w:autoSpaceDN/>
              <w:bidi w:val="0"/>
              <w:jc w:val="center"/>
              <w:rPr>
                <w:rFonts w:hint="default" w:ascii="Times New Roman" w:hAnsi="Times New Roman" w:cs="宋体"/>
                <w:b/>
                <w:color w:val="000000"/>
                <w:sz w:val="20"/>
                <w:szCs w:val="20"/>
              </w:rPr>
            </w:pPr>
          </w:p>
        </w:tc>
      </w:tr>
      <w:tr w14:paraId="506FB4C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76107">
            <w:pPr>
              <w:pageBreakBefore w:val="0"/>
              <w:widowControl/>
              <w:kinsoku/>
              <w:overflowPunct/>
              <w:topLinePunct w:val="0"/>
              <w:autoSpaceDN/>
              <w:bidi w:val="0"/>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29A0">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252.08</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95B0F">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252.08</w:t>
            </w: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8F03F">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B5D1C">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3F3F2">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B66B2">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7BBA5">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A6D14">
            <w:pPr>
              <w:pageBreakBefore w:val="0"/>
              <w:widowControl/>
              <w:kinsoku/>
              <w:wordWrap w:val="0"/>
              <w:overflowPunct/>
              <w:topLinePunct w:val="0"/>
              <w:autoSpaceDN/>
              <w:bidi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46F033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0133">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46A31">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682E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A478">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4851">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09FC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7D4F">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A221">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4B1E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7FE50">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2F40F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15C91">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39F8B">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C2E0">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D187">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081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3A31">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E5D7F">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1267">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1349">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18E2">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8FB06A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A9F6">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C085">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图书馆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741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C5093">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135.36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FE24">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DEF95">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BDB8">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B53EA">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A559">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08A0">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0D0A6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0491">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48CD9">
            <w:pPr>
              <w:pageBreakBefore w:val="0"/>
              <w:widowControl/>
              <w:kinsoku/>
              <w:overflowPunct/>
              <w:topLinePunct w:val="0"/>
              <w:autoSpaceDN/>
              <w:bidi w:val="0"/>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C4E9">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54BE">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D202">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B52F9">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F01C2">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4E363">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FEE8">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7F2C">
            <w:pPr>
              <w:pageBreakBefore w:val="0"/>
              <w:widowControl/>
              <w:kinsoku/>
              <w:wordWrap w:val="0"/>
              <w:overflowPunct/>
              <w:topLinePunct w:val="0"/>
              <w:autoSpaceDN/>
              <w:bidi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E597B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ECC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374F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43B3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99D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91D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73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85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9F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74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79B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9111B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336F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5C30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6A6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DFA3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EF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1B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8AE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88FC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320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115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20067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729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3745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3FC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627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C67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378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E8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F0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D3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347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68EAE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A29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282F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1765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FA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C8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E8B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A55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8B6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18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A8E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A494E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5D26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8695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B02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0C6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2A0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F7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1BF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75A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F4CD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AB1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8DAFC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810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D45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64C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2296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BA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CDF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E2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483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F8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FE1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74A627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770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A91C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BA8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79D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40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AF6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EA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845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E787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48D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3B70B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9DE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EEB1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AEF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D73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DC4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45A0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1F3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990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71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96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FB3C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69F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12E2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0FC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4D3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8563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D89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2DE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802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D38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E6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AD07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18A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C97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03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999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3D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E59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E56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DA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66B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454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7178CE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A61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6980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6C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AABF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287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A3E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5B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8B4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5B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6F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37430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380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B14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398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6726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014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E6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BC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84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8FD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D4A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7FD14E41">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D1DD5EE">
      <w:pPr>
        <w:rPr>
          <w:rFonts w:hint="default" w:ascii="Times New Roman" w:hAnsi="Times New Roman" w:cs="宋体"/>
          <w:sz w:val="20"/>
          <w:szCs w:val="20"/>
        </w:rPr>
      </w:pPr>
      <w:r>
        <w:rPr>
          <w:rFonts w:ascii="Times New Roman" w:hAnsi="Times New Roman" w:cs="宋体"/>
          <w:sz w:val="20"/>
          <w:szCs w:val="20"/>
        </w:rPr>
        <w:br w:type="page"/>
      </w:r>
    </w:p>
    <w:tbl>
      <w:tblPr>
        <w:tblStyle w:val="11"/>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27B8FED">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23416B">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6DB7B51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D25F8B4">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 xml:space="preserve">重庆市石柱土家族自治县图书馆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9748742">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FB82890">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FCAEBA3">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E476CD">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C051AFE">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26AC035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E1A43E9">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3ACED0B">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10CF9D5">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F2346D">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B24597">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D0E78F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3F0766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8B9E1C">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6D40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3B4C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F4FA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EBB6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4DBD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27E3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44EA8F8B">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C9CE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68EE84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F3BD7">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E331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73072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1A9E1">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8EFF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10D4D">
            <w:pPr>
              <w:jc w:val="center"/>
              <w:rPr>
                <w:rFonts w:hint="default" w:ascii="Times New Roman" w:hAnsi="Times New Roman" w:cs="宋体"/>
                <w:b/>
                <w:color w:val="000000"/>
                <w:sz w:val="20"/>
                <w:szCs w:val="20"/>
              </w:rPr>
            </w:pPr>
          </w:p>
        </w:tc>
      </w:tr>
      <w:tr w14:paraId="2730490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90500">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631A2F9">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0112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95267">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6CD30">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E735D">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F761F">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B37B5">
            <w:pPr>
              <w:jc w:val="center"/>
              <w:rPr>
                <w:rFonts w:hint="default" w:ascii="Times New Roman" w:hAnsi="Times New Roman" w:cs="宋体"/>
                <w:b/>
                <w:color w:val="000000"/>
                <w:sz w:val="20"/>
                <w:szCs w:val="20"/>
              </w:rPr>
            </w:pPr>
          </w:p>
        </w:tc>
      </w:tr>
      <w:tr w14:paraId="4181E55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8167F">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CFE53C">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9FAD1">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80F5F">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2D4DC">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F1BCC">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A910C">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9D38A">
            <w:pPr>
              <w:jc w:val="center"/>
              <w:rPr>
                <w:rFonts w:hint="default" w:ascii="Times New Roman" w:hAnsi="Times New Roman" w:cs="宋体"/>
                <w:b/>
                <w:color w:val="000000"/>
                <w:sz w:val="20"/>
                <w:szCs w:val="20"/>
              </w:rPr>
            </w:pPr>
          </w:p>
        </w:tc>
      </w:tr>
      <w:tr w14:paraId="47EE5E9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80A7">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6DA5F33">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498A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910D4">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ECD5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3E971">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C9489E">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39DAB">
            <w:pPr>
              <w:jc w:val="center"/>
              <w:rPr>
                <w:rFonts w:hint="default" w:ascii="Times New Roman" w:hAnsi="Times New Roman" w:cs="宋体"/>
                <w:b/>
                <w:color w:val="000000"/>
                <w:sz w:val="20"/>
                <w:szCs w:val="20"/>
              </w:rPr>
            </w:pPr>
          </w:p>
        </w:tc>
      </w:tr>
      <w:tr w14:paraId="7AD139B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FD1B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CD9DA">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252.08</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2215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138.69</w:t>
            </w:r>
            <w:r>
              <w:rPr>
                <w:rFonts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AD8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113.39</w:t>
            </w: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84B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054C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9258">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r w14:paraId="53500D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C75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7C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6889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1ABE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99.59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5928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113.39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A8C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0B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973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172896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D3D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C634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66D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84E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99.59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418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113.39</w:t>
            </w:r>
            <w:r>
              <w:rPr>
                <w:rFonts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DEE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EF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67F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A8B70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CC84">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8DC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图书馆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8B5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135.36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9E5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99.59</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B55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35.77</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B9C2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1A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3E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EF55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854F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07EC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D7B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569F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C5B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05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50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48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4C0F4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4C2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3992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C7CA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2BC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8D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C0BA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83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1601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52E7A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FE0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F86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2B53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277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5C98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773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7223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5C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4C7C35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AF5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0633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02C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6FC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67E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0D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2B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E656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D1D1C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DA7E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DDE4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891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B175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1A6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1ED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E4E9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B84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23500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187C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9B25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48A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187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9992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9645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59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2D5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D1EEA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25E6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1AF1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89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470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D2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147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C5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AF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08F0CA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96A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B2C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8BB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D53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B6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D38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461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11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6B177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693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C8B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4803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7E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51C5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A0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FAE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12ED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374190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5EE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C5ED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8184A">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B34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32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09F3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B2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730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2AACAB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D72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CB2E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5A5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532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62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FA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F0D9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6C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5BA75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14EA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4DE2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EBF2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E9D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DC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888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B71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52B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r w14:paraId="67A1E2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E4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B9F3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BF12">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B09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94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BCD4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1E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756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rPr>
              <w:t xml:space="preserve"> </w:t>
            </w:r>
          </w:p>
        </w:tc>
      </w:tr>
    </w:tbl>
    <w:p w14:paraId="798E578D">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36AD4F7A">
      <w:pPr>
        <w:rPr>
          <w:rFonts w:hint="default" w:ascii="Times New Roman" w:hAnsi="Times New Roman" w:cs="宋体"/>
          <w:sz w:val="21"/>
          <w:szCs w:val="21"/>
        </w:rPr>
      </w:pPr>
      <w:r>
        <w:rPr>
          <w:rFonts w:ascii="Times New Roman" w:hAnsi="Times New Roman" w:cs="宋体"/>
          <w:sz w:val="21"/>
          <w:szCs w:val="21"/>
        </w:rPr>
        <w:br w:type="page"/>
      </w:r>
    </w:p>
    <w:p w14:paraId="72565611">
      <w:pPr>
        <w:rPr>
          <w:rFonts w:hint="default" w:ascii="Times New Roman" w:hAnsi="Times New Roman" w:cs="宋体"/>
          <w:sz w:val="21"/>
          <w:szCs w:val="21"/>
        </w:rPr>
      </w:pPr>
    </w:p>
    <w:tbl>
      <w:tblPr>
        <w:tblStyle w:val="11"/>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7A901F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992858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191840B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6442805">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577" w:type="pct"/>
            <w:tcBorders>
              <w:top w:val="nil"/>
              <w:left w:val="nil"/>
              <w:bottom w:val="nil"/>
              <w:right w:val="nil"/>
            </w:tcBorders>
            <w:shd w:val="clear" w:color="auto" w:fill="auto"/>
            <w:noWrap/>
            <w:tcMar>
              <w:top w:w="15" w:type="dxa"/>
              <w:left w:w="15" w:type="dxa"/>
              <w:right w:w="15" w:type="dxa"/>
            </w:tcMar>
            <w:vAlign w:val="bottom"/>
          </w:tcPr>
          <w:p w14:paraId="76A0B63F">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97878B">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5EE746">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A14F899">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1E3E1AD2">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E097A59">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30F3EC">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340194">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020D2E">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0C7AB8">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7C163E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095D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01E7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52584B6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AC699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2EE9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1E88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A1258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06EE4B1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AD1A6">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BCBFF">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5C8F73">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04CC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D9BA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9EC6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7025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2E95A8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97D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2A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11E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EBD1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69D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3F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AEF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28488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C948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118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AD4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E8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187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9BD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5E3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4F527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FFE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545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73E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C1A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E9CA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DA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3F3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B205EA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ADCC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CD0205">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18C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9CB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61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8C0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C7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032C8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AA8C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BC2107">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32BF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63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65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7AF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22EF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5524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3B73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608937">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80F0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02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24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6581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CC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F845EF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62EF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9D7215">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F8E1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EBD4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212.98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A7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212.98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27E2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AC9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213AE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529F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91239">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E5B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F59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3E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26.09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AF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018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C548D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83F0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CBD84B">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13F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B8C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AC0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7.15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70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EFD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E603C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98F7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136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2C7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EE0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8E3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D46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54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B0523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E5F2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DBC3">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F55B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B2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A4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D2D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D7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7CC8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9373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9F0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C2B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AFC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7F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E21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5A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9E09A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6A42">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2998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D4B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2607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B59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70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C24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294D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87F3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83B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E5D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C86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CB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AF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6CAC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DB389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C97A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66B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8A6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0C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9D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889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02B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83FBD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00A2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4CE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565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F8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04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31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B7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8A7C4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FBCF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69D0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82A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FEE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2C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69F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CA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3C04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07A1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D9E4A">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059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F7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ECA0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3A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03B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2E220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D73D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A3C2">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8B0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FE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6B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5.86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87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476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BA897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7B7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CB70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DA8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D6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3EE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6E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AAA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4EAB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A83BB">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F7120">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053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9C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A2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890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1D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284F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FAF7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E88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D8C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AF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BF17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EA3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86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EF496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ECD3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65B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25A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65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2C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094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7F3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B253C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2322F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80E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262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1D9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04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07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CE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D7683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4501F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3A60">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BBFA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65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3E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EC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9F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97A59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B63F1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304E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9C5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A43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D4B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4A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0D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87D8A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DAC1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E4D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D872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95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7C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15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71D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B40A6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5BC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23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834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4E0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A8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CF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97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53F19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2154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BD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9DB44D">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86A849">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EFE380">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D3DB7F">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24E9B2">
            <w:pPr>
              <w:spacing w:line="200" w:lineRule="exact"/>
              <w:rPr>
                <w:rFonts w:hint="default" w:ascii="Times New Roman" w:hAnsi="Times New Roman" w:cs="宋体"/>
                <w:color w:val="000000"/>
                <w:sz w:val="18"/>
                <w:szCs w:val="18"/>
              </w:rPr>
            </w:pPr>
          </w:p>
        </w:tc>
      </w:tr>
      <w:tr w14:paraId="08E828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93C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92E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6FFB7">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00F8">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93E6">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49EC">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B01C7">
            <w:pPr>
              <w:spacing w:line="200" w:lineRule="exact"/>
              <w:jc w:val="right"/>
              <w:rPr>
                <w:rFonts w:hint="default" w:ascii="Times New Roman" w:hAnsi="Times New Roman" w:cs="宋体"/>
                <w:color w:val="000000"/>
                <w:sz w:val="18"/>
                <w:szCs w:val="18"/>
              </w:rPr>
            </w:pPr>
          </w:p>
        </w:tc>
      </w:tr>
      <w:tr w14:paraId="65631D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D7F6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12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157B0">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BE81E">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5D22C">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AEF0">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68305">
            <w:pPr>
              <w:spacing w:line="200" w:lineRule="exact"/>
              <w:jc w:val="right"/>
              <w:rPr>
                <w:rFonts w:hint="default" w:ascii="Times New Roman" w:hAnsi="Times New Roman" w:cs="宋体"/>
                <w:color w:val="000000"/>
                <w:sz w:val="18"/>
                <w:szCs w:val="18"/>
              </w:rPr>
            </w:pPr>
          </w:p>
        </w:tc>
      </w:tr>
      <w:tr w14:paraId="0C4348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F5C4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BD2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79D6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083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39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252.08</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F5B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254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bl>
    <w:p w14:paraId="29537CC0">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3BC91E4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42D1845">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53119658">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F9AD598">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637640F">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4F0616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6428797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4EF8B03">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9CBE183">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BF2537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339ACD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5C16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8B42F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5F24C5F1">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D7B17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81C3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C1A2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BF773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1773E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1DA0C15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4DB1E">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04C6E">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4DF6C">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A60A05">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88270">
            <w:pPr>
              <w:jc w:val="center"/>
              <w:rPr>
                <w:rFonts w:hint="default" w:ascii="Times New Roman" w:hAnsi="Times New Roman" w:cs="宋体"/>
                <w:b/>
                <w:color w:val="000000"/>
                <w:sz w:val="20"/>
                <w:szCs w:val="20"/>
              </w:rPr>
            </w:pPr>
          </w:p>
        </w:tc>
      </w:tr>
      <w:tr w14:paraId="54B82CB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C484B">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3B84D">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D8CAF">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69125">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554F2">
            <w:pPr>
              <w:jc w:val="center"/>
              <w:rPr>
                <w:rFonts w:hint="default" w:ascii="Times New Roman" w:hAnsi="Times New Roman" w:cs="宋体"/>
                <w:b/>
                <w:color w:val="000000"/>
                <w:sz w:val="20"/>
                <w:szCs w:val="20"/>
              </w:rPr>
            </w:pPr>
          </w:p>
        </w:tc>
      </w:tr>
      <w:tr w14:paraId="3DC3EDB4">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CED9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0786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252.08</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04B0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138.69</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ABB17">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113.39</w:t>
            </w:r>
            <w:r>
              <w:rPr>
                <w:rFonts w:ascii="Times New Roman" w:hAnsi="Times New Roman"/>
                <w:b/>
                <w:color w:val="000000"/>
                <w:sz w:val="20"/>
              </w:rPr>
              <w:t xml:space="preserve"> </w:t>
            </w:r>
          </w:p>
        </w:tc>
      </w:tr>
      <w:tr w14:paraId="5DC950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733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BAF3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5895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0E95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99.59</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E68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113.39</w:t>
            </w:r>
            <w:r>
              <w:rPr>
                <w:rFonts w:ascii="Times New Roman" w:hAnsi="Times New Roman"/>
                <w:b/>
                <w:color w:val="000000"/>
                <w:sz w:val="20"/>
              </w:rPr>
              <w:t xml:space="preserve"> </w:t>
            </w:r>
          </w:p>
        </w:tc>
      </w:tr>
      <w:tr w14:paraId="42E434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472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64DE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21F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212.98</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7F2B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99.59</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B3DD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113.39</w:t>
            </w:r>
            <w:r>
              <w:rPr>
                <w:rFonts w:ascii="Times New Roman" w:hAnsi="Times New Roman"/>
                <w:b/>
                <w:color w:val="000000"/>
                <w:sz w:val="20"/>
              </w:rPr>
              <w:t xml:space="preserve"> </w:t>
            </w:r>
          </w:p>
        </w:tc>
      </w:tr>
      <w:tr w14:paraId="710F68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64BB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6105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图书馆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3B6E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135.36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76FA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99.59</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1CC57">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35.77</w:t>
            </w:r>
            <w:r>
              <w:rPr>
                <w:rFonts w:ascii="Times New Roman" w:hAnsi="Times New Roman"/>
                <w:color w:val="000000"/>
                <w:sz w:val="20"/>
              </w:rPr>
              <w:t xml:space="preserve"> </w:t>
            </w:r>
          </w:p>
        </w:tc>
      </w:tr>
      <w:tr w14:paraId="512D0F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E8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2B54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EC4F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B6F7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DDDF9">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77.62</w:t>
            </w:r>
            <w:r>
              <w:rPr>
                <w:rFonts w:ascii="Times New Roman" w:hAnsi="Times New Roman"/>
                <w:color w:val="000000"/>
                <w:sz w:val="20"/>
              </w:rPr>
              <w:t xml:space="preserve"> </w:t>
            </w:r>
          </w:p>
        </w:tc>
      </w:tr>
      <w:tr w14:paraId="234CDD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6F41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12F4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FF82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F9AA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FCFE6">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9E098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3921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7E5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3F87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3B9B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26.09</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B2E7E">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32507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6C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C9B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AA25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C2BA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11.50</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3E68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5BF5A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EA9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D41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A6B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B941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7.82</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326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5B52D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E5A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49AE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690E">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4F3F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6.77</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C241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5A2354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BA5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F1B9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FAA0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453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4C65B">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094FF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C5E1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6F99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74057">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7845">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7.15</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D26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3D3459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5EB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BA5C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7510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87F78">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4.64</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AA747">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EDF90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9D6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095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F9FC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F491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2.51</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384E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63B33C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DB3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9F93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1DF7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F2B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042F3">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7956AD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56A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CAD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87CC">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F54C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5.86</w:t>
            </w:r>
            <w:r>
              <w:rPr>
                <w:rFonts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A485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r w14:paraId="1DA877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008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B399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086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B853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5.86</w:t>
            </w:r>
            <w:r>
              <w:rPr>
                <w:rFonts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C7C6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rPr>
              <w:t xml:space="preserve"> </w:t>
            </w:r>
          </w:p>
        </w:tc>
      </w:tr>
    </w:tbl>
    <w:p w14:paraId="508B871D">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81EC5A9">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11"/>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11CB26D">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2FA0EFB">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516D498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785A8DD">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626" w:type="pct"/>
            <w:tcBorders>
              <w:top w:val="nil"/>
              <w:left w:val="nil"/>
              <w:bottom w:val="nil"/>
              <w:right w:val="nil"/>
            </w:tcBorders>
            <w:shd w:val="clear" w:color="auto" w:fill="auto"/>
            <w:noWrap/>
            <w:tcMar>
              <w:top w:w="15" w:type="dxa"/>
              <w:left w:w="15" w:type="dxa"/>
              <w:right w:w="15" w:type="dxa"/>
            </w:tcMar>
            <w:vAlign w:val="bottom"/>
          </w:tcPr>
          <w:p w14:paraId="2730909F">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CD7272">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818B300">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B73A3C">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88A4392">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3892B8B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9C99231">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C531E1E">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D556B7C">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E5A56B6">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4D9EA52">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25A2D2E">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B4FFADB">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54D3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3A75D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23CC571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92DB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3A48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0FCF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7C53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05C67">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73F6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3FCA13">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1D77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BB3A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50B512ED">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51A03">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B81A64">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8BA32">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D5DD9">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1FA127">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E614E">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CD1CD">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AE058">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8882E">
            <w:pPr>
              <w:spacing w:line="200" w:lineRule="exact"/>
              <w:jc w:val="center"/>
              <w:rPr>
                <w:rFonts w:hint="default" w:ascii="Times New Roman" w:hAnsi="Times New Roman" w:cs="宋体"/>
                <w:b/>
                <w:color w:val="000000"/>
                <w:sz w:val="18"/>
                <w:szCs w:val="18"/>
              </w:rPr>
            </w:pPr>
          </w:p>
        </w:tc>
      </w:tr>
      <w:tr w14:paraId="7E972D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FE0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3B6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C990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106.98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17B3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B64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D47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18.96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F7C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85E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6BE2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CC0EA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8781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3D4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80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24.42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E93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875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63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3.04</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82E7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39B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71D8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5A68D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BB90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968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0C4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4.32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BF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714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AC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A2E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341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47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39293D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F68E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3442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EDF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E40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B573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659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323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6E0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BC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4DA37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E38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CC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21C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A6C2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93AE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556F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9B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D30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AE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B4B09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ECC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51D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77D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51.27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57C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AE71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245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5C0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F60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DF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1073E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5A3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25F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E2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7.82</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7102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9BA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71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52F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529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0E8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D4FA9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7DC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CF8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ABB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6.77</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8632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8A8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869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EC2F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AD9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EA6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33A1B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E2D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9773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1E1A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4.88</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81C7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528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BE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74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E401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C62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774EC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BCA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36C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FD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D37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5BA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322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159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9DC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0DD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A30EF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B01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9EF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A09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0.39</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0BE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13E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6D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A514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E8CE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8853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0C365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3BF8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FCD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E9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5.86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15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371E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D8FB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2E0A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961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19B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77FE0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BDB8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2E4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0D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1.26</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266B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2D6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68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A09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94F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9D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09C2C8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FF2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1300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F67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01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6849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553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49E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8C38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04A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D10C9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6B8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C50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EF7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12.75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E94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717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55E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D1B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03DF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7F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657DF8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657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FAF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4888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CC8B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72A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869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4D8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314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2E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46E59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5D6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54F9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DC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341C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46E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D5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0.06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AE4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42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F9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74D7F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4E3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0F62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75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89D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71C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896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64A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205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67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1C36D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6A9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A55E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DDF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0C3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C980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432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60B3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7469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69C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E515D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048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C36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A5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11.50</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CFC7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32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2CD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143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5F08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428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C3CCB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16DF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A9C5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5E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FDC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CB8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33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ADD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F5E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869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407D54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5B2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D31F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A01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1.25</w:t>
            </w: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9084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3309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F1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4A3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E51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C18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13D7A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60F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1E9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15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98ED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E60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0D42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0.96</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F58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99E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A6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7725A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C44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096C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3A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105B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EA3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B2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40B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1436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10C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2DD4BF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00D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D069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09A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15C3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2A54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3BD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E0C9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E6F0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DCD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5C0E0C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C38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2F2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A3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7765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A27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D0F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742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832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BC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0AB3D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B5A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D916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D48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DE0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2C35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521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AF50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79D1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59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3BEA86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A3E6">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D2967">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426225">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FA15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8E36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CA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5.40</w:t>
            </w: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630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005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C0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1A4775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1AF33">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2CE1F">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65D015">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6BB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D6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45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15D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9E7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8D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r>
      <w:tr w14:paraId="774AFF3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8DDA6">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9EDF0">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0A30B">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06D1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1FB2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7AB3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2616C">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976DF">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C02B">
            <w:pPr>
              <w:spacing w:line="200" w:lineRule="exact"/>
              <w:jc w:val="right"/>
              <w:rPr>
                <w:rFonts w:hint="default" w:ascii="Times New Roman" w:hAnsi="Times New Roman" w:cs="宋体"/>
                <w:color w:val="000000"/>
                <w:sz w:val="18"/>
                <w:szCs w:val="18"/>
              </w:rPr>
            </w:pPr>
          </w:p>
        </w:tc>
      </w:tr>
      <w:tr w14:paraId="480039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DAE81">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51BCA">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219671">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BF7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B34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327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420FA">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2B3F8">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B32F">
            <w:pPr>
              <w:spacing w:line="200" w:lineRule="exact"/>
              <w:jc w:val="right"/>
              <w:rPr>
                <w:rFonts w:hint="default" w:ascii="Times New Roman" w:hAnsi="Times New Roman" w:cs="宋体"/>
                <w:color w:val="000000"/>
                <w:sz w:val="18"/>
                <w:szCs w:val="18"/>
              </w:rPr>
            </w:pPr>
          </w:p>
        </w:tc>
      </w:tr>
      <w:tr w14:paraId="1D1ADF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D3419">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1A1B">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FE553">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DB7C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2E28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AC4E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8FD08">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25845">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B3CD">
            <w:pPr>
              <w:spacing w:line="200" w:lineRule="exact"/>
              <w:jc w:val="right"/>
              <w:rPr>
                <w:rFonts w:hint="default" w:ascii="Times New Roman" w:hAnsi="Times New Roman" w:cs="宋体"/>
                <w:color w:val="000000"/>
                <w:sz w:val="18"/>
                <w:szCs w:val="18"/>
              </w:rPr>
            </w:pPr>
          </w:p>
        </w:tc>
      </w:tr>
      <w:tr w14:paraId="28B232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77F31">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3F1BF">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B06D9">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C6D4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0753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2F0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FCCA6">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7013C">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AC7F">
            <w:pPr>
              <w:spacing w:line="200" w:lineRule="exact"/>
              <w:jc w:val="right"/>
              <w:rPr>
                <w:rFonts w:hint="default" w:ascii="Times New Roman" w:hAnsi="Times New Roman" w:cs="宋体"/>
                <w:color w:val="000000"/>
                <w:sz w:val="18"/>
                <w:szCs w:val="18"/>
              </w:rPr>
            </w:pPr>
          </w:p>
        </w:tc>
      </w:tr>
      <w:tr w14:paraId="092C3D4C">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4A07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4EA6DE">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119.73</w:t>
            </w:r>
            <w:r>
              <w:rPr>
                <w:rFonts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BB6558">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8E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18.96</w:t>
            </w:r>
            <w:r>
              <w:rPr>
                <w:rFonts w:ascii="Times New Roman" w:hAnsi="Times New Roman"/>
                <w:color w:val="000000"/>
                <w:sz w:val="18"/>
              </w:rPr>
              <w:t xml:space="preserve"> </w:t>
            </w:r>
          </w:p>
        </w:tc>
      </w:tr>
    </w:tbl>
    <w:p w14:paraId="43ACB19A">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468F39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5684F9">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19E33872">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0DD4EAA">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555" w:type="pct"/>
            <w:tcBorders>
              <w:top w:val="nil"/>
              <w:left w:val="nil"/>
              <w:bottom w:val="nil"/>
              <w:right w:val="nil"/>
            </w:tcBorders>
            <w:shd w:val="clear" w:color="auto" w:fill="auto"/>
            <w:noWrap/>
            <w:tcMar>
              <w:top w:w="15" w:type="dxa"/>
              <w:left w:w="15" w:type="dxa"/>
              <w:right w:w="15" w:type="dxa"/>
            </w:tcMar>
            <w:vAlign w:val="bottom"/>
          </w:tcPr>
          <w:p w14:paraId="77DFE60D">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5AB48A">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0EA2E6">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50983A3">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1F5B6F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07AF428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D85D17C">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662754">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6488D10">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F013CF">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A41A07D">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FE01A3">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3D9182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1959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414A5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CD61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D64B1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1A64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7E0F1A6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8A37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DA41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0A2224">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B650E">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DA672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77E11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96725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DA6AB">
            <w:pPr>
              <w:jc w:val="center"/>
              <w:rPr>
                <w:rFonts w:hint="default" w:ascii="Times New Roman" w:hAnsi="Times New Roman" w:cs="宋体"/>
                <w:b/>
                <w:color w:val="000000"/>
                <w:sz w:val="20"/>
                <w:szCs w:val="20"/>
              </w:rPr>
            </w:pPr>
          </w:p>
        </w:tc>
      </w:tr>
      <w:tr w14:paraId="6FC9524D">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691B6">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B8231">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BF672F">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51870">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0C33A">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D9118">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10FE0C">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85094">
            <w:pPr>
              <w:jc w:val="center"/>
              <w:rPr>
                <w:rFonts w:hint="default" w:ascii="Times New Roman" w:hAnsi="Times New Roman" w:cs="宋体"/>
                <w:b/>
                <w:color w:val="000000"/>
                <w:sz w:val="20"/>
                <w:szCs w:val="20"/>
              </w:rPr>
            </w:pPr>
          </w:p>
        </w:tc>
      </w:tr>
      <w:tr w14:paraId="3350DDEF">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BFC82">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0D54A">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65FCE11">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2E947">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E681C">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7470B">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6CC05">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8B4F8">
            <w:pPr>
              <w:jc w:val="center"/>
              <w:rPr>
                <w:rFonts w:hint="default" w:ascii="Times New Roman" w:hAnsi="Times New Roman" w:cs="宋体"/>
                <w:b/>
                <w:color w:val="000000"/>
                <w:sz w:val="20"/>
                <w:szCs w:val="20"/>
              </w:rPr>
            </w:pPr>
          </w:p>
        </w:tc>
      </w:tr>
      <w:tr w14:paraId="0D6F9275">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909D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6B3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27717">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6B95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C476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D11E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EEEE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4495952F">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49C771D8">
      <w:pPr>
        <w:rPr>
          <w:rFonts w:hint="default" w:ascii="Times New Roman" w:hAnsi="Times New Roman" w:cs="宋体"/>
          <w:sz w:val="21"/>
          <w:szCs w:val="21"/>
        </w:rPr>
      </w:pPr>
      <w:r>
        <w:rPr>
          <w:rFonts w:ascii="Times New Roman" w:hAnsi="Times New Roman" w:cs="宋体"/>
          <w:sz w:val="21"/>
          <w:szCs w:val="21"/>
        </w:rPr>
        <w:br w:type="page"/>
      </w:r>
    </w:p>
    <w:tbl>
      <w:tblPr>
        <w:tblStyle w:val="11"/>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FC0779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A241CA">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7D464B5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25BFF6F">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3578AFA">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A80EC3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5872D18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D52713D">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DFE1B3">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EAC9A76">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86CF0AC">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D361CC6">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3C4881">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2ED806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F929B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155D6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3D1B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FC16C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C766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3912EF15">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08BE9">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6A7D49">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C34E3">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951F5D">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52BC96">
            <w:pPr>
              <w:jc w:val="center"/>
              <w:rPr>
                <w:rFonts w:hint="default" w:ascii="Times New Roman" w:hAnsi="Times New Roman" w:cs="宋体"/>
                <w:b/>
                <w:color w:val="000000"/>
                <w:sz w:val="20"/>
                <w:szCs w:val="20"/>
              </w:rPr>
            </w:pPr>
          </w:p>
        </w:tc>
      </w:tr>
      <w:tr w14:paraId="2B003B5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32429">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A28AF">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5C56D">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B06A2">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A3BCC4">
            <w:pPr>
              <w:jc w:val="center"/>
              <w:rPr>
                <w:rFonts w:hint="default" w:ascii="Times New Roman" w:hAnsi="Times New Roman" w:cs="宋体"/>
                <w:b/>
                <w:color w:val="000000"/>
                <w:sz w:val="20"/>
                <w:szCs w:val="20"/>
              </w:rPr>
            </w:pPr>
          </w:p>
        </w:tc>
      </w:tr>
      <w:tr w14:paraId="23EB53C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06A51">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73763B">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124B9">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ECEC33">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49E3E">
            <w:pPr>
              <w:jc w:val="center"/>
              <w:rPr>
                <w:rFonts w:hint="default" w:ascii="Times New Roman" w:hAnsi="Times New Roman" w:cs="宋体"/>
                <w:b/>
                <w:color w:val="000000"/>
                <w:sz w:val="20"/>
                <w:szCs w:val="20"/>
              </w:rPr>
            </w:pPr>
          </w:p>
        </w:tc>
      </w:tr>
      <w:tr w14:paraId="42D033F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D64F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887E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342DD">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A7CF9">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rPr>
              <w:t xml:space="preserve"> </w:t>
            </w:r>
          </w:p>
        </w:tc>
      </w:tr>
    </w:tbl>
    <w:p w14:paraId="22A86D3E">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11"/>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39E13FE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F43F821">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0704F8A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57FBE6C4">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0C09CB6">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C9E7EAF">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8218A67">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C3FAFF5">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17B9F37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DA10737">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rPr>
              <w:t>重庆市石柱土家族自治县图书馆</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2F30C072">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1E50DCE">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0DC1A5E">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665AE54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174A0D">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AB4FDC">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089C0">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DA9747">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77569B">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3C1584E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0812C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0DA5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8CE81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DB22A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7AFB0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1F865C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4FA9C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54D9F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1.06</w:t>
            </w: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7DC3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1.06</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E217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DD902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5538E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656AC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6EE14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BDD05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7E338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6F383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A12FB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AB5DA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17E5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1.00</w:t>
            </w: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43FE51">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657C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58838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01BEB0D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41269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10EE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056C4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A7088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291F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1   </w:t>
            </w:r>
          </w:p>
        </w:tc>
      </w:tr>
      <w:tr w14:paraId="21EA447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FC47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4C652">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1.00</w:t>
            </w: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F0D6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14684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D0F8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AFA4C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A96D0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8B1FF">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0.06</w:t>
            </w:r>
            <w:r>
              <w:rPr>
                <w:rFonts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9D35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0.06</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81772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8CF5C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C237A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32AA3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F7F5F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B0E82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0.06</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7E893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C821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B4431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E4C4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1291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6D6A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AC159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53B0D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r>
      <w:tr w14:paraId="523CFA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85DA7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90EA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66B5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39F0C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FD2EE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5F858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C5359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417D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1969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D2CD7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B400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463160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94AAC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D45D4">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C9452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A9AF8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49767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610D3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820BE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C8D8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5E162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8C679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13925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A309C8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DACBF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D3EA1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A1047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644D3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0E4F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58880B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CD051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55FA9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AD1344">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08F85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5D06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7E2E313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4C25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7901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DE247D">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2</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03001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0C55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00803C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29BC4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E13F9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13A8DB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3BC79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EB8E5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63D42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C9F74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29FA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8845B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8C67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5C02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BB26F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03A85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F4EB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2EEE5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9F2C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F87C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252B61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DC4C7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699C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2E4E4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E1326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6FDD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3F3FDC9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33D76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A7D5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B8B84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52CA2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0B5A0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rPr>
              <w:t xml:space="preserve"> </w:t>
            </w:r>
          </w:p>
        </w:tc>
      </w:tr>
      <w:tr w14:paraId="66B390C9">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0E716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E4C2B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FDAD7A">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0.50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284793">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4D383D">
            <w:pPr>
              <w:spacing w:line="200" w:lineRule="exact"/>
              <w:jc w:val="right"/>
              <w:rPr>
                <w:rFonts w:hint="default" w:ascii="Times New Roman" w:hAnsi="Times New Roman" w:cs="宋体"/>
                <w:color w:val="000000"/>
                <w:sz w:val="16"/>
                <w:szCs w:val="16"/>
              </w:rPr>
            </w:pPr>
          </w:p>
        </w:tc>
      </w:tr>
      <w:tr w14:paraId="51181397">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8033A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8D90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65B08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0.50</w:t>
            </w:r>
            <w:r>
              <w:rPr>
                <w:rFonts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7F51A3">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31B64">
            <w:pPr>
              <w:spacing w:line="200" w:lineRule="exact"/>
              <w:jc w:val="right"/>
              <w:rPr>
                <w:rFonts w:hint="default" w:ascii="Times New Roman" w:hAnsi="Times New Roman" w:cs="宋体"/>
                <w:color w:val="000000"/>
                <w:sz w:val="16"/>
                <w:szCs w:val="16"/>
              </w:rPr>
            </w:pPr>
          </w:p>
        </w:tc>
      </w:tr>
    </w:tbl>
    <w:p w14:paraId="4E43924D">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8AEEC">
    <w:pPr>
      <w:pStyle w:val="8"/>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F4FD522">
                <w:pPr>
                  <w:pStyle w:val="8"/>
                  <w:rPr>
                    <w:rFonts w:hint="default"/>
                  </w:rPr>
                </w:pPr>
                <w:r>
                  <w:fldChar w:fldCharType="begin"/>
                </w:r>
                <w:r>
                  <w:instrText xml:space="preserve"> PAGE  \* MERGEFORMAT </w:instrText>
                </w:r>
                <w:r>
                  <w:fldChar w:fldCharType="separate"/>
                </w:r>
                <w:r>
                  <w:rPr>
                    <w:rFonts w:hint="default"/>
                  </w:rPr>
                  <w:t>- 16 -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3577B">
    <w:pPr>
      <w:pStyle w:val="8"/>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554EDA2A">
                <w:pPr>
                  <w:pStyle w:val="8"/>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3595EFA">
                <w:pPr>
                  <w:pStyle w:val="8"/>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F6D3">
    <w:pPr>
      <w:pStyle w:val="9"/>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0ZmI4ZWNkYjIwNWU0YWUwZjI5MGQ1NmVmYWZkMzA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E1231B"/>
    <w:rsid w:val="00F41755"/>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75619B"/>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6A3E13"/>
    <w:rsid w:val="0F836721"/>
    <w:rsid w:val="0FA25D96"/>
    <w:rsid w:val="107B59E5"/>
    <w:rsid w:val="10EC0126"/>
    <w:rsid w:val="10F70B9A"/>
    <w:rsid w:val="111445C7"/>
    <w:rsid w:val="114278C6"/>
    <w:rsid w:val="1158083A"/>
    <w:rsid w:val="11643A4B"/>
    <w:rsid w:val="11ED0F98"/>
    <w:rsid w:val="11F03528"/>
    <w:rsid w:val="12C921C4"/>
    <w:rsid w:val="135B2C24"/>
    <w:rsid w:val="13871C70"/>
    <w:rsid w:val="13A71CB4"/>
    <w:rsid w:val="13AF1D43"/>
    <w:rsid w:val="13CE1647"/>
    <w:rsid w:val="13D572C2"/>
    <w:rsid w:val="13FD55AB"/>
    <w:rsid w:val="14200702"/>
    <w:rsid w:val="163A6CEE"/>
    <w:rsid w:val="173708E3"/>
    <w:rsid w:val="17C374FC"/>
    <w:rsid w:val="182E4AB6"/>
    <w:rsid w:val="189079DC"/>
    <w:rsid w:val="189B0D0B"/>
    <w:rsid w:val="18B43F7C"/>
    <w:rsid w:val="194A1770"/>
    <w:rsid w:val="19B906A4"/>
    <w:rsid w:val="1B6F15B6"/>
    <w:rsid w:val="1B770817"/>
    <w:rsid w:val="1BAA2EDC"/>
    <w:rsid w:val="1BD23C9F"/>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B706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946E66"/>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6452D0"/>
    <w:rsid w:val="439A3EB9"/>
    <w:rsid w:val="43BB152F"/>
    <w:rsid w:val="44C37687"/>
    <w:rsid w:val="45A51959"/>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719BC"/>
    <w:rsid w:val="4DAC4ACA"/>
    <w:rsid w:val="4DBE01D2"/>
    <w:rsid w:val="4DD97B58"/>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085295"/>
    <w:rsid w:val="56530F5D"/>
    <w:rsid w:val="567700D3"/>
    <w:rsid w:val="56FF7E9E"/>
    <w:rsid w:val="578867FC"/>
    <w:rsid w:val="5842572D"/>
    <w:rsid w:val="590B5AFF"/>
    <w:rsid w:val="593E4146"/>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1"/>
    <w:basedOn w:val="3"/>
    <w:next w:val="1"/>
    <w:qFormat/>
    <w:uiPriority w:val="0"/>
    <w:pPr>
      <w:shd w:val="clear" w:color="auto" w:fill="FFFFFF"/>
      <w:outlineLvl w:val="0"/>
    </w:pPr>
    <w:rPr>
      <w:rFonts w:ascii="黑体" w:hAnsi="黑体" w:eastAsia="方正黑体_GBK" w:cs="黑体"/>
      <w:sz w:val="32"/>
      <w:szCs w:val="32"/>
      <w:shd w:val="clear" w:color="auto" w:fill="FFFFFF"/>
    </w:rPr>
  </w:style>
  <w:style w:type="paragraph" w:styleId="4">
    <w:name w:val="heading 2"/>
    <w:basedOn w:val="1"/>
    <w:next w:val="1"/>
    <w:link w:val="21"/>
    <w:unhideWhenUsed/>
    <w:qFormat/>
    <w:uiPriority w:val="0"/>
    <w:pPr>
      <w:keepNext/>
      <w:keepLines/>
      <w:spacing w:before="260" w:beforeLines="0" w:after="260" w:afterLines="0" w:line="240" w:lineRule="auto"/>
      <w:outlineLvl w:val="1"/>
    </w:pPr>
    <w:rPr>
      <w:rFonts w:ascii="Arial" w:hAnsi="Arial" w:eastAsia="方正楷体_GBK"/>
      <w:sz w:val="32"/>
    </w:rPr>
  </w:style>
  <w:style w:type="paragraph" w:styleId="5">
    <w:name w:val="heading 3"/>
    <w:basedOn w:val="1"/>
    <w:next w:val="1"/>
    <w:link w:val="20"/>
    <w:unhideWhenUsed/>
    <w:qFormat/>
    <w:uiPriority w:val="0"/>
    <w:pPr>
      <w:keepNext/>
      <w:keepLines/>
      <w:spacing w:before="260" w:beforeLines="0" w:beforeAutospacing="0" w:after="260" w:afterLines="0" w:afterAutospacing="0" w:line="413" w:lineRule="auto"/>
      <w:outlineLvl w:val="2"/>
    </w:pPr>
    <w:rPr>
      <w:rFonts w:eastAsia="方正仿宋_GBK"/>
      <w:sz w:val="32"/>
    </w:rPr>
  </w:style>
  <w:style w:type="paragraph" w:styleId="6">
    <w:name w:val="heading 4"/>
    <w:basedOn w:val="1"/>
    <w:next w:val="1"/>
    <w:unhideWhenUsed/>
    <w:qFormat/>
    <w:uiPriority w:val="0"/>
    <w:pPr>
      <w:keepNext/>
      <w:keepLines/>
      <w:spacing w:before="280" w:beforeLines="0" w:after="290" w:afterLines="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paragraph" w:styleId="7">
    <w:name w:val="Balloon Text"/>
    <w:basedOn w:val="1"/>
    <w:link w:val="19"/>
    <w:qFormat/>
    <w:uiPriority w:val="0"/>
    <w:rPr>
      <w:sz w:val="18"/>
      <w:szCs w:val="18"/>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rPr>
  </w:style>
  <w:style w:type="paragraph" w:customStyle="1" w:styleId="15">
    <w:name w:val="列出段落1"/>
    <w:basedOn w:val="1"/>
    <w:qFormat/>
    <w:uiPriority w:val="99"/>
    <w:pPr>
      <w:ind w:firstLine="420" w:firstLineChars="200"/>
    </w:pPr>
    <w:rPr>
      <w:rFonts w:hint="default" w:eastAsia="方正楷体_GBK"/>
      <w:sz w:val="32"/>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Char"/>
    <w:basedOn w:val="13"/>
    <w:link w:val="7"/>
    <w:qFormat/>
    <w:uiPriority w:val="0"/>
    <w:rPr>
      <w:rFonts w:ascii="宋体" w:hAnsi="宋体"/>
      <w:sz w:val="18"/>
      <w:szCs w:val="18"/>
    </w:rPr>
  </w:style>
  <w:style w:type="character" w:customStyle="1" w:styleId="20">
    <w:name w:val="标题 3 Char"/>
    <w:link w:val="5"/>
    <w:qFormat/>
    <w:uiPriority w:val="0"/>
    <w:rPr>
      <w:rFonts w:eastAsia="方正仿宋_GBK"/>
      <w:sz w:val="32"/>
    </w:rPr>
  </w:style>
  <w:style w:type="character" w:customStyle="1" w:styleId="21">
    <w:name w:val="标题 2 Char"/>
    <w:link w:val="4"/>
    <w:qFormat/>
    <w:uiPriority w:val="0"/>
    <w:rPr>
      <w:rFonts w:ascii="Arial" w:hAnsi="Arial" w:eastAsia="方正楷体_GBK"/>
      <w:sz w:val="32"/>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8174</Words>
  <Characters>9891</Characters>
  <Lines>43</Lines>
  <Paragraphs>31</Paragraphs>
  <TotalTime>13</TotalTime>
  <ScaleCrop>false</ScaleCrop>
  <LinksUpToDate>false</LinksUpToDate>
  <CharactersWithSpaces>10929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2024-10-11T03:05:00Z</dcterms:created>
  <dc:creator>Administrator</dc:creator>
  <cp:lastModifiedBy>可爱多</cp:lastModifiedBy>
  <dcterms:modified xsi:type="dcterms:W3CDTF">2024-10-21T07:12:56Z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