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A44B2B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退役军人事务局</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年部门预算情况说明</w:t>
      </w:r>
    </w:p>
    <w:p w14:paraId="7DBEBF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p>
    <w:p w14:paraId="31317A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514DB8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73BE64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组织实施退役军人思想政治、管理保障和安置优抚等工作政策法规，褒扬彰显退役军人为党、国家和人民牺牲奉献的精神风范和价值导向</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负责军队转业干部、复员干部、离休退休干部、退役士兵和无军籍退休退职职工的移交安置工作和逐月领取退役金、自主择业、就业退役军人服务管理工作</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rPr>
        <w:t>组织开展退役军人教育培训工作，协调扶持退役军人和随军随调家属就业创业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会同有关部门组织实施退役军人特殊保障政策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组织协调落实移交地方的离休退休军人、符合条件的其他退役军人和无军籍退休退职职工的住房保障工作，以及退役军人医疗保障、社会保险等待遇保障工作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组织开展伤病残退役军人服务管理和抚恤工作，指导实施有关退役军人医疗、疗养、养老等机构的规划政策。承担不适宜继续服役的伤病残军人相关工作。组织开展军供服务保障工作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组织开展全县拥军优属工作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负责现役军人、退役军人、军队文职人员和军属优待、抚恤等工作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组织实施国民党抗战老兵等有关人员优待政策</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负责烈士及退役军人荣誉奖励、军人公墓管理维护、纪念活动等工作，依法承担英雄烈士保护相关工作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审核拟列入全国、全市、全县重点保护单位的烈士纪念建筑物名录，承办县内烈士纪念设施保护事宜，总结表彰和宣扬退役军人、退役军人工作单位和个人先进典型事迹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指导并监督检查退役军人相关法律法规和政策措施的落实，组织开展退役军人权益维护和有关人员的帮扶援助工作</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完成县委、县政府和县人武部交办的其他任务。</w:t>
      </w:r>
    </w:p>
    <w:p w14:paraId="159BAA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442797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石柱土家族自治县退役军人事务局内设四个行政科室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综合科</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安置就业科</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拥军优抚科</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思想政治和权益维护科，</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个直属事业单位：</w:t>
      </w:r>
      <w:r>
        <w:rPr>
          <w:rFonts w:hint="eastAsia" w:ascii="Times New Roman" w:hAnsi="Times New Roman" w:eastAsia="方正仿宋_GBK" w:cs="Times New Roman"/>
          <w:sz w:val="32"/>
          <w:szCs w:val="32"/>
        </w:rPr>
        <w:t>石柱土家族自治县军队离退休干部服务中心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石柱土家族自治县军用饮食供应站</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石柱土家族自治县退役军人服务中心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石柱土家族自治县烈士陵园管理所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现有行政编制</w:t>
      </w:r>
      <w:r>
        <w:rPr>
          <w:rFonts w:hint="eastAsia" w:ascii="Times New Roman" w:hAnsi="Times New Roman" w:eastAsia="方正仿宋_GBK" w:cs="Times New Roman"/>
          <w:sz w:val="32"/>
          <w:szCs w:val="32"/>
          <w:lang w:val="en-US" w:eastAsia="zh-CN"/>
        </w:rPr>
        <w:t>8人，实有8人，参公事业编制1人，实有1人，事业编制10人，实有9人。</w:t>
      </w:r>
    </w:p>
    <w:p w14:paraId="6664E7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14:paraId="14314E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yellow"/>
          <w:lang w:eastAsia="zh-CN"/>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年年初预算数8733.2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万元，其中：一般公共预算拨款8733.2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万元，政府性基金预算拨款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万元，国有资本经营预算拨款</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万元，财政专户管理资金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万元，上级补助收入资金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万元，附属单位上缴收入资金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万元，事业单位经营收入资金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万元，其他收入资金</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万元；收入</w:t>
      </w:r>
      <w:r>
        <w:rPr>
          <w:rFonts w:hint="eastAsia" w:ascii="Times New Roman" w:hAnsi="Times New Roman" w:eastAsia="方正仿宋_GBK" w:cs="Times New Roman"/>
          <w:sz w:val="32"/>
          <w:szCs w:val="32"/>
          <w:lang w:eastAsia="zh-CN"/>
        </w:rPr>
        <w:t>比2023年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424.38</w:t>
      </w:r>
      <w:r>
        <w:rPr>
          <w:rFonts w:hint="default" w:ascii="Times New Roman" w:hAnsi="Times New Roman" w:eastAsia="方正仿宋_GBK" w:cs="Times New Roman"/>
          <w:sz w:val="32"/>
          <w:szCs w:val="32"/>
        </w:rPr>
        <w:t>万元，主要是一般公共预算拨款增加</w:t>
      </w:r>
      <w:r>
        <w:rPr>
          <w:rFonts w:hint="eastAsia" w:ascii="Times New Roman" w:hAnsi="Times New Roman" w:eastAsia="方正仿宋_GBK" w:cs="Times New Roman"/>
          <w:sz w:val="32"/>
          <w:szCs w:val="32"/>
          <w:lang w:val="en-US" w:eastAsia="zh-CN"/>
        </w:rPr>
        <w:t>424.38</w:t>
      </w:r>
      <w:r>
        <w:rPr>
          <w:rFonts w:hint="default" w:ascii="Times New Roman" w:hAnsi="Times New Roman" w:eastAsia="方正仿宋_GBK" w:cs="Times New Roman"/>
          <w:sz w:val="32"/>
          <w:szCs w:val="32"/>
        </w:rPr>
        <w:t>万元。</w:t>
      </w:r>
    </w:p>
    <w:p w14:paraId="50CE1F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年年初预算数8733.2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全部为</w:t>
      </w:r>
      <w:r>
        <w:rPr>
          <w:rFonts w:hint="default" w:ascii="Times New Roman" w:hAnsi="Times New Roman" w:eastAsia="方正仿宋_GBK" w:cs="Times New Roman"/>
          <w:sz w:val="32"/>
          <w:szCs w:val="32"/>
        </w:rPr>
        <w:t>一般公共服务支出8733.2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社会保障和就业支出</w:t>
      </w:r>
      <w:r>
        <w:rPr>
          <w:rFonts w:hint="eastAsia" w:ascii="Times New Roman" w:hAnsi="Times New Roman" w:eastAsia="方正仿宋_GBK" w:cs="Times New Roman"/>
          <w:sz w:val="32"/>
          <w:szCs w:val="32"/>
          <w:lang w:val="en-US" w:eastAsia="zh-CN"/>
        </w:rPr>
        <w:t>8284.71</w:t>
      </w:r>
      <w:r>
        <w:rPr>
          <w:rFonts w:hint="default" w:ascii="Times New Roman" w:hAnsi="Times New Roman" w:eastAsia="方正仿宋_GBK" w:cs="Times New Roman"/>
          <w:sz w:val="32"/>
          <w:szCs w:val="32"/>
        </w:rPr>
        <w:t>万元，卫生健康支出</w:t>
      </w:r>
      <w:r>
        <w:rPr>
          <w:rFonts w:hint="eastAsia" w:ascii="Times New Roman" w:hAnsi="Times New Roman" w:eastAsia="方正仿宋_GBK" w:cs="Times New Roman"/>
          <w:sz w:val="32"/>
          <w:szCs w:val="32"/>
          <w:lang w:val="en-US" w:eastAsia="zh-CN"/>
        </w:rPr>
        <w:t>415.47</w:t>
      </w:r>
      <w:r>
        <w:rPr>
          <w:rFonts w:hint="default" w:ascii="Times New Roman" w:hAnsi="Times New Roman" w:eastAsia="方正仿宋_GBK" w:cs="Times New Roman"/>
          <w:sz w:val="32"/>
          <w:szCs w:val="32"/>
        </w:rPr>
        <w:t>万元，住房保障支出</w:t>
      </w:r>
      <w:r>
        <w:rPr>
          <w:rFonts w:hint="eastAsia" w:ascii="Times New Roman" w:hAnsi="Times New Roman" w:eastAsia="方正仿宋_GBK" w:cs="Times New Roman"/>
          <w:sz w:val="32"/>
          <w:szCs w:val="32"/>
          <w:lang w:val="en-US" w:eastAsia="zh-CN"/>
        </w:rPr>
        <w:t>25.02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，其他支出</w:t>
      </w:r>
      <w:r>
        <w:rPr>
          <w:rFonts w:hint="eastAsia" w:ascii="Times New Roman" w:hAnsi="Times New Roman" w:eastAsia="方正仿宋_GBK" w:cs="Times New Roman"/>
          <w:sz w:val="32"/>
          <w:szCs w:val="32"/>
          <w:lang w:val="en-US" w:eastAsia="zh-CN"/>
        </w:rPr>
        <w:t>8.00万元</w:t>
      </w:r>
      <w:r>
        <w:rPr>
          <w:rFonts w:hint="default" w:ascii="Times New Roman" w:hAnsi="Times New Roman" w:eastAsia="方正仿宋_GBK" w:cs="Times New Roman"/>
          <w:sz w:val="32"/>
          <w:szCs w:val="32"/>
        </w:rPr>
        <w:t>；支出</w:t>
      </w:r>
      <w:r>
        <w:rPr>
          <w:rFonts w:hint="eastAsia" w:ascii="Times New Roman" w:hAnsi="Times New Roman" w:eastAsia="方正仿宋_GBK" w:cs="Times New Roman"/>
          <w:sz w:val="32"/>
          <w:szCs w:val="32"/>
          <w:lang w:eastAsia="zh-CN"/>
        </w:rPr>
        <w:t>比2023年</w:t>
      </w:r>
      <w:r>
        <w:rPr>
          <w:rFonts w:hint="default" w:ascii="Times New Roman" w:hAnsi="Times New Roman" w:eastAsia="方正仿宋_GBK" w:cs="Times New Roman"/>
          <w:sz w:val="32"/>
          <w:szCs w:val="32"/>
        </w:rPr>
        <w:t>增加</w:t>
      </w:r>
      <w:r>
        <w:rPr>
          <w:rFonts w:hint="eastAsia" w:ascii="Times New Roman" w:hAnsi="Times New Roman" w:eastAsia="方正仿宋_GBK" w:cs="Times New Roman"/>
          <w:sz w:val="32"/>
          <w:szCs w:val="32"/>
          <w:lang w:val="en-US" w:eastAsia="zh-CN"/>
        </w:rPr>
        <w:t>424.38</w:t>
      </w:r>
      <w:r>
        <w:rPr>
          <w:rFonts w:hint="default" w:ascii="Times New Roman" w:hAnsi="Times New Roman" w:eastAsia="方正仿宋_GBK" w:cs="Times New Roman"/>
          <w:sz w:val="32"/>
          <w:szCs w:val="32"/>
        </w:rPr>
        <w:t>万元，主要是基本支出减少</w:t>
      </w:r>
      <w:r>
        <w:rPr>
          <w:rFonts w:hint="eastAsia" w:ascii="Times New Roman" w:hAnsi="Times New Roman" w:eastAsia="方正仿宋_GBK" w:cs="Times New Roman"/>
          <w:sz w:val="32"/>
          <w:szCs w:val="32"/>
          <w:lang w:val="en-US" w:eastAsia="zh-CN"/>
        </w:rPr>
        <w:t>6.23</w:t>
      </w:r>
      <w:r>
        <w:rPr>
          <w:rFonts w:hint="default" w:ascii="Times New Roman" w:hAnsi="Times New Roman" w:eastAsia="方正仿宋_GBK" w:cs="Times New Roman"/>
          <w:sz w:val="32"/>
          <w:szCs w:val="32"/>
        </w:rPr>
        <w:t>万元，项目支出增加</w:t>
      </w:r>
      <w:r>
        <w:rPr>
          <w:rFonts w:hint="eastAsia" w:ascii="Times New Roman" w:hAnsi="Times New Roman" w:eastAsia="方正仿宋_GBK" w:cs="Times New Roman"/>
          <w:sz w:val="32"/>
          <w:szCs w:val="32"/>
          <w:lang w:val="en-US" w:eastAsia="zh-CN"/>
        </w:rPr>
        <w:t>430.61</w:t>
      </w:r>
      <w:r>
        <w:rPr>
          <w:rFonts w:hint="default" w:ascii="Times New Roman" w:hAnsi="Times New Roman" w:eastAsia="方正仿宋_GBK" w:cs="Times New Roman"/>
          <w:sz w:val="32"/>
          <w:szCs w:val="32"/>
        </w:rPr>
        <w:t>万元。</w:t>
      </w:r>
    </w:p>
    <w:p w14:paraId="3B3C73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14:paraId="199E39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年一般公共预算财政拨款收入8733.2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万元，一般公共预算财政拨款支出8733.2</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年增加</w:t>
      </w:r>
      <w:r>
        <w:rPr>
          <w:rFonts w:hint="eastAsia" w:ascii="Times New Roman" w:hAnsi="Times New Roman" w:eastAsia="方正仿宋_GBK" w:cs="Times New Roman"/>
          <w:sz w:val="32"/>
          <w:szCs w:val="32"/>
          <w:lang w:val="en-US" w:eastAsia="zh-CN"/>
        </w:rPr>
        <w:t>424.38</w:t>
      </w:r>
      <w:r>
        <w:rPr>
          <w:rFonts w:hint="default" w:ascii="Times New Roman" w:hAnsi="Times New Roman" w:eastAsia="方正仿宋_GBK" w:cs="Times New Roman"/>
          <w:sz w:val="32"/>
          <w:szCs w:val="32"/>
        </w:rPr>
        <w:t>万元。其中：基本支出406.53万元，主要用于保障在职人员工资福利及社会保险缴费、离休人员离休费、退休人员补助等，保障部门正常运转的各项商品服务支出</w:t>
      </w:r>
      <w:r>
        <w:rPr>
          <w:rFonts w:hint="eastAsia" w:ascii="Times New Roman" w:hAnsi="Times New Roman" w:eastAsia="方正仿宋_GBK" w:cs="Times New Roman"/>
          <w:sz w:val="32"/>
          <w:szCs w:val="32"/>
          <w:lang w:val="en-US" w:eastAsia="zh-CN"/>
        </w:rPr>
        <w:t>69.01万元</w:t>
      </w:r>
      <w:r>
        <w:rPr>
          <w:rFonts w:hint="default" w:ascii="Times New Roman" w:hAnsi="Times New Roman" w:eastAsia="方正仿宋_GBK" w:cs="Times New Roman"/>
          <w:sz w:val="32"/>
          <w:szCs w:val="32"/>
        </w:rPr>
        <w:t>，比202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年减少</w:t>
      </w:r>
      <w:r>
        <w:rPr>
          <w:rFonts w:hint="eastAsia" w:ascii="Times New Roman" w:hAnsi="Times New Roman" w:eastAsia="方正仿宋_GBK" w:cs="Times New Roman"/>
          <w:sz w:val="32"/>
          <w:szCs w:val="32"/>
          <w:lang w:val="en-US" w:eastAsia="zh-CN"/>
        </w:rPr>
        <w:t>3.05</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厉行节约，压缩开支</w:t>
      </w:r>
      <w:r>
        <w:rPr>
          <w:rFonts w:hint="default"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lang w:val="en-US" w:eastAsia="zh-CN"/>
        </w:rPr>
        <w:t>8326.67</w:t>
      </w:r>
      <w:r>
        <w:rPr>
          <w:rFonts w:hint="default" w:ascii="Times New Roman" w:hAnsi="Times New Roman" w:eastAsia="方正仿宋_GBK" w:cs="Times New Roman"/>
          <w:sz w:val="32"/>
          <w:szCs w:val="32"/>
        </w:rPr>
        <w:t>万元，主要用于</w:t>
      </w:r>
      <w:r>
        <w:rPr>
          <w:rFonts w:hint="eastAsia" w:ascii="Times New Roman" w:hAnsi="Times New Roman" w:eastAsia="方正仿宋_GBK" w:cs="Times New Roman"/>
          <w:sz w:val="32"/>
          <w:szCs w:val="32"/>
          <w:lang w:eastAsia="zh-CN"/>
        </w:rPr>
        <w:t>拥军优抚、权益维护、移交安置、褒扬纪念</w:t>
      </w:r>
      <w:r>
        <w:rPr>
          <w:rFonts w:hint="eastAsia" w:ascii="Times New Roman" w:hAnsi="Times New Roman" w:eastAsia="方正仿宋_GBK" w:cs="仿宋_GB2312"/>
          <w:sz w:val="32"/>
        </w:rPr>
        <w:t>等</w:t>
      </w:r>
      <w:r>
        <w:rPr>
          <w:rFonts w:hint="default" w:ascii="Times New Roman" w:hAnsi="Times New Roman" w:eastAsia="方正仿宋_GBK" w:cs="Times New Roman"/>
          <w:sz w:val="32"/>
          <w:szCs w:val="32"/>
        </w:rPr>
        <w:t>重点工作，比202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年增加</w:t>
      </w:r>
      <w:r>
        <w:rPr>
          <w:rFonts w:hint="eastAsia" w:ascii="Times New Roman" w:hAnsi="Times New Roman" w:eastAsia="方正仿宋_GBK" w:cs="Times New Roman"/>
          <w:sz w:val="32"/>
          <w:szCs w:val="32"/>
          <w:lang w:val="en-US" w:eastAsia="zh-CN"/>
        </w:rPr>
        <w:t>430.61</w:t>
      </w:r>
      <w:r>
        <w:rPr>
          <w:rFonts w:hint="default" w:ascii="Times New Roman" w:hAnsi="Times New Roman" w:eastAsia="方正仿宋_GBK" w:cs="Times New Roman"/>
          <w:sz w:val="32"/>
          <w:szCs w:val="32"/>
        </w:rPr>
        <w:t>万元，主要原</w:t>
      </w:r>
      <w:r>
        <w:rPr>
          <w:rFonts w:hint="default" w:ascii="Times New Roman" w:hAnsi="Times New Roman" w:eastAsia="方正仿宋_GBK" w:cs="Times New Roman"/>
          <w:sz w:val="32"/>
          <w:szCs w:val="32"/>
          <w:lang w:eastAsia="zh-CN"/>
        </w:rPr>
        <w:t>因是</w:t>
      </w:r>
      <w:r>
        <w:rPr>
          <w:rFonts w:hint="eastAsia" w:ascii="Times New Roman" w:hAnsi="Times New Roman" w:eastAsia="方正仿宋_GBK" w:cs="Times New Roman"/>
          <w:sz w:val="32"/>
          <w:szCs w:val="32"/>
          <w:lang w:eastAsia="zh-CN"/>
        </w:rPr>
        <w:t>优抚抚恤补助、退役安置补助等标准增加</w:t>
      </w:r>
      <w:r>
        <w:rPr>
          <w:rFonts w:hint="default" w:ascii="Times New Roman" w:hAnsi="Times New Roman" w:eastAsia="方正仿宋_GBK" w:cs="Times New Roman"/>
          <w:sz w:val="32"/>
          <w:szCs w:val="32"/>
          <w:lang w:eastAsia="zh-CN"/>
        </w:rPr>
        <w:t>。</w:t>
      </w:r>
    </w:p>
    <w:p w14:paraId="29E09C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政府性基金预算财政拨款收入</w:t>
      </w:r>
      <w:r>
        <w:rPr>
          <w:rFonts w:hint="eastAsia" w:ascii="Times New Roman" w:hAnsi="Times New Roman" w:eastAsia="方正仿宋_GBK" w:cs="Times New Roman"/>
          <w:sz w:val="32"/>
          <w:szCs w:val="32"/>
          <w:lang w:eastAsia="zh-CN"/>
        </w:rPr>
        <w:t>支出。</w:t>
      </w:r>
    </w:p>
    <w:p w14:paraId="3C61EF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14:paraId="318412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年“三公”经费预算</w:t>
      </w: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年增加</w:t>
      </w:r>
      <w:r>
        <w:rPr>
          <w:rFonts w:hint="eastAsia" w:ascii="Times New Roman" w:hAnsi="Times New Roman" w:eastAsia="方正仿宋_GBK" w:cs="Times New Roman"/>
          <w:sz w:val="32"/>
          <w:szCs w:val="32"/>
          <w:lang w:val="en-US" w:eastAsia="zh-CN"/>
        </w:rPr>
        <w:t>2.05</w:t>
      </w:r>
      <w:r>
        <w:rPr>
          <w:rFonts w:hint="default" w:ascii="Times New Roman" w:hAnsi="Times New Roman" w:eastAsia="方正仿宋_GBK" w:cs="Times New Roman"/>
          <w:sz w:val="32"/>
          <w:szCs w:val="32"/>
        </w:rPr>
        <w:t>万元。其中：因公出国（境）费用</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年减少（或增加）</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本单位无因公出国（境）人员</w:t>
      </w:r>
      <w:r>
        <w:rPr>
          <w:rFonts w:hint="default" w:ascii="Times New Roman" w:hAnsi="Times New Roman" w:eastAsia="方正仿宋_GBK" w:cs="Times New Roman"/>
          <w:sz w:val="32"/>
          <w:szCs w:val="32"/>
        </w:rPr>
        <w:t>；公务接待费</w:t>
      </w:r>
      <w:r>
        <w:rPr>
          <w:rFonts w:hint="eastAsia" w:ascii="Times New Roman" w:hAnsi="Times New Roman" w:eastAsia="方正仿宋_GBK" w:cs="Times New Roman"/>
          <w:sz w:val="32"/>
          <w:szCs w:val="32"/>
          <w:lang w:val="en-US" w:eastAsia="zh-CN"/>
        </w:rPr>
        <w:t>1.40</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年增加</w:t>
      </w:r>
      <w:r>
        <w:rPr>
          <w:rFonts w:hint="eastAsia"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接待人次比上年有所增加</w:t>
      </w:r>
      <w:r>
        <w:rPr>
          <w:rFonts w:hint="default" w:ascii="Times New Roman" w:hAnsi="Times New Roman" w:eastAsia="方正仿宋_GBK" w:cs="Times New Roman"/>
          <w:sz w:val="32"/>
          <w:szCs w:val="32"/>
        </w:rPr>
        <w:t>；公务用车运行维护费</w:t>
      </w:r>
      <w:r>
        <w:rPr>
          <w:rFonts w:hint="eastAsia" w:ascii="Times New Roman" w:hAnsi="Times New Roman" w:eastAsia="方正仿宋_GBK" w:cs="Times New Roman"/>
          <w:sz w:val="32"/>
          <w:szCs w:val="32"/>
          <w:lang w:val="en-US" w:eastAsia="zh-CN"/>
        </w:rPr>
        <w:t>4.00</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年增加</w:t>
      </w:r>
      <w:r>
        <w:rPr>
          <w:rFonts w:hint="eastAsia" w:ascii="Times New Roman" w:hAnsi="Times New Roman" w:eastAsia="方正仿宋_GBK" w:cs="Times New Roman"/>
          <w:sz w:val="32"/>
          <w:szCs w:val="32"/>
          <w:lang w:val="en-US" w:eastAsia="zh-CN"/>
        </w:rPr>
        <w:t>1.90</w:t>
      </w:r>
      <w:r>
        <w:rPr>
          <w:rFonts w:hint="default" w:ascii="Times New Roman" w:hAnsi="Times New Roman" w:eastAsia="方正仿宋_GBK" w:cs="Times New Roman"/>
          <w:sz w:val="32"/>
          <w:szCs w:val="32"/>
        </w:rPr>
        <w:t>万元，主要原因是</w:t>
      </w:r>
      <w:r>
        <w:rPr>
          <w:rFonts w:hint="eastAsia" w:ascii="Times New Roman" w:hAnsi="Times New Roman" w:eastAsia="方正仿宋_GBK" w:cs="Times New Roman"/>
          <w:sz w:val="32"/>
          <w:szCs w:val="32"/>
          <w:lang w:eastAsia="zh-CN"/>
        </w:rPr>
        <w:t>本年下乡出差人次有所增加</w:t>
      </w:r>
      <w:r>
        <w:rPr>
          <w:rFonts w:hint="default" w:ascii="Times New Roman" w:hAnsi="Times New Roman" w:eastAsia="方正仿宋_GBK" w:cs="Times New Roman"/>
          <w:sz w:val="32"/>
          <w:szCs w:val="32"/>
        </w:rPr>
        <w:t>；公务用车购置费</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万元，比</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减少或增加</w:t>
      </w:r>
      <w:r>
        <w:rPr>
          <w:rFonts w:hint="default" w:ascii="Times New Roman" w:hAnsi="Times New Roman" w:eastAsia="方正仿宋_GBK" w:cs="Times New Roman"/>
          <w:sz w:val="32"/>
          <w:szCs w:val="32"/>
          <w:lang w:eastAsia="zh-CN"/>
        </w:rPr>
        <w:t>。</w:t>
      </w:r>
    </w:p>
    <w:p w14:paraId="4BE1F7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41356F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b/>
          <w:bCs/>
          <w:sz w:val="32"/>
        </w:rPr>
      </w:pPr>
      <w:r>
        <w:rPr>
          <w:rFonts w:hint="eastAsia"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机关运行经费。202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年一般公共预算财政拨款运行经费</w:t>
      </w:r>
      <w:r>
        <w:rPr>
          <w:rFonts w:hint="eastAsia" w:ascii="Times New Roman" w:hAnsi="Times New Roman" w:eastAsia="方正仿宋_GBK" w:cs="Times New Roman"/>
          <w:sz w:val="32"/>
          <w:szCs w:val="32"/>
          <w:lang w:val="en-US" w:eastAsia="zh-CN"/>
        </w:rPr>
        <w:t>69.01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比2023年</w:t>
      </w:r>
      <w:r>
        <w:rPr>
          <w:rFonts w:hint="default" w:ascii="Times New Roman" w:hAnsi="Times New Roman" w:eastAsia="方正仿宋_GBK" w:cs="Times New Roman"/>
          <w:sz w:val="32"/>
          <w:szCs w:val="32"/>
        </w:rPr>
        <w:t>减少</w:t>
      </w:r>
      <w:r>
        <w:rPr>
          <w:rFonts w:hint="eastAsia" w:ascii="Times New Roman" w:hAnsi="Times New Roman" w:eastAsia="方正仿宋_GBK" w:cs="Times New Roman"/>
          <w:sz w:val="32"/>
          <w:szCs w:val="32"/>
          <w:lang w:val="en-US" w:eastAsia="zh-CN"/>
        </w:rPr>
        <w:t>3.05</w:t>
      </w:r>
      <w:r>
        <w:rPr>
          <w:rFonts w:hint="default" w:ascii="Times New Roman" w:hAnsi="Times New Roman" w:eastAsia="方正仿宋_GBK" w:cs="Times New Roman"/>
          <w:sz w:val="32"/>
          <w:szCs w:val="32"/>
        </w:rPr>
        <w:t>万元，主要原因为</w:t>
      </w:r>
      <w:r>
        <w:rPr>
          <w:rFonts w:hint="eastAsia" w:ascii="Times New Roman" w:hAnsi="Times New Roman" w:eastAsia="方正仿宋_GBK" w:cs="Times New Roman"/>
          <w:sz w:val="32"/>
          <w:szCs w:val="32"/>
          <w:lang w:eastAsia="zh-CN"/>
        </w:rPr>
        <w:t>厉行节约，压缩开支</w:t>
      </w:r>
      <w:r>
        <w:rPr>
          <w:rFonts w:hint="default" w:ascii="Times New Roman" w:hAnsi="Times New Roman" w:eastAsia="方正仿宋_GBK" w:cs="Times New Roman"/>
          <w:sz w:val="32"/>
          <w:szCs w:val="32"/>
        </w:rPr>
        <w:t>；主要用于办公费、印刷费、邮电费、水电</w:t>
      </w:r>
      <w:r>
        <w:rPr>
          <w:rFonts w:hint="default" w:ascii="Times New Roman" w:hAnsi="Times New Roman" w:eastAsia="方正仿宋_GBK" w:cs="Times New Roman"/>
          <w:sz w:val="32"/>
        </w:rPr>
        <w:t>费、物管费、差旅费、会议费、培训费及其他商品和服务支出等。</w:t>
      </w:r>
      <w:r>
        <w:rPr>
          <w:rFonts w:hint="default" w:ascii="Times New Roman" w:hAnsi="Times New Roman" w:eastAsia="方正仿宋_GBK" w:cs="Times New Roman"/>
          <w:b/>
          <w:bCs/>
          <w:sz w:val="32"/>
        </w:rPr>
        <w:t>（行政、参公单位）</w:t>
      </w:r>
    </w:p>
    <w:p w14:paraId="63DE23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我单位不在机关运行经费统计范围之内。</w:t>
      </w:r>
      <w:r>
        <w:rPr>
          <w:rFonts w:hint="default" w:ascii="Times New Roman" w:hAnsi="Times New Roman" w:eastAsia="方正仿宋_GBK" w:cs="Times New Roman"/>
          <w:b/>
          <w:bCs/>
          <w:sz w:val="32"/>
        </w:rPr>
        <w:t>（事业单位）</w:t>
      </w:r>
    </w:p>
    <w:p w14:paraId="591AE1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政府采购情况。所属各预算单位政府采购预算总额</w:t>
      </w:r>
      <w:r>
        <w:rPr>
          <w:rFonts w:hint="eastAsia" w:ascii="Times New Roman" w:hAnsi="Times New Roman" w:eastAsia="方正仿宋_GBK" w:cs="Times New Roman"/>
          <w:sz w:val="32"/>
          <w:szCs w:val="32"/>
          <w:lang w:val="en-US" w:eastAsia="zh-CN"/>
        </w:rPr>
        <w:t>11.19</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11.19</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万元；其中一般公共预算拨款政府采购</w:t>
      </w:r>
      <w:r>
        <w:rPr>
          <w:rFonts w:hint="eastAsia" w:ascii="Times New Roman" w:hAnsi="Times New Roman" w:eastAsia="方正仿宋_GBK" w:cs="Times New Roman"/>
          <w:sz w:val="32"/>
          <w:szCs w:val="32"/>
          <w:lang w:val="en-US" w:eastAsia="zh-CN"/>
        </w:rPr>
        <w:t>11.19</w:t>
      </w:r>
      <w:r>
        <w:rPr>
          <w:rFonts w:hint="default" w:ascii="Times New Roman" w:hAnsi="Times New Roman" w:eastAsia="方正仿宋_GBK" w:cs="Times New Roman"/>
          <w:sz w:val="32"/>
          <w:szCs w:val="32"/>
        </w:rPr>
        <w:t>万元：政府采购货物预算</w:t>
      </w:r>
      <w:r>
        <w:rPr>
          <w:rFonts w:hint="eastAsia" w:ascii="Times New Roman" w:hAnsi="Times New Roman" w:eastAsia="方正仿宋_GBK" w:cs="Times New Roman"/>
          <w:sz w:val="32"/>
          <w:szCs w:val="32"/>
          <w:lang w:val="en-US" w:eastAsia="zh-CN"/>
        </w:rPr>
        <w:t>11.19</w:t>
      </w:r>
      <w:r>
        <w:rPr>
          <w:rFonts w:hint="default" w:ascii="Times New Roman" w:hAnsi="Times New Roman" w:eastAsia="方正仿宋_GBK" w:cs="Times New Roman"/>
          <w:sz w:val="32"/>
          <w:szCs w:val="32"/>
        </w:rPr>
        <w:t>万元、政府采购工程预算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万元、政府采购服务预算</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14:paraId="784D9AC1">
      <w:pPr>
        <w:keepNext w:val="0"/>
        <w:keepLines w:val="0"/>
        <w:pageBreakBefore w:val="0"/>
        <w:widowControl w:val="0"/>
        <w:kinsoku/>
        <w:wordWrap/>
        <w:overflowPunct/>
        <w:topLinePunct w:val="0"/>
        <w:autoSpaceDE/>
        <w:autoSpaceDN/>
        <w:bidi w:val="0"/>
        <w:adjustRightInd/>
        <w:snapToGrid/>
        <w:ind w:left="105" w:leftChars="5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绩效目标设置情况。202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年项目支出均实行了绩效目标管理，涉及一般公共预算财政拨款8326.67万元。</w:t>
      </w:r>
    </w:p>
    <w:p w14:paraId="404F35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（四）</w:t>
      </w:r>
      <w:r>
        <w:rPr>
          <w:rFonts w:hint="default" w:ascii="Times New Roman" w:hAnsi="Times New Roman" w:eastAsia="方正仿宋_GBK" w:cs="Times New Roman"/>
          <w:sz w:val="32"/>
          <w:szCs w:val="32"/>
        </w:rPr>
        <w:t>国有资产占有使用情况。截</w:t>
      </w:r>
      <w:r>
        <w:rPr>
          <w:rFonts w:hint="eastAsia" w:ascii="Times New Roman" w:hAnsi="Times New Roman" w:eastAsia="方正仿宋_GBK" w:cs="Times New Roman"/>
          <w:sz w:val="32"/>
          <w:szCs w:val="32"/>
          <w:lang w:val="en-US" w:eastAsia="zh-CN"/>
        </w:rPr>
        <w:t>至</w:t>
      </w:r>
      <w:bookmarkStart w:id="0" w:name="_GoBack"/>
      <w:bookmarkEnd w:id="0"/>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年12月，所属各预算单位共有车辆</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辆，</w:t>
      </w:r>
      <w:r>
        <w:rPr>
          <w:rFonts w:hint="eastAsia" w:ascii="Times New Roman" w:hAnsi="Times New Roman" w:eastAsia="方正仿宋_GBK" w:cs="Times New Roman"/>
          <w:sz w:val="32"/>
          <w:szCs w:val="32"/>
        </w:rPr>
        <w:t>其中</w:t>
      </w:r>
      <w:r>
        <w:rPr>
          <w:rFonts w:hint="eastAsia" w:ascii="Times New Roman" w:hAnsi="Times New Roman" w:eastAsia="方正仿宋_GBK" w:cs="Times New Roman"/>
          <w:sz w:val="32"/>
          <w:szCs w:val="32"/>
          <w:lang w:eastAsia="zh-CN"/>
        </w:rPr>
        <w:t>应急保障</w:t>
      </w:r>
      <w:r>
        <w:rPr>
          <w:rFonts w:hint="eastAsia" w:ascii="Times New Roman" w:hAnsi="Times New Roman" w:eastAsia="方正仿宋_GBK" w:cs="Times New Roman"/>
          <w:sz w:val="32"/>
          <w:szCs w:val="32"/>
        </w:rPr>
        <w:t>用车</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辆。202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年一般公共预算</w:t>
      </w:r>
      <w:r>
        <w:rPr>
          <w:rFonts w:hint="eastAsia" w:ascii="Times New Roman" w:hAnsi="Times New Roman" w:eastAsia="方正仿宋_GBK" w:cs="Times New Roman"/>
          <w:sz w:val="32"/>
          <w:szCs w:val="32"/>
          <w:lang w:eastAsia="zh-CN"/>
        </w:rPr>
        <w:t>未</w:t>
      </w:r>
      <w:r>
        <w:rPr>
          <w:rFonts w:hint="eastAsia" w:ascii="Times New Roman" w:hAnsi="Times New Roman" w:eastAsia="方正仿宋_GBK" w:cs="Times New Roman"/>
          <w:sz w:val="32"/>
          <w:szCs w:val="32"/>
        </w:rPr>
        <w:t>安排购置车辆</w:t>
      </w:r>
      <w:r>
        <w:rPr>
          <w:rFonts w:hint="default" w:ascii="Times New Roman" w:hAnsi="Times New Roman" w:eastAsia="方正仿宋_GBK" w:cs="Times New Roman"/>
          <w:sz w:val="32"/>
          <w:szCs w:val="32"/>
        </w:rPr>
        <w:t>。</w:t>
      </w:r>
    </w:p>
    <w:p w14:paraId="452A473B">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黑体_GBK" w:cs="Times New Roman"/>
          <w:sz w:val="32"/>
        </w:rPr>
        <w:t>六、专业性名词解释</w:t>
      </w:r>
    </w:p>
    <w:p w14:paraId="31CD9E54">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政府性基金预算财政拨款和</w:t>
      </w:r>
      <w:r>
        <w:rPr>
          <w:rFonts w:hint="default" w:ascii="Times New Roman" w:hAnsi="Times New Roman" w:eastAsia="方正仿宋_GBK" w:cs="Times New Roman"/>
          <w:sz w:val="32"/>
          <w:szCs w:val="32"/>
        </w:rPr>
        <w:t>国有资本经营预算</w:t>
      </w:r>
      <w:r>
        <w:rPr>
          <w:rFonts w:hint="default" w:ascii="Times New Roman" w:hAnsi="Times New Roman" w:eastAsia="方正仿宋_GBK" w:cs="Times New Roman"/>
          <w:sz w:val="32"/>
        </w:rPr>
        <w:t>财政拨款。</w:t>
      </w:r>
    </w:p>
    <w:p w14:paraId="1DD13FB6">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：指单位取得的除“财政拨款收入”、“事业收入”、“经营收入”等以外的收入。</w:t>
      </w:r>
    </w:p>
    <w:p w14:paraId="3745029D">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14:paraId="3D134A7B">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14:paraId="442F0098">
      <w:pPr>
        <w:spacing w:line="578"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sz w:val="32"/>
        </w:rPr>
        <w:t>（五）“三公”经费</w:t>
      </w:r>
      <w:r>
        <w:rPr>
          <w:rFonts w:hint="default" w:ascii="Times New Roman" w:hAnsi="Times New Roman" w:eastAsia="方正仿宋_GBK" w:cs="Times New Roman"/>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F184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p>
    <w:p w14:paraId="73D3F0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lang w:val="en-US" w:eastAsia="zh-CN"/>
        </w:rPr>
        <w:t>刘建勋</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联系方式：</w:t>
      </w:r>
      <w:r>
        <w:rPr>
          <w:rFonts w:hint="default" w:ascii="Times New Roman" w:hAnsi="Times New Roman" w:eastAsia="方正仿宋_GBK" w:cs="Times New Roman"/>
          <w:sz w:val="32"/>
          <w:szCs w:val="32"/>
          <w:highlight w:val="none"/>
          <w:lang w:val="en-US" w:eastAsia="zh-CN"/>
        </w:rPr>
        <w:t>023-</w:t>
      </w:r>
      <w:r>
        <w:rPr>
          <w:rFonts w:hint="eastAsia" w:ascii="Times New Roman" w:hAnsi="Times New Roman" w:eastAsia="方正仿宋_GBK" w:cs="Times New Roman"/>
          <w:sz w:val="32"/>
          <w:szCs w:val="32"/>
          <w:highlight w:val="none"/>
          <w:lang w:val="en-US" w:eastAsia="zh-CN"/>
        </w:rPr>
        <w:t>73300750</w:t>
      </w:r>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F07238"/>
    <w:rsid w:val="00F35787"/>
    <w:rsid w:val="00F602BE"/>
    <w:rsid w:val="00FE3041"/>
    <w:rsid w:val="0D7A365A"/>
    <w:rsid w:val="133B1901"/>
    <w:rsid w:val="17426B3D"/>
    <w:rsid w:val="19DB55F5"/>
    <w:rsid w:val="1DD801A3"/>
    <w:rsid w:val="1EAF42D1"/>
    <w:rsid w:val="240E417D"/>
    <w:rsid w:val="274B199A"/>
    <w:rsid w:val="2A1750A8"/>
    <w:rsid w:val="2BE20CDE"/>
    <w:rsid w:val="32513FE1"/>
    <w:rsid w:val="387110B4"/>
    <w:rsid w:val="3A720DEA"/>
    <w:rsid w:val="3B9B3520"/>
    <w:rsid w:val="4610264F"/>
    <w:rsid w:val="477D4989"/>
    <w:rsid w:val="489617E1"/>
    <w:rsid w:val="4D5D69EE"/>
    <w:rsid w:val="5A254D94"/>
    <w:rsid w:val="5B8E1A9F"/>
    <w:rsid w:val="5CF21E57"/>
    <w:rsid w:val="65A30990"/>
    <w:rsid w:val="67920983"/>
    <w:rsid w:val="6AA0021E"/>
    <w:rsid w:val="71597F39"/>
    <w:rsid w:val="79CF62B4"/>
    <w:rsid w:val="8676D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rPr>
  </w:style>
  <w:style w:type="paragraph" w:styleId="3">
    <w:name w:val="toc 5"/>
    <w:basedOn w:val="1"/>
    <w:next w:val="1"/>
    <w:qFormat/>
    <w:uiPriority w:val="0"/>
    <w:pPr>
      <w:widowControl w:val="0"/>
      <w:ind w:left="1680" w:leftChars="800"/>
      <w:jc w:val="both"/>
    </w:pPr>
    <w:rPr>
      <w:rFonts w:eastAsia="方正仿宋_GBK"/>
      <w:kern w:val="2"/>
      <w:sz w:val="32"/>
      <w:szCs w:val="24"/>
    </w:rPr>
  </w:style>
  <w:style w:type="paragraph" w:styleId="4">
    <w:name w:val="Balloon Text"/>
    <w:basedOn w:val="1"/>
    <w:link w:val="10"/>
    <w:qFormat/>
    <w:uiPriority w:val="0"/>
    <w:rPr>
      <w:sz w:val="18"/>
      <w:szCs w:val="18"/>
    </w:rPr>
  </w:style>
  <w:style w:type="paragraph" w:styleId="5">
    <w:name w:val="footer"/>
    <w:basedOn w:val="1"/>
    <w:link w:val="12"/>
    <w:qFormat/>
    <w:uiPriority w:val="0"/>
    <w:pPr>
      <w:snapToGrid w:val="0"/>
      <w:jc w:val="left"/>
    </w:pPr>
    <w:rPr>
      <w:sz w:val="18"/>
      <w:szCs w:val="18"/>
    </w:rPr>
  </w:style>
  <w:style w:type="paragraph" w:styleId="6">
    <w:name w:val="header"/>
    <w:basedOn w:val="1"/>
    <w:link w:val="11"/>
    <w:qFormat/>
    <w:uiPriority w:val="0"/>
    <w:pPr>
      <w:pBdr>
        <w:bottom w:val="single" w:color="auto" w:sz="6" w:space="1"/>
      </w:pBdr>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0">
    <w:name w:val="批注框文本 字符"/>
    <w:link w:val="4"/>
    <w:qFormat/>
    <w:uiPriority w:val="0"/>
    <w:rPr>
      <w:kern w:val="2"/>
      <w:sz w:val="18"/>
      <w:szCs w:val="18"/>
    </w:rPr>
  </w:style>
  <w:style w:type="character" w:customStyle="1" w:styleId="11">
    <w:name w:val="页眉 字符"/>
    <w:link w:val="6"/>
    <w:qFormat/>
    <w:uiPriority w:val="0"/>
    <w:rPr>
      <w:kern w:val="2"/>
      <w:sz w:val="18"/>
      <w:szCs w:val="18"/>
    </w:rPr>
  </w:style>
  <w:style w:type="character" w:customStyle="1" w:styleId="12">
    <w:name w:val="页脚 字符"/>
    <w:link w:val="5"/>
    <w:qFormat/>
    <w:uiPriority w:val="0"/>
    <w:rPr>
      <w:kern w:val="2"/>
      <w:sz w:val="18"/>
      <w:szCs w:val="18"/>
    </w:rPr>
  </w:style>
  <w:style w:type="paragraph" w:styleId="13">
    <w:name w:val="List Paragraph"/>
    <w:basedOn w:val="1"/>
    <w:qFormat/>
    <w:uiPriority w:val="0"/>
    <w:pPr>
      <w:ind w:firstLine="420" w:firstLineChars="200"/>
    </w:pPr>
  </w:style>
  <w:style w:type="character" w:customStyle="1" w:styleId="14">
    <w:name w:val="23"/>
    <w:basedOn w:val="9"/>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2307</Words>
  <Characters>2534</Characters>
  <Lines>8</Lines>
  <Paragraphs>2</Paragraphs>
  <TotalTime>2</TotalTime>
  <ScaleCrop>false</ScaleCrop>
  <LinksUpToDate>false</LinksUpToDate>
  <CharactersWithSpaces>2540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2021-12-14T11:09:00Z</dcterms:created>
  <dc:creator>Administrator</dc:creator>
  <cp:lastModifiedBy>安然弱水</cp:lastModifiedBy>
  <cp:lastPrinted>2018-01-02T16:11:00Z</cp:lastPrinted>
  <dcterms:modified xsi:type="dcterms:W3CDTF">2026-07-15T00:55:50Z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9E22F3E8E002433E910E282EEB7790C5_13</vt:lpwstr>
  </property>
  <property fmtid="{D5CDD505-2E9C-101B-9397-08002B2CF9AE}" pid="4" name="KSOTemplateDocerSaveRecord">
    <vt:lpwstr>eyJoZGlkIjoiN2U0N2Q2ZTM2ZDQ4MjgxNDVjNzFiNjJmOWEwODI3OGEiLCJ1c2VySWQiOiIxMzAwNjA3NzU5In0=</vt:lpwstr>
  </property>
</Properties>
</file>