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spacing w:line="600" w:lineRule="exact"/>
        <w:rPr>
          <w:rFonts w:hint="eastAsia" w:ascii="方正仿宋_GBK" w:eastAsia="方正仿宋_GBK"/>
          <w:sz w:val="32"/>
          <w:szCs w:val="32"/>
        </w:rPr>
      </w:pPr>
    </w:p>
    <w:p>
      <w:pPr>
        <w:spacing w:line="600" w:lineRule="exact"/>
        <w:rPr>
          <w:rFonts w:hint="eastAsia" w:ascii="方正仿宋_GBK" w:eastAsia="方正仿宋_GBK"/>
          <w:sz w:val="32"/>
          <w:szCs w:val="32"/>
        </w:rPr>
      </w:pPr>
    </w:p>
    <w:p>
      <w:pPr>
        <w:spacing w:line="600" w:lineRule="exact"/>
        <w:rPr>
          <w:rFonts w:hint="eastAsia" w:ascii="方正仿宋_GBK" w:eastAsia="方正仿宋_GBK"/>
          <w:sz w:val="32"/>
          <w:szCs w:val="32"/>
        </w:rPr>
      </w:pPr>
      <w:r>
        <w:rPr>
          <w:rFonts w:hint="eastAsia" w:ascii="方正仿宋_GBK" w:eastAsia="方正仿宋_GBK"/>
          <w:sz w:val="32"/>
          <w:szCs w:val="32"/>
        </w:rPr>
        <w:pict>
          <v:shape id="艺术字 22" o:spid="_x0000_s1026" o:spt="136" type="#_x0000_t136" style="position:absolute;left:0pt;margin-left:-0.75pt;margin-top:2.4pt;height:73.25pt;width:435.7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退役军人事务局" style="font-family:宋体;font-size:28pt;font-weight:bold;v-rotate-letters:f;v-same-letter-heights:f;v-text-align:center;"/>
          </v:shape>
        </w:pict>
      </w:r>
    </w:p>
    <w:p>
      <w:pPr>
        <w:spacing w:line="600" w:lineRule="exact"/>
        <w:rPr>
          <w:rFonts w:hint="eastAsia" w:ascii="方正仿宋_GBK" w:eastAsia="方正仿宋_GBK"/>
          <w:sz w:val="32"/>
          <w:szCs w:val="32"/>
        </w:rPr>
      </w:pPr>
    </w:p>
    <w:p>
      <w:pPr>
        <w:spacing w:line="600" w:lineRule="exact"/>
        <w:rPr>
          <w:rFonts w:hint="eastAsia" w:ascii="方正仿宋_GBK" w:eastAsia="方正仿宋_GBK"/>
          <w:sz w:val="32"/>
          <w:szCs w:val="32"/>
        </w:rPr>
      </w:pPr>
    </w:p>
    <w:p>
      <w:pPr>
        <w:spacing w:line="600" w:lineRule="exact"/>
        <w:rPr>
          <w:rFonts w:hint="eastAsia" w:ascii="方正仿宋_GBK" w:eastAsia="方正仿宋_GBK"/>
          <w:sz w:val="32"/>
          <w:szCs w:val="32"/>
        </w:rPr>
      </w:pPr>
    </w:p>
    <w:p>
      <w:pPr>
        <w:spacing w:line="600" w:lineRule="exact"/>
        <w:rPr>
          <w:rFonts w:hint="eastAsia" w:ascii="方正仿宋_GBK" w:eastAsia="方正仿宋_GBK"/>
          <w:sz w:val="32"/>
          <w:szCs w:val="32"/>
        </w:rPr>
      </w:pPr>
    </w:p>
    <w:p>
      <w:pPr>
        <w:spacing w:line="600" w:lineRule="exact"/>
        <w:ind w:left="0" w:leftChars="0" w:firstLine="0" w:firstLineChars="0"/>
        <w:jc w:val="center"/>
        <w:rPr>
          <w:rFonts w:hint="eastAsia" w:ascii="方正仿宋_GBK" w:eastAsia="方正仿宋_GBK"/>
          <w:sz w:val="32"/>
          <w:szCs w:val="32"/>
        </w:rPr>
      </w:pPr>
      <w:r>
        <w:rPr>
          <w:rFonts w:hint="eastAsia" w:ascii="方正仿宋_GBK"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339090</wp:posOffset>
                </wp:positionV>
                <wp:extent cx="5633720" cy="0"/>
                <wp:effectExtent l="0" t="13970" r="5080" b="24130"/>
                <wp:wrapNone/>
                <wp:docPr id="1" name="直接连接符 1"/>
                <wp:cNvGraphicFramePr/>
                <a:graphic xmlns:a="http://schemas.openxmlformats.org/drawingml/2006/main">
                  <a:graphicData uri="http://schemas.microsoft.com/office/word/2010/wordprocessingShape">
                    <wps:wsp>
                      <wps:cNvCnPr/>
                      <wps:spPr>
                        <a:xfrm>
                          <a:off x="0" y="0"/>
                          <a:ext cx="563372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5pt;margin-top:26.7pt;height:0pt;width:443.6pt;z-index:251659264;mso-width-relative:page;mso-height-relative:page;" filled="f" stroked="t" coordsize="21600,21600" o:gfxdata="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hQKRzWAAAACAEAAA8AAAAAAAAAAQAgAAAAIgAAAGRycy9kb3ducmV2LnhtbFBL&#10;AQIUABQAAAAIAIdO4kAlJ5ee+AEAAOUDAAAOAAAAAAAAAAEAIAAAACUBAABkcnMvZTJvRG9jLnht&#10;bFBLBQYAAAAABgAGAFkBAACPBQAAAAA=&#10;">
                <v:fill on="f" focussize="0,0"/>
                <v:stroke weight="2.25pt" color="#FF0000" joinstyle="round"/>
                <v:imagedata o:title=""/>
                <o:lock v:ext="edit" aspectratio="f"/>
              </v:line>
            </w:pict>
          </mc:Fallback>
        </mc:AlternateContent>
      </w:r>
      <w:r>
        <w:rPr>
          <w:rFonts w:hint="eastAsia" w:ascii="方正仿宋_GBK" w:eastAsia="方正仿宋_GBK"/>
          <w:sz w:val="32"/>
          <w:szCs w:val="32"/>
        </w:rPr>
        <w:t>石退役军人</w:t>
      </w:r>
      <w:r>
        <w:rPr>
          <w:rFonts w:hint="eastAsia" w:ascii="方正仿宋_GBK" w:eastAsia="方正仿宋_GBK"/>
          <w:sz w:val="32"/>
          <w:szCs w:val="32"/>
          <w:lang w:val="en-US" w:eastAsia="zh-CN"/>
        </w:rPr>
        <w:t>发</w:t>
      </w:r>
      <w:r>
        <w:rPr>
          <w:rFonts w:hint="eastAsia" w:ascii="方正仿宋_GBK" w:eastAsia="方正仿宋_GBK"/>
          <w:sz w:val="32"/>
          <w:szCs w:val="32"/>
        </w:rPr>
        <w:t>〔</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4</w:t>
      </w:r>
      <w:r>
        <w:rPr>
          <w:rFonts w:hint="eastAsia" w:ascii="方正仿宋_GBK" w:eastAsia="方正仿宋_GBK"/>
          <w:sz w:val="32"/>
          <w:szCs w:val="32"/>
        </w:rPr>
        <w:t>〕</w:t>
      </w:r>
      <w:r>
        <w:rPr>
          <w:rFonts w:hint="eastAsia" w:ascii="Times New Roman" w:hAnsi="Times New Roman" w:eastAsia="方正仿宋_GBK" w:cs="Times New Roman"/>
          <w:sz w:val="32"/>
          <w:szCs w:val="32"/>
          <w:lang w:val="en-US" w:eastAsia="zh-CN"/>
        </w:rPr>
        <w:t>1</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w:hAnsi="方正小标宋_GBK" w:eastAsia="方正小标宋_GBK" w:cs="方正小标宋_GBK"/>
          <w:b/>
          <w:kern w:val="32"/>
          <w:sz w:val="44"/>
          <w:szCs w:val="44"/>
        </w:rPr>
      </w:pPr>
    </w:p>
    <w:p>
      <w:pPr>
        <w:pStyle w:val="4"/>
        <w:keepNext w:val="0"/>
        <w:keepLines w:val="0"/>
        <w:pageBreakBefore w:val="0"/>
        <w:widowControl w:val="0"/>
        <w:wordWrap/>
        <w:topLinePunct w:val="0"/>
        <w:autoSpaceDE/>
        <w:autoSpaceDN/>
        <w:bidi w:val="0"/>
        <w:adjustRightInd/>
        <w:snapToGrid/>
        <w:spacing w:line="540" w:lineRule="exact"/>
        <w:textAlignment w:val="auto"/>
        <w:rPr>
          <w:rFonts w:hint="eastAsia"/>
          <w:lang w:eastAsia="zh-CN"/>
        </w:rPr>
      </w:pPr>
      <w:r>
        <w:rPr>
          <w:rFonts w:hint="eastAsia"/>
        </w:rPr>
        <w:t>石柱土家族自治县退役军人事务局</w:t>
      </w:r>
    </w:p>
    <w:p>
      <w:pPr>
        <w:pStyle w:val="4"/>
        <w:keepNext w:val="0"/>
        <w:keepLines w:val="0"/>
        <w:pageBreakBefore w:val="0"/>
        <w:widowControl w:val="0"/>
        <w:wordWrap/>
        <w:topLinePunct w:val="0"/>
        <w:autoSpaceDE/>
        <w:autoSpaceDN/>
        <w:bidi w:val="0"/>
        <w:adjustRightInd/>
        <w:snapToGrid/>
        <w:spacing w:line="540" w:lineRule="exact"/>
        <w:textAlignment w:val="auto"/>
        <w:rPr>
          <w:rFonts w:ascii="方正小标宋_GBK" w:hAnsi="方正小标宋_GBK" w:eastAsia="方正小标宋_GBK" w:cs="方正小标宋_GBK"/>
          <w:bCs/>
          <w:snapToGrid w:val="0"/>
          <w:szCs w:val="44"/>
        </w:rPr>
      </w:pPr>
      <w:r>
        <w:rPr>
          <w:rFonts w:hint="eastAsia"/>
          <w:lang w:val="en-US" w:eastAsia="zh-CN"/>
        </w:rPr>
        <w:t>关于切实做好优抚对象“解三难”工作的通知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eastAsia="方正仿宋_GBK"/>
          <w:snapToGrid w:val="0"/>
          <w:sz w:val="32"/>
          <w:szCs w:val="32"/>
        </w:rPr>
      </w:pPr>
    </w:p>
    <w:p>
      <w:pPr>
        <w:keepNext w:val="0"/>
        <w:keepLines w:val="0"/>
        <w:pageBreakBefore w:val="0"/>
        <w:widowControl w:val="0"/>
        <w:wordWrap/>
        <w:topLinePunct w:val="0"/>
        <w:autoSpaceDE/>
        <w:autoSpaceDN/>
        <w:bidi w:val="0"/>
        <w:adjustRightInd/>
        <w:snapToGrid/>
        <w:spacing w:line="600" w:lineRule="exact"/>
        <w:ind w:left="0" w:leftChars="0" w:firstLine="0" w:firstLineChars="0"/>
        <w:textAlignment w:val="auto"/>
      </w:pPr>
      <w:r>
        <w:rPr>
          <w:rFonts w:hint="eastAsia"/>
          <w:lang w:val="en-US" w:eastAsia="zh-CN"/>
        </w:rPr>
        <w:t>各乡镇（街道）人民政府（办事处）</w:t>
      </w:r>
      <w:r>
        <w:t>：</w:t>
      </w:r>
    </w:p>
    <w:p>
      <w:pPr>
        <w:keepNext w:val="0"/>
        <w:keepLines w:val="0"/>
        <w:pageBreakBefore w:val="0"/>
        <w:widowControl w:val="0"/>
        <w:wordWrap/>
        <w:topLinePunct w:val="0"/>
        <w:autoSpaceDE/>
        <w:autoSpaceDN/>
        <w:bidi w:val="0"/>
        <w:adjustRightInd/>
        <w:snapToGrid/>
        <w:spacing w:line="600" w:lineRule="exact"/>
        <w:textAlignment w:val="auto"/>
        <w:rPr>
          <w:rFonts w:hint="default"/>
        </w:rPr>
      </w:pPr>
      <w:r>
        <w:rPr>
          <w:rFonts w:hint="eastAsia"/>
          <w:lang w:val="en-US" w:eastAsia="zh-CN"/>
        </w:rPr>
        <w:t>为了有效帮助优抚对象解决生活、医疗、住房方面的实际困难（以下简称“解三难”），根据《重庆市优抚对象“解三难”补助资金管理办法（试行）》规定，现做好全县优抚对象“解三难”帮扶解困工作通知如下：</w:t>
      </w:r>
      <w:r>
        <w:rPr>
          <w:rFonts w:hint="default"/>
          <w:lang w:val="en-US" w:eastAsia="zh-CN"/>
        </w:rPr>
        <w:t xml:space="preserve"> </w:t>
      </w:r>
    </w:p>
    <w:p>
      <w:pPr>
        <w:pStyle w:val="5"/>
        <w:keepNext w:val="0"/>
        <w:keepLines w:val="0"/>
        <w:pageBreakBefore w:val="0"/>
        <w:widowControl w:val="0"/>
        <w:wordWrap/>
        <w:topLinePunct w:val="0"/>
        <w:autoSpaceDE/>
        <w:autoSpaceDN/>
        <w:bidi w:val="0"/>
        <w:adjustRightInd/>
        <w:snapToGrid/>
        <w:spacing w:line="600" w:lineRule="exact"/>
        <w:textAlignment w:val="auto"/>
        <w:rPr>
          <w:rFonts w:hint="default"/>
        </w:rPr>
      </w:pPr>
      <w:r>
        <w:rPr>
          <w:rFonts w:hint="default"/>
          <w:lang w:val="en-US" w:eastAsia="zh-CN"/>
        </w:rPr>
        <w:t>一、</w:t>
      </w:r>
      <w:r>
        <w:rPr>
          <w:rFonts w:hint="eastAsia"/>
          <w:lang w:val="en-US" w:eastAsia="zh-CN"/>
        </w:rPr>
        <w:t>帮扶</w:t>
      </w:r>
      <w:r>
        <w:rPr>
          <w:rFonts w:hint="default"/>
          <w:lang w:val="en-US" w:eastAsia="zh-CN"/>
        </w:rPr>
        <w:t xml:space="preserve">对象 </w:t>
      </w:r>
    </w:p>
    <w:p>
      <w:pPr>
        <w:keepNext w:val="0"/>
        <w:keepLines w:val="0"/>
        <w:pageBreakBefore w:val="0"/>
        <w:widowControl w:val="0"/>
        <w:wordWrap/>
        <w:topLinePunct w:val="0"/>
        <w:autoSpaceDE/>
        <w:autoSpaceDN/>
        <w:bidi w:val="0"/>
        <w:adjustRightInd/>
        <w:snapToGrid/>
        <w:spacing w:line="600" w:lineRule="exact"/>
        <w:textAlignment w:val="auto"/>
        <w:rPr>
          <w:rFonts w:hint="default"/>
        </w:rPr>
      </w:pPr>
      <w:r>
        <w:rPr>
          <w:rFonts w:hint="default"/>
          <w:lang w:val="en-US" w:eastAsia="zh-CN"/>
        </w:rPr>
        <w:t>户籍</w:t>
      </w:r>
      <w:r>
        <w:rPr>
          <w:rFonts w:hint="eastAsia"/>
          <w:lang w:val="en-US" w:eastAsia="zh-CN"/>
        </w:rPr>
        <w:t>和抚恤关系</w:t>
      </w:r>
      <w:r>
        <w:rPr>
          <w:rFonts w:hint="default"/>
          <w:lang w:val="en-US" w:eastAsia="zh-CN"/>
        </w:rPr>
        <w:t>在本县</w:t>
      </w:r>
      <w:r>
        <w:rPr>
          <w:rFonts w:hint="eastAsia"/>
          <w:lang w:val="en-US" w:eastAsia="zh-CN"/>
        </w:rPr>
        <w:t>，享受国家定期抚恤补助的优抚对象。其他优抚对象确属存在特殊困难情形的，可酌情帮扶。</w:t>
      </w:r>
    </w:p>
    <w:p>
      <w:pPr>
        <w:pStyle w:val="5"/>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Fonts w:hint="default"/>
          <w:lang w:val="en-US" w:eastAsia="zh-CN"/>
        </w:rPr>
        <w:t>二、</w:t>
      </w:r>
      <w:r>
        <w:rPr>
          <w:rFonts w:hint="eastAsia"/>
          <w:lang w:val="en-US" w:eastAsia="zh-CN"/>
        </w:rPr>
        <w:t>帮扶范围</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Style w:val="12"/>
          <w:rFonts w:hint="default"/>
          <w:lang w:val="en-US" w:eastAsia="zh-CN"/>
        </w:rPr>
        <w:t>（一）生活</w:t>
      </w:r>
      <w:r>
        <w:rPr>
          <w:rStyle w:val="12"/>
          <w:rFonts w:hint="eastAsia"/>
          <w:lang w:val="en-US" w:eastAsia="zh-CN"/>
        </w:rPr>
        <w:t>解困</w:t>
      </w:r>
      <w:r>
        <w:rPr>
          <w:rStyle w:val="12"/>
          <w:rFonts w:hint="default"/>
          <w:lang w:val="en-US" w:eastAsia="zh-CN"/>
        </w:rPr>
        <w:t>。</w:t>
      </w:r>
      <w:r>
        <w:rPr>
          <w:rFonts w:hint="eastAsia"/>
          <w:lang w:val="en-US" w:eastAsia="zh-CN"/>
        </w:rPr>
        <w:t>优抚对象因以下原因导致生活出现严重困难的：服役期间致残或因患有严重疾病等原因造成退役后本人就业困难，医疗和康复等必需支出超出家庭承受能力；优抚对象因服役时间长、市场就业能力弱等原因造成长期失业或突然下岗；优抚对象旧伤复发、残情病情加重等；优抚对象遭受自然灾害、交通事故、重大疾病、人身伤害等突发事件和见义勇为；遭遇其他特殊情况的。</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Style w:val="12"/>
          <w:rFonts w:hint="default"/>
          <w:lang w:val="en-US" w:eastAsia="zh-CN"/>
        </w:rPr>
        <w:t>（二）医疗</w:t>
      </w:r>
      <w:r>
        <w:rPr>
          <w:rStyle w:val="12"/>
          <w:rFonts w:hint="eastAsia"/>
          <w:lang w:val="en-US" w:eastAsia="zh-CN"/>
        </w:rPr>
        <w:t>解困</w:t>
      </w:r>
      <w:r>
        <w:rPr>
          <w:rStyle w:val="12"/>
          <w:rFonts w:hint="default"/>
          <w:lang w:val="en-US" w:eastAsia="zh-CN"/>
        </w:rPr>
        <w:t>。</w:t>
      </w:r>
      <w:r>
        <w:rPr>
          <w:rFonts w:hint="eastAsia"/>
          <w:lang w:val="en-US" w:eastAsia="zh-CN"/>
        </w:rPr>
        <w:t>优抚对象因</w:t>
      </w:r>
      <w:r>
        <w:rPr>
          <w:rFonts w:hint="default"/>
          <w:lang w:val="en-US" w:eastAsia="zh-CN"/>
        </w:rPr>
        <w:t>患重大疾病</w:t>
      </w:r>
      <w:r>
        <w:rPr>
          <w:rFonts w:hint="eastAsia"/>
          <w:lang w:val="en-US" w:eastAsia="zh-CN"/>
        </w:rPr>
        <w:t>、生病住院产生医疗支出在获得各类赔偿补偿、保险支付、社会救助、优抚医疗补助和社会帮扶后，剩余</w:t>
      </w:r>
      <w:r>
        <w:rPr>
          <w:rFonts w:hint="default"/>
          <w:lang w:val="en-US" w:eastAsia="zh-CN"/>
        </w:rPr>
        <w:t>自费</w:t>
      </w:r>
      <w:r>
        <w:rPr>
          <w:rFonts w:hint="eastAsia"/>
          <w:lang w:val="en-US" w:eastAsia="zh-CN"/>
        </w:rPr>
        <w:t>医疗</w:t>
      </w:r>
      <w:r>
        <w:rPr>
          <w:rFonts w:hint="default"/>
          <w:lang w:val="en-US" w:eastAsia="zh-CN"/>
        </w:rPr>
        <w:t>费用</w:t>
      </w:r>
      <w:r>
        <w:rPr>
          <w:rFonts w:hint="eastAsia"/>
          <w:lang w:val="en-US" w:eastAsia="zh-CN"/>
        </w:rPr>
        <w:t>仍支出较大且</w:t>
      </w:r>
      <w:r>
        <w:rPr>
          <w:rFonts w:hint="default"/>
          <w:lang w:val="en-US" w:eastAsia="zh-CN"/>
        </w:rPr>
        <w:t>家庭</w:t>
      </w:r>
      <w:r>
        <w:rPr>
          <w:rFonts w:hint="eastAsia"/>
          <w:lang w:val="en-US" w:eastAsia="zh-CN"/>
        </w:rPr>
        <w:t>确实</w:t>
      </w:r>
      <w:r>
        <w:rPr>
          <w:rFonts w:hint="default"/>
          <w:lang w:val="en-US" w:eastAsia="zh-CN"/>
        </w:rPr>
        <w:t>困难的。</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Style w:val="12"/>
          <w:rFonts w:hint="default"/>
          <w:lang w:val="en-US" w:eastAsia="zh-CN"/>
        </w:rPr>
        <w:t>（</w:t>
      </w:r>
      <w:r>
        <w:rPr>
          <w:rStyle w:val="12"/>
          <w:rFonts w:hint="eastAsia"/>
          <w:lang w:val="en-US" w:eastAsia="zh-CN"/>
        </w:rPr>
        <w:t>三</w:t>
      </w:r>
      <w:r>
        <w:rPr>
          <w:rStyle w:val="12"/>
          <w:rFonts w:hint="default"/>
          <w:lang w:val="en-US" w:eastAsia="zh-CN"/>
        </w:rPr>
        <w:t>）</w:t>
      </w:r>
      <w:r>
        <w:rPr>
          <w:rStyle w:val="12"/>
          <w:rFonts w:hint="eastAsia"/>
          <w:lang w:val="en-US" w:eastAsia="zh-CN"/>
        </w:rPr>
        <w:t>住房解困</w:t>
      </w:r>
      <w:r>
        <w:rPr>
          <w:rStyle w:val="12"/>
          <w:rFonts w:hint="default"/>
          <w:lang w:val="en-US" w:eastAsia="zh-CN"/>
        </w:rPr>
        <w:t>。</w:t>
      </w:r>
      <w:r>
        <w:rPr>
          <w:rFonts w:hint="eastAsia"/>
          <w:lang w:val="en-US" w:eastAsia="zh-CN"/>
        </w:rPr>
        <w:t>优抚对象住房（系家庭唯一产权且不含一户多栋）经鉴定属危房的、住房处于自然灾害严重区不适合居住的、房屋破损严重影响居住的；或无自有住房、且无固定收入来源，在已享受现有的各种补助后，家庭基本生活确实困难的。</w:t>
      </w:r>
    </w:p>
    <w:p>
      <w:pPr>
        <w:pStyle w:val="5"/>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Fonts w:hint="default"/>
          <w:lang w:val="en-US" w:eastAsia="zh-CN"/>
        </w:rPr>
        <w:t>三、申请材料</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Style w:val="12"/>
          <w:rFonts w:hint="default"/>
          <w:lang w:val="en-US" w:eastAsia="zh-CN"/>
        </w:rPr>
        <w:t>（一）证件材料。</w:t>
      </w:r>
      <w:r>
        <w:rPr>
          <w:rFonts w:hint="eastAsia"/>
          <w:lang w:val="en-US" w:eastAsia="zh-CN"/>
        </w:rPr>
        <w:t>优抚对象</w:t>
      </w:r>
      <w:r>
        <w:rPr>
          <w:rFonts w:hint="default"/>
          <w:lang w:val="en-US" w:eastAsia="zh-CN"/>
        </w:rPr>
        <w:t>申请</w:t>
      </w:r>
      <w:r>
        <w:rPr>
          <w:rFonts w:hint="eastAsia"/>
          <w:lang w:val="en-US" w:eastAsia="zh-CN"/>
        </w:rPr>
        <w:t>上述帮扶解困</w:t>
      </w:r>
      <w:r>
        <w:rPr>
          <w:rFonts w:hint="default"/>
          <w:lang w:val="en-US" w:eastAsia="zh-CN"/>
        </w:rPr>
        <w:t>时需提交身份证、</w:t>
      </w:r>
      <w:r>
        <w:rPr>
          <w:rFonts w:hint="eastAsia"/>
          <w:lang w:val="en-US" w:eastAsia="zh-CN"/>
        </w:rPr>
        <w:t>户口簿、</w:t>
      </w:r>
      <w:r>
        <w:rPr>
          <w:rFonts w:hint="default"/>
          <w:lang w:val="en-US" w:eastAsia="zh-CN"/>
        </w:rPr>
        <w:t>优待证或者退役相关证明材料复印件。</w:t>
      </w:r>
    </w:p>
    <w:p>
      <w:pPr>
        <w:pStyle w:val="6"/>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Fonts w:hint="default"/>
          <w:lang w:val="en-US" w:eastAsia="zh-CN"/>
        </w:rPr>
        <w:t>（二）证明材料</w:t>
      </w:r>
      <w:r>
        <w:rPr>
          <w:rFonts w:hint="eastAsia"/>
          <w:lang w:val="en-US" w:eastAsia="zh-CN"/>
        </w:rPr>
        <w:t>：</w:t>
      </w:r>
    </w:p>
    <w:p>
      <w:pPr>
        <w:keepNext w:val="0"/>
        <w:keepLines w:val="0"/>
        <w:pageBreakBefore w:val="0"/>
        <w:widowControl w:val="0"/>
        <w:wordWrap/>
        <w:topLinePunct w:val="0"/>
        <w:autoSpaceDE/>
        <w:autoSpaceDN/>
        <w:bidi w:val="0"/>
        <w:adjustRightInd/>
        <w:snapToGrid/>
        <w:spacing w:line="600" w:lineRule="exact"/>
        <w:textAlignment w:val="auto"/>
        <w:rPr>
          <w:rFonts w:hint="eastAsia"/>
          <w:lang w:val="en-US" w:eastAsia="zh-CN"/>
        </w:rPr>
      </w:pPr>
      <w:r>
        <w:rPr>
          <w:rFonts w:hint="default"/>
          <w:lang w:val="en-US" w:eastAsia="zh-CN"/>
        </w:rPr>
        <w:t>申请生活</w:t>
      </w:r>
      <w:r>
        <w:rPr>
          <w:rFonts w:hint="eastAsia"/>
          <w:lang w:val="en-US" w:eastAsia="zh-CN"/>
        </w:rPr>
        <w:t>解困</w:t>
      </w:r>
      <w:r>
        <w:rPr>
          <w:rFonts w:hint="default"/>
          <w:lang w:val="en-US" w:eastAsia="zh-CN"/>
        </w:rPr>
        <w:t>的，</w:t>
      </w:r>
      <w:r>
        <w:rPr>
          <w:rFonts w:hint="eastAsia"/>
          <w:lang w:val="en-US" w:eastAsia="zh-CN"/>
        </w:rPr>
        <w:t>属于“服役期间致残或因患有严重疾病等原因造成退役后本人就业困难，医疗和康复等必需支出超出家庭承受能力”原因的，需</w:t>
      </w:r>
      <w:r>
        <w:rPr>
          <w:rFonts w:hint="default"/>
          <w:lang w:val="en-US" w:eastAsia="zh-CN"/>
        </w:rPr>
        <w:t>提供家庭经济收入</w:t>
      </w:r>
      <w:r>
        <w:rPr>
          <w:rFonts w:hint="eastAsia"/>
          <w:lang w:val="en-US" w:eastAsia="zh-CN"/>
        </w:rPr>
        <w:t>和必需</w:t>
      </w:r>
      <w:r>
        <w:rPr>
          <w:rFonts w:hint="default"/>
          <w:lang w:val="en-US" w:eastAsia="zh-CN"/>
        </w:rPr>
        <w:t>支出的详细书面说明</w:t>
      </w:r>
      <w:r>
        <w:rPr>
          <w:rFonts w:hint="eastAsia"/>
          <w:lang w:val="en-US" w:eastAsia="zh-CN"/>
        </w:rPr>
        <w:t>，以及支出证明材料；属于“因服役时间长、市场就业能力弱等原因造成长期失业或突然下岗”原因的，需提供失业或者下岗证明材料或者书面说明；属于“旧伤复发、残情病情加重等”原因的，需提供鉴定或者治疗等相关证明材料；属于“遭受自然灾害、交通事故、重大疾病、人身伤害等突发事件和见义勇为”原因的，需提供相关部门的文书、治疗等证明材料。</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Fonts w:hint="default"/>
          <w:lang w:val="en-US" w:eastAsia="zh-CN"/>
        </w:rPr>
        <w:t>申请医疗</w:t>
      </w:r>
      <w:r>
        <w:rPr>
          <w:rFonts w:hint="eastAsia"/>
          <w:lang w:val="en-US" w:eastAsia="zh-CN"/>
        </w:rPr>
        <w:t>解困</w:t>
      </w:r>
      <w:r>
        <w:rPr>
          <w:rFonts w:hint="default"/>
          <w:lang w:val="en-US" w:eastAsia="zh-CN"/>
        </w:rPr>
        <w:t>的，需提供</w:t>
      </w:r>
      <w:r>
        <w:rPr>
          <w:rFonts w:hint="eastAsia"/>
          <w:lang w:val="en-US" w:eastAsia="zh-CN"/>
        </w:rPr>
        <w:t>住院或者手术病历、</w:t>
      </w:r>
      <w:r>
        <w:rPr>
          <w:rFonts w:hint="default"/>
          <w:lang w:val="en-US" w:eastAsia="zh-CN"/>
        </w:rPr>
        <w:t>治疗费用结算发票</w:t>
      </w:r>
      <w:r>
        <w:rPr>
          <w:rFonts w:hint="eastAsia"/>
          <w:lang w:val="en-US" w:eastAsia="zh-CN"/>
        </w:rPr>
        <w:t>，以及获得的各类赔偿补偿、保险支付、社会救助、优抚医疗补助和社会帮扶的书面说明或者证明材料。</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Fonts w:hint="default"/>
          <w:lang w:val="en-US" w:eastAsia="zh-CN"/>
        </w:rPr>
        <w:t>申请</w:t>
      </w:r>
      <w:r>
        <w:rPr>
          <w:rFonts w:hint="eastAsia"/>
          <w:lang w:val="en-US" w:eastAsia="zh-CN"/>
        </w:rPr>
        <w:t>住房解困</w:t>
      </w:r>
      <w:r>
        <w:rPr>
          <w:rFonts w:hint="default"/>
          <w:lang w:val="en-US" w:eastAsia="zh-CN"/>
        </w:rPr>
        <w:t>的</w:t>
      </w:r>
      <w:r>
        <w:rPr>
          <w:rFonts w:hint="eastAsia"/>
          <w:lang w:val="en-US" w:eastAsia="zh-CN"/>
        </w:rPr>
        <w:t>，属于“住房系家庭唯一产权且不含一户多栋，经鉴定属危房的、住房处于自然灾害严重区不适合居住的、房屋破损严重影响居住”原因的，</w:t>
      </w:r>
      <w:r>
        <w:rPr>
          <w:rFonts w:hint="default"/>
          <w:lang w:val="en-US" w:eastAsia="zh-CN"/>
        </w:rPr>
        <w:t>需提供相关部门</w:t>
      </w:r>
      <w:r>
        <w:rPr>
          <w:rFonts w:hint="eastAsia"/>
          <w:lang w:val="en-US" w:eastAsia="zh-CN"/>
        </w:rPr>
        <w:t>出具的房屋鉴定</w:t>
      </w:r>
      <w:r>
        <w:rPr>
          <w:rFonts w:hint="default"/>
          <w:lang w:val="en-US" w:eastAsia="zh-CN"/>
        </w:rPr>
        <w:t>文书</w:t>
      </w:r>
      <w:r>
        <w:rPr>
          <w:rFonts w:hint="eastAsia"/>
          <w:lang w:val="en-US" w:eastAsia="zh-CN"/>
        </w:rPr>
        <w:t>、搬迁通知、房屋破损图文资料和新建、购买、</w:t>
      </w:r>
      <w:r>
        <w:rPr>
          <w:rFonts w:hint="default"/>
          <w:lang w:val="en-US" w:eastAsia="zh-CN"/>
        </w:rPr>
        <w:t>修缮房屋支出</w:t>
      </w:r>
      <w:r>
        <w:rPr>
          <w:rFonts w:hint="eastAsia"/>
          <w:lang w:val="en-US" w:eastAsia="zh-CN"/>
        </w:rPr>
        <w:t>等</w:t>
      </w:r>
      <w:r>
        <w:rPr>
          <w:rFonts w:hint="default"/>
          <w:lang w:val="en-US" w:eastAsia="zh-CN"/>
        </w:rPr>
        <w:t>证明材料</w:t>
      </w:r>
      <w:r>
        <w:rPr>
          <w:rFonts w:hint="eastAsia"/>
          <w:lang w:val="en-US" w:eastAsia="zh-CN"/>
        </w:rPr>
        <w:t>；属于“无自有住房、且无固定收入来源”原因的，需提供已享受现有的各种补助的书面说明或者证明材料，以及家庭基本生活确实困难的书面说明</w:t>
      </w:r>
      <w:r>
        <w:rPr>
          <w:rFonts w:hint="default"/>
          <w:lang w:val="en-US" w:eastAsia="zh-CN"/>
        </w:rPr>
        <w:t>。</w:t>
      </w:r>
    </w:p>
    <w:p>
      <w:pPr>
        <w:pStyle w:val="5"/>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Fonts w:hint="eastAsia"/>
          <w:lang w:val="en-US" w:eastAsia="zh-CN"/>
        </w:rPr>
        <w:t>四</w:t>
      </w:r>
      <w:r>
        <w:rPr>
          <w:rFonts w:hint="default"/>
          <w:lang w:val="en-US" w:eastAsia="zh-CN"/>
        </w:rPr>
        <w:t>、</w:t>
      </w:r>
      <w:r>
        <w:rPr>
          <w:rFonts w:hint="eastAsia"/>
          <w:lang w:val="en-US" w:eastAsia="zh-CN"/>
        </w:rPr>
        <w:t>审批程序</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Style w:val="12"/>
          <w:rFonts w:hint="default"/>
          <w:lang w:val="en-US" w:eastAsia="zh-CN"/>
        </w:rPr>
        <w:t>（一）申请。</w:t>
      </w:r>
      <w:r>
        <w:rPr>
          <w:rFonts w:hint="eastAsia"/>
          <w:lang w:val="en-US" w:eastAsia="zh-CN"/>
        </w:rPr>
        <w:t>一般由对象</w:t>
      </w:r>
      <w:r>
        <w:rPr>
          <w:rFonts w:hint="default"/>
          <w:lang w:val="en-US" w:eastAsia="zh-CN"/>
        </w:rPr>
        <w:t>本人</w:t>
      </w:r>
      <w:r>
        <w:rPr>
          <w:rFonts w:hint="eastAsia"/>
          <w:lang w:val="en-US" w:eastAsia="zh-CN"/>
        </w:rPr>
        <w:t>书面</w:t>
      </w:r>
      <w:r>
        <w:rPr>
          <w:rFonts w:hint="default"/>
          <w:lang w:val="en-US" w:eastAsia="zh-CN"/>
        </w:rPr>
        <w:t>向</w:t>
      </w:r>
      <w:r>
        <w:rPr>
          <w:rFonts w:hint="eastAsia"/>
          <w:lang w:val="en-US" w:eastAsia="zh-CN"/>
        </w:rPr>
        <w:t>户籍所在地</w:t>
      </w:r>
      <w:r>
        <w:rPr>
          <w:rFonts w:hint="default"/>
          <w:lang w:val="en-US" w:eastAsia="zh-CN"/>
        </w:rPr>
        <w:t>乡镇（街道）退役军人服务站提出申请</w:t>
      </w:r>
      <w:r>
        <w:rPr>
          <w:rFonts w:hint="eastAsia"/>
          <w:lang w:val="en-US" w:eastAsia="zh-CN"/>
        </w:rPr>
        <w:t>。</w:t>
      </w:r>
      <w:r>
        <w:rPr>
          <w:rFonts w:hint="default"/>
          <w:lang w:val="en-US" w:eastAsia="zh-CN"/>
        </w:rPr>
        <w:t>本人</w:t>
      </w:r>
      <w:r>
        <w:rPr>
          <w:rFonts w:hint="eastAsia"/>
          <w:lang w:val="en-US" w:eastAsia="zh-CN"/>
        </w:rPr>
        <w:t>因行动不便、精神障碍等原因不能自行申请的，其监护人、家属、所在村（居）委会可代为提出申请。</w:t>
      </w:r>
      <w:r>
        <w:rPr>
          <w:rFonts w:hint="default"/>
          <w:lang w:val="en-US" w:eastAsia="zh-CN"/>
        </w:rPr>
        <w:t>申请</w:t>
      </w:r>
      <w:r>
        <w:rPr>
          <w:rFonts w:hint="eastAsia"/>
          <w:lang w:val="en-US" w:eastAsia="zh-CN"/>
        </w:rPr>
        <w:t>时如实</w:t>
      </w:r>
      <w:r>
        <w:rPr>
          <w:rFonts w:hint="default"/>
          <w:lang w:val="en-US" w:eastAsia="zh-CN"/>
        </w:rPr>
        <w:t>提交上述证件材料</w:t>
      </w:r>
      <w:r>
        <w:rPr>
          <w:rFonts w:hint="eastAsia"/>
          <w:lang w:val="en-US" w:eastAsia="zh-CN"/>
        </w:rPr>
        <w:t>和</w:t>
      </w:r>
      <w:r>
        <w:rPr>
          <w:rFonts w:hint="default"/>
          <w:lang w:val="en-US" w:eastAsia="zh-CN"/>
        </w:rPr>
        <w:t>证明材料</w:t>
      </w:r>
      <w:r>
        <w:rPr>
          <w:rFonts w:hint="eastAsia"/>
          <w:lang w:val="en-US" w:eastAsia="zh-CN"/>
        </w:rPr>
        <w:t>，以及申请人认为需要提供的其他材料</w:t>
      </w:r>
      <w:r>
        <w:rPr>
          <w:rFonts w:hint="default"/>
          <w:lang w:val="en-US" w:eastAsia="zh-CN"/>
        </w:rPr>
        <w:t>。</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Fonts w:hint="eastAsia"/>
          <w:lang w:val="en-US" w:eastAsia="zh-CN"/>
        </w:rPr>
        <w:t>优抚对象原则上应当在困难发生的一年内提出申请。</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Style w:val="12"/>
          <w:rFonts w:hint="default"/>
          <w:lang w:val="en-US" w:eastAsia="zh-CN"/>
        </w:rPr>
        <w:t>（二）</w:t>
      </w:r>
      <w:r>
        <w:rPr>
          <w:rStyle w:val="12"/>
          <w:rFonts w:hint="eastAsia"/>
          <w:lang w:val="en-US" w:eastAsia="zh-CN"/>
        </w:rPr>
        <w:t>审核</w:t>
      </w:r>
      <w:r>
        <w:rPr>
          <w:rStyle w:val="12"/>
          <w:rFonts w:hint="default"/>
          <w:lang w:val="en-US" w:eastAsia="zh-CN"/>
        </w:rPr>
        <w:t>。</w:t>
      </w:r>
      <w:r>
        <w:rPr>
          <w:rFonts w:hint="default"/>
          <w:lang w:val="en-US" w:eastAsia="zh-CN"/>
        </w:rPr>
        <w:t>乡镇（街道）退役军人服务站</w:t>
      </w:r>
      <w:r>
        <w:rPr>
          <w:rFonts w:hint="eastAsia"/>
          <w:lang w:val="en-US" w:eastAsia="zh-CN"/>
        </w:rPr>
        <w:t>应当在村（居）委会协助下，根据申请时提交的</w:t>
      </w:r>
      <w:r>
        <w:rPr>
          <w:rFonts w:hint="default"/>
          <w:lang w:val="en-US" w:eastAsia="zh-CN"/>
        </w:rPr>
        <w:t>证件材料</w:t>
      </w:r>
      <w:r>
        <w:rPr>
          <w:rFonts w:hint="eastAsia"/>
          <w:lang w:val="en-US" w:eastAsia="zh-CN"/>
        </w:rPr>
        <w:t>、</w:t>
      </w:r>
      <w:r>
        <w:rPr>
          <w:rFonts w:hint="default"/>
          <w:lang w:val="en-US" w:eastAsia="zh-CN"/>
        </w:rPr>
        <w:t>证明材料</w:t>
      </w:r>
      <w:r>
        <w:rPr>
          <w:rFonts w:hint="eastAsia"/>
          <w:lang w:val="en-US" w:eastAsia="zh-CN"/>
        </w:rPr>
        <w:t>和其他材料，</w:t>
      </w:r>
      <w:r>
        <w:rPr>
          <w:rFonts w:hint="default"/>
          <w:lang w:val="en-US" w:eastAsia="zh-CN"/>
        </w:rPr>
        <w:t>对</w:t>
      </w:r>
      <w:r>
        <w:rPr>
          <w:rFonts w:hint="eastAsia"/>
          <w:lang w:val="en-US" w:eastAsia="zh-CN"/>
        </w:rPr>
        <w:t>申请人身份、家庭经济状况、困难情形程度、各类救助情况等逐一调查，提交乡镇（街道）人民政府（办事处）会审后提出审核意见，如实填写《石柱县</w:t>
      </w:r>
      <w:bookmarkStart w:id="0" w:name="_GoBack"/>
      <w:bookmarkEnd w:id="0"/>
      <w:r>
        <w:rPr>
          <w:rFonts w:hint="eastAsia"/>
          <w:lang w:val="en-US" w:eastAsia="zh-CN"/>
        </w:rPr>
        <w:t>优抚对象“解三难”补助审批表》。</w:t>
      </w:r>
      <w:r>
        <w:rPr>
          <w:rFonts w:hint="default"/>
          <w:lang w:val="en-US" w:eastAsia="zh-CN"/>
        </w:rPr>
        <w:t>并</w:t>
      </w:r>
      <w:r>
        <w:rPr>
          <w:rFonts w:hint="eastAsia"/>
          <w:lang w:val="en-US" w:eastAsia="zh-CN"/>
        </w:rPr>
        <w:t>在申请对象所在村（社区）公示5日以上后，于每月上旬报县退役军人事务局审批</w:t>
      </w:r>
      <w:r>
        <w:rPr>
          <w:rFonts w:hint="default"/>
          <w:lang w:val="en-US" w:eastAsia="zh-CN"/>
        </w:rPr>
        <w:t>。</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Fonts w:hint="eastAsia"/>
          <w:lang w:val="en-US" w:eastAsia="zh-CN"/>
        </w:rPr>
        <w:t>乡镇（街道）人民政府（办事处）在审核申请对象困难程度时，应结合当地生活水平、民政救助制度等综合评价。</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Style w:val="12"/>
          <w:rFonts w:hint="default"/>
          <w:lang w:val="en-US" w:eastAsia="zh-CN"/>
        </w:rPr>
        <w:t>（三）</w:t>
      </w:r>
      <w:r>
        <w:rPr>
          <w:rStyle w:val="12"/>
          <w:rFonts w:hint="eastAsia"/>
          <w:lang w:val="en-US" w:eastAsia="zh-CN"/>
        </w:rPr>
        <w:t>审批</w:t>
      </w:r>
      <w:r>
        <w:rPr>
          <w:rStyle w:val="12"/>
          <w:rFonts w:hint="default"/>
          <w:lang w:val="en-US" w:eastAsia="zh-CN"/>
        </w:rPr>
        <w:t>。</w:t>
      </w:r>
      <w:r>
        <w:rPr>
          <w:rFonts w:hint="default"/>
          <w:lang w:val="en-US" w:eastAsia="zh-CN"/>
        </w:rPr>
        <w:t>县退役军人事务局</w:t>
      </w:r>
      <w:r>
        <w:rPr>
          <w:rFonts w:hint="eastAsia"/>
          <w:lang w:val="en-US" w:eastAsia="zh-CN"/>
        </w:rPr>
        <w:t>受理后，采取集中评审的审批流程进行审批，及时作出审批决定，不予批准的及时反馈</w:t>
      </w:r>
      <w:r>
        <w:rPr>
          <w:rFonts w:hint="default"/>
          <w:lang w:val="en-US" w:eastAsia="zh-CN"/>
        </w:rPr>
        <w:t>乡镇（街道）退役军人服务站</w:t>
      </w:r>
      <w:r>
        <w:rPr>
          <w:rFonts w:hint="eastAsia"/>
          <w:lang w:val="en-US" w:eastAsia="zh-CN"/>
        </w:rPr>
        <w:t>向申请对象说明理由。审批过程中，对有疑问、举报的，会同</w:t>
      </w:r>
      <w:r>
        <w:rPr>
          <w:rFonts w:hint="default"/>
          <w:lang w:val="en-US" w:eastAsia="zh-CN"/>
        </w:rPr>
        <w:t>乡镇（街道）退役军人服务站</w:t>
      </w:r>
      <w:r>
        <w:rPr>
          <w:rFonts w:hint="eastAsia"/>
          <w:lang w:val="en-US" w:eastAsia="zh-CN"/>
        </w:rPr>
        <w:t>和村（居）委会进行调查复核。</w:t>
      </w:r>
    </w:p>
    <w:p>
      <w:pPr>
        <w:keepNext w:val="0"/>
        <w:keepLines w:val="0"/>
        <w:pageBreakBefore w:val="0"/>
        <w:widowControl w:val="0"/>
        <w:wordWrap/>
        <w:topLinePunct w:val="0"/>
        <w:autoSpaceDE/>
        <w:autoSpaceDN/>
        <w:bidi w:val="0"/>
        <w:adjustRightInd/>
        <w:snapToGrid/>
        <w:spacing w:line="600" w:lineRule="exact"/>
        <w:textAlignment w:val="auto"/>
        <w:rPr>
          <w:rFonts w:hint="eastAsia"/>
          <w:lang w:val="en-US" w:eastAsia="zh-CN"/>
        </w:rPr>
      </w:pPr>
      <w:r>
        <w:rPr>
          <w:rFonts w:hint="default"/>
          <w:lang w:val="en-US" w:eastAsia="zh-CN"/>
        </w:rPr>
        <w:t>县退役军人事务局</w:t>
      </w:r>
      <w:r>
        <w:rPr>
          <w:rFonts w:hint="eastAsia"/>
          <w:lang w:val="en-US" w:eastAsia="zh-CN"/>
        </w:rPr>
        <w:t>原则上每月集中审批不少于1次。</w:t>
      </w:r>
    </w:p>
    <w:p>
      <w:pPr>
        <w:keepNext w:val="0"/>
        <w:keepLines w:val="0"/>
        <w:pageBreakBefore w:val="0"/>
        <w:widowControl w:val="0"/>
        <w:wordWrap/>
        <w:topLinePunct w:val="0"/>
        <w:autoSpaceDE/>
        <w:autoSpaceDN/>
        <w:bidi w:val="0"/>
        <w:adjustRightInd/>
        <w:snapToGrid/>
        <w:spacing w:line="600" w:lineRule="exact"/>
        <w:textAlignment w:val="auto"/>
        <w:rPr>
          <w:rFonts w:hint="eastAsia"/>
          <w:lang w:val="en-US" w:eastAsia="zh-CN"/>
        </w:rPr>
      </w:pPr>
      <w:r>
        <w:rPr>
          <w:rFonts w:hint="eastAsia"/>
          <w:lang w:val="en-US" w:eastAsia="zh-CN"/>
        </w:rPr>
        <w:t>遇有火灾水灾滑坡等突发自然灾害和人身伤害等紧急情况，乡镇（街道）人民政府（办事处）应先与</w:t>
      </w:r>
      <w:r>
        <w:rPr>
          <w:rFonts w:hint="default"/>
          <w:lang w:val="en-US" w:eastAsia="zh-CN"/>
        </w:rPr>
        <w:t>县退役军人事务局</w:t>
      </w:r>
      <w:r>
        <w:rPr>
          <w:rFonts w:hint="eastAsia"/>
          <w:lang w:val="en-US" w:eastAsia="zh-CN"/>
        </w:rPr>
        <w:t>沟通，经</w:t>
      </w:r>
      <w:r>
        <w:rPr>
          <w:rFonts w:hint="default"/>
          <w:lang w:val="en-US" w:eastAsia="zh-CN"/>
        </w:rPr>
        <w:t>县退役军人事务局</w:t>
      </w:r>
      <w:r>
        <w:rPr>
          <w:rFonts w:hint="eastAsia"/>
          <w:lang w:val="en-US" w:eastAsia="zh-CN"/>
        </w:rPr>
        <w:t>主要负责同志同意后，可先行帮扶援助再按规定补齐审核审批手续。</w:t>
      </w:r>
    </w:p>
    <w:p>
      <w:pPr>
        <w:keepNext w:val="0"/>
        <w:keepLines w:val="0"/>
        <w:pageBreakBefore w:val="0"/>
        <w:widowControl w:val="0"/>
        <w:wordWrap/>
        <w:topLinePunct w:val="0"/>
        <w:autoSpaceDE/>
        <w:autoSpaceDN/>
        <w:bidi w:val="0"/>
        <w:adjustRightInd/>
        <w:snapToGrid/>
        <w:spacing w:line="600" w:lineRule="exact"/>
        <w:textAlignment w:val="auto"/>
        <w:rPr>
          <w:rStyle w:val="11"/>
          <w:rFonts w:hint="default"/>
          <w:lang w:val="en-US" w:eastAsia="zh-CN"/>
        </w:rPr>
      </w:pPr>
      <w:r>
        <w:rPr>
          <w:rFonts w:hint="eastAsia"/>
          <w:lang w:val="en-US" w:eastAsia="zh-CN"/>
        </w:rPr>
        <w:t>同一困难事项原则上每户每年只能享受一次帮扶，特殊情况确需再次帮扶的，一年最多不超过三次。</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Style w:val="11"/>
          <w:rFonts w:hint="eastAsia"/>
          <w:lang w:val="en-US" w:eastAsia="zh-CN"/>
        </w:rPr>
        <w:t>五</w:t>
      </w:r>
      <w:r>
        <w:rPr>
          <w:rStyle w:val="11"/>
          <w:rFonts w:hint="default"/>
          <w:lang w:val="en-US" w:eastAsia="zh-CN"/>
        </w:rPr>
        <w:t>、</w:t>
      </w:r>
      <w:r>
        <w:rPr>
          <w:rStyle w:val="11"/>
          <w:rFonts w:hint="eastAsia"/>
          <w:lang w:val="en-US" w:eastAsia="zh-CN"/>
        </w:rPr>
        <w:t>帮扶解困资金发放。</w:t>
      </w:r>
      <w:r>
        <w:rPr>
          <w:rFonts w:hint="eastAsia"/>
          <w:lang w:val="en-US" w:eastAsia="zh-CN"/>
        </w:rPr>
        <w:t>统一通过银行转账发放。</w:t>
      </w:r>
    </w:p>
    <w:p>
      <w:pPr>
        <w:pStyle w:val="5"/>
        <w:keepNext w:val="0"/>
        <w:keepLines w:val="0"/>
        <w:pageBreakBefore w:val="0"/>
        <w:widowControl w:val="0"/>
        <w:wordWrap/>
        <w:topLinePunct w:val="0"/>
        <w:autoSpaceDE/>
        <w:autoSpaceDN/>
        <w:bidi w:val="0"/>
        <w:adjustRightInd/>
        <w:snapToGrid/>
        <w:spacing w:line="600" w:lineRule="exact"/>
        <w:textAlignment w:val="auto"/>
        <w:rPr>
          <w:rFonts w:hint="eastAsia"/>
          <w:lang w:val="en-US" w:eastAsia="zh-CN"/>
        </w:rPr>
      </w:pPr>
      <w:r>
        <w:rPr>
          <w:rFonts w:hint="eastAsia"/>
          <w:lang w:val="en-US" w:eastAsia="zh-CN"/>
        </w:rPr>
        <w:t>六</w:t>
      </w:r>
      <w:r>
        <w:rPr>
          <w:rFonts w:hint="default"/>
          <w:lang w:val="en-US" w:eastAsia="zh-CN"/>
        </w:rPr>
        <w:t>、</w:t>
      </w:r>
      <w:r>
        <w:rPr>
          <w:rFonts w:hint="eastAsia"/>
          <w:lang w:val="en-US" w:eastAsia="zh-CN"/>
        </w:rPr>
        <w:t>工作要求</w:t>
      </w:r>
    </w:p>
    <w:p>
      <w:pPr>
        <w:keepNext w:val="0"/>
        <w:keepLines w:val="0"/>
        <w:pageBreakBefore w:val="0"/>
        <w:widowControl w:val="0"/>
        <w:wordWrap/>
        <w:topLinePunct w:val="0"/>
        <w:autoSpaceDE/>
        <w:autoSpaceDN/>
        <w:bidi w:val="0"/>
        <w:adjustRightInd/>
        <w:snapToGrid/>
        <w:spacing w:line="600" w:lineRule="exact"/>
        <w:textAlignment w:val="auto"/>
        <w:rPr>
          <w:rFonts w:hint="default"/>
          <w:lang w:val="en-US" w:eastAsia="zh-CN"/>
        </w:rPr>
      </w:pPr>
      <w:r>
        <w:rPr>
          <w:rStyle w:val="12"/>
          <w:rFonts w:hint="default"/>
          <w:lang w:val="en-US" w:eastAsia="zh-CN"/>
        </w:rPr>
        <w:t>（一）</w:t>
      </w:r>
      <w:r>
        <w:rPr>
          <w:rStyle w:val="12"/>
          <w:rFonts w:hint="eastAsia"/>
          <w:lang w:val="en-US" w:eastAsia="zh-CN"/>
        </w:rPr>
        <w:t>加强联系，及时收集解决优抚对象问题困难。</w:t>
      </w:r>
      <w:r>
        <w:rPr>
          <w:rFonts w:hint="eastAsia"/>
          <w:lang w:val="en-US" w:eastAsia="zh-CN"/>
        </w:rPr>
        <w:t>各乡镇（街道）要切实落实常态化联系退役军人和其他优抚对象工作要求，加强和优抚对象的沟通联系，及时掌握他们的就业收入状况和生活、医疗、住房重大困难，通过帮助他们申请</w:t>
      </w:r>
      <w:r>
        <w:rPr>
          <w:rFonts w:hint="default"/>
          <w:lang w:val="en-US" w:eastAsia="zh-CN"/>
        </w:rPr>
        <w:t>现有制度保障</w:t>
      </w:r>
      <w:r>
        <w:rPr>
          <w:rFonts w:hint="eastAsia"/>
          <w:lang w:val="en-US" w:eastAsia="zh-CN"/>
        </w:rPr>
        <w:t>进行解决。对</w:t>
      </w:r>
      <w:r>
        <w:rPr>
          <w:rFonts w:hint="default"/>
          <w:lang w:val="en-US" w:eastAsia="zh-CN"/>
        </w:rPr>
        <w:t>无法通过现有制度保障的，或者通过现有制度保障后家庭仍</w:t>
      </w:r>
      <w:r>
        <w:rPr>
          <w:rFonts w:hint="eastAsia"/>
          <w:lang w:val="en-US" w:eastAsia="zh-CN"/>
        </w:rPr>
        <w:t>特别</w:t>
      </w:r>
      <w:r>
        <w:rPr>
          <w:rFonts w:hint="default"/>
          <w:lang w:val="en-US" w:eastAsia="zh-CN"/>
        </w:rPr>
        <w:t>困难的</w:t>
      </w:r>
      <w:r>
        <w:rPr>
          <w:rFonts w:hint="eastAsia"/>
          <w:lang w:val="en-US" w:eastAsia="zh-CN"/>
        </w:rPr>
        <w:t>，及时引导申请“解三难”资金帮扶解困。</w:t>
      </w:r>
    </w:p>
    <w:p>
      <w:pPr>
        <w:keepNext w:val="0"/>
        <w:keepLines w:val="0"/>
        <w:pageBreakBefore w:val="0"/>
        <w:widowControl w:val="0"/>
        <w:wordWrap/>
        <w:topLinePunct w:val="0"/>
        <w:autoSpaceDE/>
        <w:autoSpaceDN/>
        <w:bidi w:val="0"/>
        <w:adjustRightInd/>
        <w:snapToGrid/>
        <w:spacing w:line="600" w:lineRule="exact"/>
        <w:textAlignment w:val="auto"/>
        <w:rPr>
          <w:rFonts w:hint="default"/>
        </w:rPr>
      </w:pPr>
      <w:r>
        <w:rPr>
          <w:rStyle w:val="12"/>
          <w:rFonts w:hint="default"/>
          <w:lang w:val="en-US" w:eastAsia="zh-CN"/>
        </w:rPr>
        <w:t>（二）</w:t>
      </w:r>
      <w:r>
        <w:rPr>
          <w:rStyle w:val="12"/>
          <w:rFonts w:hint="eastAsia"/>
          <w:lang w:val="en-US" w:eastAsia="zh-CN"/>
        </w:rPr>
        <w:t>全面核实，精准掌握申请对象困难情况</w:t>
      </w:r>
      <w:r>
        <w:rPr>
          <w:rStyle w:val="12"/>
          <w:rFonts w:hint="default"/>
          <w:lang w:val="en-US" w:eastAsia="zh-CN"/>
        </w:rPr>
        <w:t>。</w:t>
      </w:r>
      <w:r>
        <w:rPr>
          <w:rFonts w:hint="eastAsia"/>
          <w:lang w:val="en-US" w:eastAsia="zh-CN"/>
        </w:rPr>
        <w:t>各乡镇（街道）要根据上述提示的帮扶范围和证明材料，全面核实申请对象的家庭收入和家庭开支情况，精准掌握导致困难的原因、困难的程度，结合当地实际，提出合适的帮扶建议，确保解真难、真解难。</w:t>
      </w:r>
    </w:p>
    <w:p>
      <w:pPr>
        <w:keepNext w:val="0"/>
        <w:keepLines w:val="0"/>
        <w:pageBreakBefore w:val="0"/>
        <w:widowControl w:val="0"/>
        <w:wordWrap/>
        <w:topLinePunct w:val="0"/>
        <w:autoSpaceDE/>
        <w:autoSpaceDN/>
        <w:bidi w:val="0"/>
        <w:adjustRightInd/>
        <w:snapToGrid/>
        <w:spacing w:line="600" w:lineRule="exact"/>
        <w:textAlignment w:val="auto"/>
      </w:pPr>
      <w:r>
        <w:rPr>
          <w:rStyle w:val="12"/>
          <w:rFonts w:hint="default"/>
          <w:lang w:val="en-US" w:eastAsia="zh-CN"/>
        </w:rPr>
        <w:t>（三）</w:t>
      </w:r>
      <w:r>
        <w:rPr>
          <w:rStyle w:val="12"/>
          <w:rFonts w:hint="eastAsia"/>
          <w:lang w:val="en-US" w:eastAsia="zh-CN"/>
        </w:rPr>
        <w:t>严肃纪律，确保取得实实在在效果</w:t>
      </w:r>
      <w:r>
        <w:rPr>
          <w:rStyle w:val="12"/>
          <w:rFonts w:hint="default"/>
          <w:lang w:val="en-US" w:eastAsia="zh-CN"/>
        </w:rPr>
        <w:t>。</w:t>
      </w:r>
      <w:r>
        <w:rPr>
          <w:rFonts w:hint="eastAsia"/>
          <w:lang w:val="en-US" w:eastAsia="zh-CN"/>
        </w:rPr>
        <w:t>各乡镇（街道）在审核优抚对象的帮扶援助申请时，要坚持以困难作为唯一标准，克服因申请对象不勤劳不挣钱、爱提意见说话难听、和干部关系差等因素而否定其实际困难，从而将他们审核在帮扶解困范围之外。同时要防止因与干部感情好而将并不困难或者困难不大的优抚对象纳入帮扶解困范围。各乡镇（街道）在审核中要践行服务宗旨，指导帮助申请对象完善相关材料，在对困难审核时不拘泥于上述规定的证明材料，确保应帮尽帮，取得良好社会效果，不产生舆情和恶劣影响。</w:t>
      </w:r>
    </w:p>
    <w:p>
      <w:pPr>
        <w:keepNext w:val="0"/>
        <w:keepLines w:val="0"/>
        <w:pageBreakBefore w:val="0"/>
        <w:widowControl w:val="0"/>
        <w:kinsoku/>
        <w:wordWrap/>
        <w:overflowPunct/>
        <w:topLinePunct w:val="0"/>
        <w:autoSpaceDE/>
        <w:autoSpaceDN/>
        <w:bidi w:val="0"/>
        <w:adjustRightInd/>
        <w:snapToGrid/>
        <w:spacing w:line="600" w:lineRule="exact"/>
        <w:ind w:firstLine="2964" w:firstLineChars="950"/>
        <w:textAlignment w:val="auto"/>
        <w:rPr>
          <w:rFonts w:ascii="Times New Roman" w:hAnsi="Times New Roman" w:eastAsia="方正仿宋_GBK" w:cs="Times New Roman"/>
          <w:snapToGrid w:val="0"/>
          <w:sz w:val="32"/>
          <w:szCs w:val="32"/>
        </w:rPr>
      </w:pPr>
    </w:p>
    <w:p>
      <w:pPr>
        <w:pStyle w:val="2"/>
        <w:keepNext w:val="0"/>
        <w:keepLines w:val="0"/>
        <w:pageBreakBefore w:val="0"/>
        <w:wordWrap/>
        <w:topLinePunct w:val="0"/>
        <w:autoSpaceDE/>
        <w:autoSpaceDN/>
        <w:bidi w:val="0"/>
        <w:adjustRightInd/>
        <w:snapToGrid/>
        <w:spacing w:line="60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附件：石柱县优抚对象“解三难”补助审批表</w:t>
      </w:r>
    </w:p>
    <w:p>
      <w:pPr>
        <w:keepNext w:val="0"/>
        <w:keepLines w:val="0"/>
        <w:pageBreakBefore w:val="0"/>
        <w:widowControl w:val="0"/>
        <w:kinsoku/>
        <w:wordWrap/>
        <w:overflowPunct/>
        <w:topLinePunct w:val="0"/>
        <w:autoSpaceDE/>
        <w:autoSpaceDN/>
        <w:bidi w:val="0"/>
        <w:adjustRightInd/>
        <w:snapToGrid/>
        <w:spacing w:line="600" w:lineRule="exact"/>
        <w:ind w:firstLine="3120" w:firstLineChars="1000"/>
        <w:textAlignment w:val="auto"/>
        <w:rPr>
          <w:rFonts w:hint="eastAsia" w:ascii="Times New Roman" w:hAnsi="Times New Roman" w:eastAsia="方正仿宋_GBK" w:cs="Times New Roman"/>
          <w:snapToGrid w:val="0"/>
          <w:sz w:val="32"/>
          <w:szCs w:val="32"/>
          <w:lang w:val="en-US" w:eastAsia="zh-CN"/>
        </w:rPr>
      </w:pPr>
      <w:r>
        <w:rPr>
          <w:rFonts w:ascii="Times New Roman" w:hAnsi="Times New Roman" w:eastAsia="方正仿宋_GBK" w:cs="Times New Roman"/>
          <w:snapToGrid w:val="0"/>
          <w:sz w:val="32"/>
          <w:szCs w:val="32"/>
        </w:rPr>
        <w:t>石柱土家族自治县退役军人事务局</w:t>
      </w:r>
      <w:r>
        <w:rPr>
          <w:rFonts w:hint="eastAsia" w:cs="Times New Roman"/>
          <w:snapToGrid w:val="0"/>
          <w:sz w:val="32"/>
          <w:szCs w:val="32"/>
          <w:lang w:val="en-US" w:eastAsia="zh-CN"/>
        </w:rPr>
        <w:t xml:space="preserve"> </w:t>
      </w:r>
    </w:p>
    <w:p>
      <w:pPr>
        <w:pStyle w:val="3"/>
        <w:keepNext w:val="0"/>
        <w:keepLines w:val="0"/>
        <w:pageBreakBefore w:val="0"/>
        <w:wordWrap/>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r>
        <w:rPr>
          <w:rFonts w:ascii="Times New Roman" w:hAnsi="Times New Roman" w:eastAsia="方正仿宋_GBK" w:cs="Times New Roman"/>
          <w:snapToGrid w:val="0"/>
          <w:sz w:val="32"/>
          <w:szCs w:val="32"/>
        </w:rPr>
        <w:t xml:space="preserve">     </w:t>
      </w:r>
      <w:r>
        <w:rPr>
          <w:rFonts w:hint="eastAsia" w:ascii="Times New Roman" w:hAnsi="Times New Roman" w:eastAsia="方正仿宋_GBK" w:cs="Times New Roman"/>
          <w:snapToGrid w:val="0"/>
          <w:sz w:val="32"/>
          <w:szCs w:val="32"/>
          <w:lang w:val="en-US" w:eastAsia="zh-CN"/>
        </w:rPr>
        <w:t xml:space="preserve">                  </w:t>
      </w:r>
      <w:r>
        <w:rPr>
          <w:rFonts w:ascii="Times New Roman" w:hAnsi="Times New Roman" w:eastAsia="方正仿宋_GBK" w:cs="Times New Roman"/>
          <w:snapToGrid w:val="0"/>
          <w:sz w:val="32"/>
          <w:szCs w:val="32"/>
        </w:rPr>
        <w:t xml:space="preserve"> </w:t>
      </w:r>
      <w:r>
        <w:rPr>
          <w:rFonts w:hint="eastAsia" w:ascii="Times New Roman" w:hAnsi="Times New Roman" w:eastAsia="方正仿宋_GBK" w:cs="Times New Roman"/>
          <w:snapToGrid w:val="0"/>
          <w:sz w:val="32"/>
          <w:szCs w:val="32"/>
          <w:lang w:val="en-US" w:eastAsia="zh-CN"/>
        </w:rPr>
        <w:t xml:space="preserve"> </w:t>
      </w:r>
      <w:r>
        <w:rPr>
          <w:rFonts w:ascii="Times New Roman" w:hAnsi="Times New Roman" w:eastAsia="方正仿宋_GBK" w:cs="Times New Roman"/>
          <w:snapToGrid w:val="0"/>
          <w:sz w:val="32"/>
          <w:szCs w:val="32"/>
        </w:rPr>
        <w:t xml:space="preserve">  202</w:t>
      </w:r>
      <w:r>
        <w:rPr>
          <w:rFonts w:hint="eastAsia" w:ascii="Times New Roman" w:hAnsi="Times New Roman" w:cs="Times New Roman"/>
          <w:snapToGrid w:val="0"/>
          <w:sz w:val="32"/>
          <w:szCs w:val="32"/>
          <w:lang w:val="en-US" w:eastAsia="zh-CN"/>
        </w:rPr>
        <w:t>4</w:t>
      </w:r>
      <w:r>
        <w:rPr>
          <w:rFonts w:ascii="Times New Roman" w:hAnsi="Times New Roman" w:eastAsia="方正仿宋_GBK" w:cs="Times New Roman"/>
          <w:snapToGrid w:val="0"/>
          <w:sz w:val="32"/>
          <w:szCs w:val="32"/>
        </w:rPr>
        <w:t>年</w:t>
      </w:r>
      <w:r>
        <w:rPr>
          <w:rFonts w:hint="eastAsia" w:ascii="Times New Roman" w:hAnsi="Times New Roman" w:eastAsia="方正仿宋_GBK" w:cs="Times New Roman"/>
          <w:snapToGrid w:val="0"/>
          <w:sz w:val="32"/>
          <w:szCs w:val="32"/>
          <w:lang w:val="en-US" w:eastAsia="zh-CN"/>
        </w:rPr>
        <w:t>1</w:t>
      </w:r>
      <w:r>
        <w:rPr>
          <w:rFonts w:ascii="Times New Roman" w:hAnsi="Times New Roman" w:eastAsia="方正仿宋_GBK" w:cs="Times New Roman"/>
          <w:snapToGrid w:val="0"/>
          <w:sz w:val="32"/>
          <w:szCs w:val="32"/>
        </w:rPr>
        <w:t>月</w:t>
      </w:r>
      <w:r>
        <w:rPr>
          <w:rFonts w:hint="eastAsia" w:ascii="Times New Roman" w:hAnsi="Times New Roman" w:eastAsia="方正仿宋_GBK" w:cs="Times New Roman"/>
          <w:snapToGrid w:val="0"/>
          <w:sz w:val="32"/>
          <w:szCs w:val="32"/>
          <w:lang w:val="en-US" w:eastAsia="zh-CN"/>
        </w:rPr>
        <w:t>30</w:t>
      </w:r>
      <w:r>
        <w:rPr>
          <w:rFonts w:ascii="Times New Roman" w:hAnsi="Times New Roman" w:eastAsia="方正仿宋_GBK" w:cs="Times New Roman"/>
          <w:snapToGrid w:val="0"/>
          <w:sz w:val="32"/>
          <w:szCs w:val="32"/>
        </w:rPr>
        <w:t>日</w:t>
      </w:r>
    </w:p>
    <w:p>
      <w:pPr>
        <w:pStyle w:val="3"/>
        <w:keepNext w:val="0"/>
        <w:keepLines w:val="0"/>
        <w:pageBreakBefore w:val="0"/>
        <w:wordWrap/>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pStyle w:val="3"/>
        <w:keepNext w:val="0"/>
        <w:keepLines w:val="0"/>
        <w:pageBreakBefore w:val="0"/>
        <w:wordWrap/>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pStyle w:val="3"/>
        <w:keepNext w:val="0"/>
        <w:keepLines w:val="0"/>
        <w:pageBreakBefore w:val="0"/>
        <w:wordWrap/>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pStyle w:val="3"/>
        <w:keepNext w:val="0"/>
        <w:keepLines w:val="0"/>
        <w:pageBreakBefore w:val="0"/>
        <w:wordWrap/>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pStyle w:val="3"/>
        <w:keepNext w:val="0"/>
        <w:keepLines w:val="0"/>
        <w:pageBreakBefore w:val="0"/>
        <w:wordWrap/>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pStyle w:val="3"/>
        <w:keepNext w:val="0"/>
        <w:keepLines w:val="0"/>
        <w:pageBreakBefore w:val="0"/>
        <w:wordWrap/>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pStyle w:val="3"/>
        <w:keepNext w:val="0"/>
        <w:keepLines w:val="0"/>
        <w:pageBreakBefore w:val="0"/>
        <w:wordWrap/>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pStyle w:val="3"/>
        <w:keepNext w:val="0"/>
        <w:keepLines w:val="0"/>
        <w:pageBreakBefore w:val="0"/>
        <w:wordWrap/>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pStyle w:val="3"/>
        <w:rPr>
          <w:rFonts w:hint="default" w:ascii="Times New Roman" w:hAnsi="Times New Roman" w:cs="Times New Roman"/>
          <w:sz w:val="32"/>
          <w:szCs w:val="32"/>
          <w:lang w:val="en-US" w:eastAsia="zh-CN"/>
        </w:rPr>
      </w:pPr>
    </w:p>
    <w:p>
      <w:pPr>
        <w:pBdr>
          <w:top w:val="single" w:color="auto" w:sz="4" w:space="0"/>
          <w:bottom w:val="single" w:color="auto" w:sz="4" w:space="0"/>
        </w:pBdr>
        <w:spacing w:line="600" w:lineRule="exact"/>
        <w:ind w:left="0" w:leftChars="0" w:firstLine="0" w:firstLineChars="0"/>
        <w:rPr>
          <w:rFonts w:hint="default" w:ascii="Times New Roman" w:hAnsi="Times New Roman" w:cs="Times New Roman"/>
          <w:sz w:val="32"/>
          <w:szCs w:val="32"/>
          <w:lang w:val="en-US" w:eastAsia="zh-CN"/>
        </w:rPr>
      </w:pPr>
      <w:r>
        <w:rPr>
          <w:rFonts w:hint="eastAsia" w:ascii="方正仿宋_GBK" w:hAnsi="方正仿宋_GBK" w:eastAsia="方正仿宋_GBK" w:cs="方正仿宋_GBK"/>
          <w:color w:val="000000"/>
          <w:sz w:val="28"/>
          <w:szCs w:val="28"/>
        </w:rPr>
        <w:t>石柱土家族自治县</w:t>
      </w:r>
      <w:r>
        <w:rPr>
          <w:rFonts w:hint="eastAsia" w:ascii="方正仿宋_GBK" w:hAnsi="方正仿宋_GBK" w:eastAsia="方正仿宋_GBK" w:cs="方正仿宋_GBK"/>
          <w:color w:val="000000"/>
          <w:sz w:val="28"/>
          <w:szCs w:val="28"/>
          <w:lang w:val="en-US" w:eastAsia="zh-CN"/>
        </w:rPr>
        <w:t>退役军人事务</w:t>
      </w:r>
      <w:r>
        <w:rPr>
          <w:rFonts w:hint="eastAsia" w:ascii="方正仿宋_GBK" w:hAnsi="方正仿宋_GBK" w:eastAsia="方正仿宋_GBK" w:cs="方正仿宋_GBK"/>
          <w:color w:val="000000"/>
          <w:sz w:val="28"/>
          <w:szCs w:val="28"/>
        </w:rPr>
        <w:t>局</w:t>
      </w:r>
      <w:r>
        <w:rPr>
          <w:rFonts w:hint="eastAsia" w:ascii="方正仿宋_GBK" w:hAnsi="方正仿宋_GBK" w:eastAsia="方正仿宋_GBK" w:cs="方正仿宋_GBK"/>
          <w:color w:val="000000"/>
          <w:sz w:val="28"/>
          <w:szCs w:val="28"/>
          <w:lang w:val="en-US" w:eastAsia="zh-CN"/>
        </w:rPr>
        <w:t>综合科</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eastAsia" w:ascii="Times New Roman" w:hAnsi="Times New Roman" w:eastAsia="方正仿宋_GBK" w:cs="Times New Roman"/>
          <w:color w:val="000000"/>
          <w:sz w:val="28"/>
          <w:szCs w:val="28"/>
          <w:lang w:val="en-US" w:eastAsia="zh-CN"/>
        </w:rPr>
        <w:t>2</w:t>
      </w:r>
      <w:r>
        <w:rPr>
          <w:rFonts w:hint="eastAsia" w:ascii="Times New Roman" w:hAnsi="Times New Roman"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月</w:t>
      </w:r>
      <w:r>
        <w:rPr>
          <w:rFonts w:hint="eastAsia" w:cs="Times New Roman"/>
          <w:color w:val="000000"/>
          <w:sz w:val="28"/>
          <w:szCs w:val="28"/>
          <w:lang w:val="en-US" w:eastAsia="zh-CN"/>
        </w:rPr>
        <w:t>30</w:t>
      </w:r>
      <w:r>
        <w:rPr>
          <w:rFonts w:hint="default" w:ascii="Times New Roman" w:hAnsi="Times New Roman" w:eastAsia="方正仿宋_GBK" w:cs="Times New Roman"/>
          <w:color w:val="000000"/>
          <w:sz w:val="28"/>
          <w:szCs w:val="28"/>
        </w:rPr>
        <w:t>日印</w:t>
      </w:r>
      <w:r>
        <w:rPr>
          <w:rFonts w:hint="default" w:ascii="Times New Roman" w:hAnsi="Times New Roman" w:eastAsia="方正仿宋_GBK" w:cs="Times New Roman"/>
          <w:color w:val="000000"/>
          <w:sz w:val="28"/>
          <w:szCs w:val="28"/>
          <w:lang w:eastAsia="zh-CN"/>
        </w:rPr>
        <w:t>发</w:t>
      </w:r>
    </w:p>
    <w:sectPr>
      <w:footerReference r:id="rId5" w:type="default"/>
      <w:pgSz w:w="11906" w:h="16838"/>
      <w:pgMar w:top="1962" w:right="1474" w:bottom="1848" w:left="1587" w:header="851" w:footer="992" w:gutter="0"/>
      <w:pgNumType w:fmt="decimal"/>
      <w:cols w:space="0" w:num="1"/>
      <w:rtlGutter w:val="0"/>
      <w:docGrid w:type="linesAndChars" w:linePitch="600" w:charSpace="-1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4"/>
      </w:pPr>
      <w:r>
        <w:separator/>
      </w:r>
    </w:p>
  </w:endnote>
  <w:endnote w:type="continuationSeparator" w:id="1">
    <w:p>
      <w:pPr>
        <w:spacing w:line="240" w:lineRule="auto"/>
        <w:ind w:firstLine="6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Times">
    <w:altName w:val="CG Times"/>
    <w:panose1 w:val="02020603050405020304"/>
    <w:charset w:val="00"/>
    <w:family w:val="roman"/>
    <w:pitch w:val="default"/>
    <w:sig w:usb0="00000000" w:usb1="00000000" w:usb2="00000009" w:usb3="00000000" w:csb0="000001FF"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4"/>
      </w:pPr>
      <w:r>
        <w:separator/>
      </w:r>
    </w:p>
  </w:footnote>
  <w:footnote w:type="continuationSeparator" w:id="1">
    <w:p>
      <w:pPr>
        <w:spacing w:line="240" w:lineRule="auto"/>
        <w:ind w:firstLine="64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1"/>
  <w:drawingGridVerticalSpacing w:val="30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MjUyYjA1NjczNjhlMGI3YzVhNDc3ZWE1Zjc3ZWUifQ=="/>
  </w:docVars>
  <w:rsids>
    <w:rsidRoot w:val="1351218D"/>
    <w:rsid w:val="001822B0"/>
    <w:rsid w:val="01E9136B"/>
    <w:rsid w:val="0800193A"/>
    <w:rsid w:val="0D5F5E5E"/>
    <w:rsid w:val="0FE562D6"/>
    <w:rsid w:val="1351218D"/>
    <w:rsid w:val="16485519"/>
    <w:rsid w:val="165B0541"/>
    <w:rsid w:val="182405E3"/>
    <w:rsid w:val="183208C2"/>
    <w:rsid w:val="1B9C21CB"/>
    <w:rsid w:val="1D6D3420"/>
    <w:rsid w:val="1FFA6F60"/>
    <w:rsid w:val="20736FB6"/>
    <w:rsid w:val="20AB667E"/>
    <w:rsid w:val="21297761"/>
    <w:rsid w:val="297E5FC7"/>
    <w:rsid w:val="2ED2768E"/>
    <w:rsid w:val="33492641"/>
    <w:rsid w:val="359836BB"/>
    <w:rsid w:val="367753E6"/>
    <w:rsid w:val="37CB51F0"/>
    <w:rsid w:val="3BB9201C"/>
    <w:rsid w:val="3F310B59"/>
    <w:rsid w:val="4130577D"/>
    <w:rsid w:val="45D34853"/>
    <w:rsid w:val="46BF4DBC"/>
    <w:rsid w:val="49C00123"/>
    <w:rsid w:val="4ABF34BD"/>
    <w:rsid w:val="4D5320E1"/>
    <w:rsid w:val="53460277"/>
    <w:rsid w:val="59FF50CF"/>
    <w:rsid w:val="5C87572B"/>
    <w:rsid w:val="6137682B"/>
    <w:rsid w:val="687C3930"/>
    <w:rsid w:val="6CB1620D"/>
    <w:rsid w:val="7154021D"/>
    <w:rsid w:val="748E0039"/>
    <w:rsid w:val="7599598A"/>
    <w:rsid w:val="766461F3"/>
    <w:rsid w:val="76BB255C"/>
    <w:rsid w:val="7AF14B54"/>
    <w:rsid w:val="7F405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880" w:firstLineChars="200"/>
      <w:jc w:val="both"/>
    </w:pPr>
    <w:rPr>
      <w:rFonts w:ascii="Times New Roman" w:hAnsi="Times New Roman" w:eastAsia="方正仿宋_GBK" w:cstheme="minorBidi"/>
      <w:kern w:val="2"/>
      <w:sz w:val="33"/>
      <w:szCs w:val="33"/>
      <w:lang w:val="en-US" w:eastAsia="zh-CN" w:bidi="ar-SA"/>
    </w:rPr>
  </w:style>
  <w:style w:type="paragraph" w:styleId="4">
    <w:name w:val="heading 1"/>
    <w:basedOn w:val="1"/>
    <w:next w:val="1"/>
    <w:qFormat/>
    <w:uiPriority w:val="0"/>
    <w:pPr>
      <w:keepNext w:val="0"/>
      <w:keepLines w:val="0"/>
      <w:kinsoku w:val="0"/>
      <w:overflowPunct w:val="0"/>
      <w:spacing w:beforeLines="0" w:beforeAutospacing="0" w:afterLines="0" w:afterAutospacing="0" w:line="594" w:lineRule="exact"/>
      <w:ind w:firstLine="0" w:firstLineChars="0"/>
      <w:jc w:val="center"/>
      <w:outlineLvl w:val="0"/>
    </w:pPr>
    <w:rPr>
      <w:rFonts w:eastAsia="方正小标宋_GBK"/>
      <w:kern w:val="44"/>
      <w:sz w:val="44"/>
    </w:rPr>
  </w:style>
  <w:style w:type="paragraph" w:styleId="5">
    <w:name w:val="heading 2"/>
    <w:basedOn w:val="1"/>
    <w:next w:val="1"/>
    <w:link w:val="11"/>
    <w:unhideWhenUsed/>
    <w:qFormat/>
    <w:uiPriority w:val="0"/>
    <w:pPr>
      <w:keepNext w:val="0"/>
      <w:keepLines w:val="0"/>
      <w:kinsoku w:val="0"/>
      <w:overflowPunct w:val="0"/>
      <w:spacing w:beforeLines="0" w:beforeAutospacing="0" w:afterLines="0" w:afterAutospacing="0" w:line="594" w:lineRule="exact"/>
      <w:outlineLvl w:val="1"/>
    </w:pPr>
    <w:rPr>
      <w:rFonts w:eastAsia="方正黑体_GBK"/>
      <w:sz w:val="32"/>
    </w:rPr>
  </w:style>
  <w:style w:type="paragraph" w:styleId="6">
    <w:name w:val="heading 3"/>
    <w:basedOn w:val="1"/>
    <w:next w:val="1"/>
    <w:link w:val="12"/>
    <w:unhideWhenUsed/>
    <w:qFormat/>
    <w:uiPriority w:val="0"/>
    <w:pPr>
      <w:keepNext w:val="0"/>
      <w:keepLines w:val="0"/>
      <w:kinsoku w:val="0"/>
      <w:overflowPunct w:val="0"/>
      <w:spacing w:beforeLines="0" w:beforeAutospacing="0" w:afterLines="0" w:afterAutospacing="0" w:line="594" w:lineRule="exact"/>
      <w:outlineLvl w:val="2"/>
    </w:pPr>
    <w:rPr>
      <w:rFonts w:eastAsia="方正楷体_GBK"/>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2 Char"/>
    <w:link w:val="5"/>
    <w:qFormat/>
    <w:uiPriority w:val="0"/>
    <w:rPr>
      <w:rFonts w:eastAsia="方正黑体_GBK"/>
      <w:sz w:val="32"/>
    </w:rPr>
  </w:style>
  <w:style w:type="character" w:customStyle="1" w:styleId="12">
    <w:name w:val="标题 3 Char"/>
    <w:link w:val="6"/>
    <w:qFormat/>
    <w:uiPriority w:val="0"/>
    <w:rPr>
      <w:rFonts w:eastAsia="方正楷体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2021-01-15T08:08:00Z</dcterms:created>
  <dc:creator>admin</dc:creator>
  <cp:lastModifiedBy>听你听我</cp:lastModifiedBy>
  <cp:lastPrinted>2024-02-26T03:07:00Z</cp:lastPrinted>
  <dcterms:modified xsi:type="dcterms:W3CDTF">2024-03-05T01:33:54Z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SaveFontToCloudKey">
    <vt:lpwstr>586032457_btnclosed</vt:lpwstr>
  </property>
  <property fmtid="{D5CDD505-2E9C-101B-9397-08002B2CF9AE}" pid="4" name="ICV">
    <vt:lpwstr>CB547AD3A2B7410D88FF9C5E01967884</vt:lpwstr>
  </property>
</Properties>
</file>