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FE" w:rsidRDefault="006E18FE">
      <w:pPr>
        <w:spacing w:line="540" w:lineRule="exact"/>
        <w:jc w:val="center"/>
        <w:rPr>
          <w:rFonts w:ascii="方正仿宋_GBK" w:eastAsia="方正仿宋_GBK"/>
          <w:sz w:val="32"/>
          <w:szCs w:val="32"/>
        </w:rPr>
      </w:pPr>
    </w:p>
    <w:p w:rsidR="006E18FE" w:rsidRDefault="002F0B0D">
      <w:pPr>
        <w:spacing w:line="54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100.55pt;margin-top:37.35pt;width:411pt;height:45.35pt;z-index:251663360;mso-position-horizontal-relative:page;mso-position-vertical-relative:margin" fillcolor="red" stroked="f" strokecolor="red">
            <v:shadow color="#868686"/>
            <v:textpath style="font-family:&quot;方正小标宋_GBK&quot;;font-weight:bold;v-text-kern:t" trim="t" fitpath="t" string="石柱土家族自治县统计局文件"/>
            <w10:wrap anchorx="page" anchory="margin"/>
          </v:shape>
        </w:pict>
      </w:r>
    </w:p>
    <w:p w:rsidR="006E18FE" w:rsidRDefault="006E18FE">
      <w:pPr>
        <w:spacing w:line="540" w:lineRule="exact"/>
        <w:jc w:val="center"/>
        <w:rPr>
          <w:rFonts w:ascii="方正仿宋_GBK" w:eastAsia="方正仿宋_GBK"/>
          <w:sz w:val="32"/>
          <w:szCs w:val="32"/>
        </w:rPr>
      </w:pPr>
    </w:p>
    <w:p w:rsidR="006E18FE" w:rsidRDefault="006E18FE">
      <w:pPr>
        <w:spacing w:line="540" w:lineRule="exact"/>
        <w:jc w:val="center"/>
        <w:rPr>
          <w:rFonts w:ascii="方正仿宋_GBK" w:eastAsia="方正仿宋_GBK"/>
          <w:sz w:val="32"/>
          <w:szCs w:val="32"/>
        </w:rPr>
      </w:pPr>
    </w:p>
    <w:p w:rsidR="007B029F" w:rsidRPr="0028648F" w:rsidRDefault="007B029F" w:rsidP="007B029F">
      <w:pPr>
        <w:spacing w:line="540" w:lineRule="exact"/>
        <w:jc w:val="center"/>
        <w:rPr>
          <w:rFonts w:ascii="方正仿宋_GBK" w:eastAsia="方正仿宋_GBK"/>
          <w:sz w:val="32"/>
          <w:szCs w:val="32"/>
        </w:rPr>
      </w:pPr>
    </w:p>
    <w:p w:rsidR="007B029F" w:rsidRPr="0028648F" w:rsidRDefault="007B029F" w:rsidP="007B029F">
      <w:pPr>
        <w:spacing w:line="54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石统发〔2025〕38号</w:t>
      </w:r>
    </w:p>
    <w:p w:rsidR="007B029F" w:rsidRPr="0028648F" w:rsidRDefault="002F0B0D" w:rsidP="007B029F">
      <w:pPr>
        <w:spacing w:line="54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noProof/>
          <w:sz w:val="32"/>
          <w:szCs w:val="32"/>
        </w:rPr>
        <w:pict>
          <v:line id="_x0000_s1031" style="position:absolute;left:0;text-align:left;z-index:251664384;mso-position-horizontal-relative:page;mso-position-vertical-relative:margin" from="81.05pt,169.6pt" to="523.25pt,169.6pt" strokecolor="red" strokeweight="1.75pt">
            <w10:wrap anchorx="page" anchory="margin"/>
          </v:line>
        </w:pict>
      </w:r>
    </w:p>
    <w:p w:rsidR="007B029F" w:rsidRPr="0028648F" w:rsidRDefault="007B029F" w:rsidP="007B029F">
      <w:pPr>
        <w:spacing w:line="540" w:lineRule="exact"/>
        <w:jc w:val="center"/>
        <w:rPr>
          <w:rFonts w:ascii="方正仿宋_GBK" w:eastAsia="方正仿宋_GBK"/>
          <w:sz w:val="32"/>
          <w:szCs w:val="32"/>
        </w:rPr>
      </w:pPr>
    </w:p>
    <w:p w:rsidR="006E18FE" w:rsidRDefault="00060BA9">
      <w:pPr>
        <w:shd w:val="clear" w:color="auto" w:fill="FFFFFF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石柱土家族自治县统计局</w:t>
      </w:r>
    </w:p>
    <w:p w:rsidR="006E18FE" w:rsidRDefault="00060BA9">
      <w:pPr>
        <w:shd w:val="clear" w:color="auto" w:fill="FFFFFF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关于开展2025年度</w:t>
      </w:r>
      <w:bookmarkStart w:id="0" w:name="OLE_LINK3"/>
      <w:bookmarkStart w:id="1" w:name="OLE_LINK4"/>
      <w:r>
        <w:rPr>
          <w:rFonts w:ascii="方正小标宋_GBK" w:eastAsia="方正小标宋_GBK" w:hint="eastAsia"/>
          <w:sz w:val="44"/>
          <w:szCs w:val="44"/>
        </w:rPr>
        <w:t>“双随机、</w:t>
      </w:r>
      <w:proofErr w:type="gramStart"/>
      <w:r>
        <w:rPr>
          <w:rFonts w:ascii="方正小标宋_GBK" w:eastAsia="方正小标宋_GBK" w:hint="eastAsia"/>
          <w:sz w:val="44"/>
          <w:szCs w:val="44"/>
        </w:rPr>
        <w:t>一</w:t>
      </w:r>
      <w:proofErr w:type="gramEnd"/>
      <w:r>
        <w:rPr>
          <w:rFonts w:ascii="方正小标宋_GBK" w:eastAsia="方正小标宋_GBK" w:hint="eastAsia"/>
          <w:sz w:val="44"/>
          <w:szCs w:val="44"/>
        </w:rPr>
        <w:t>公开”</w:t>
      </w:r>
    </w:p>
    <w:p w:rsidR="006E18FE" w:rsidRDefault="00060BA9">
      <w:pPr>
        <w:shd w:val="clear" w:color="auto" w:fill="FFFFFF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统计执法检查工作</w:t>
      </w:r>
      <w:bookmarkEnd w:id="0"/>
      <w:bookmarkEnd w:id="1"/>
      <w:r>
        <w:rPr>
          <w:rFonts w:ascii="方正小标宋_GBK" w:eastAsia="方正小标宋_GBK" w:hint="eastAsia"/>
          <w:sz w:val="44"/>
          <w:szCs w:val="44"/>
        </w:rPr>
        <w:t>的</w:t>
      </w:r>
      <w:bookmarkStart w:id="2" w:name="OLE_LINK2"/>
      <w:bookmarkStart w:id="3" w:name="OLE_LINK1"/>
      <w:r>
        <w:rPr>
          <w:rFonts w:ascii="方正小标宋_GBK" w:eastAsia="方正小标宋_GBK" w:hint="eastAsia"/>
          <w:sz w:val="44"/>
          <w:szCs w:val="44"/>
        </w:rPr>
        <w:t>通知</w:t>
      </w:r>
      <w:bookmarkEnd w:id="2"/>
      <w:bookmarkEnd w:id="3"/>
    </w:p>
    <w:p w:rsidR="006E18FE" w:rsidRDefault="006E18FE">
      <w:pPr>
        <w:shd w:val="clear" w:color="auto" w:fill="FFFFFF"/>
        <w:spacing w:line="560" w:lineRule="exact"/>
        <w:rPr>
          <w:rFonts w:ascii="方正小标宋_GBK" w:eastAsia="方正小标宋_GBK"/>
          <w:sz w:val="44"/>
          <w:szCs w:val="44"/>
        </w:rPr>
      </w:pPr>
    </w:p>
    <w:p w:rsidR="006E18FE" w:rsidRDefault="00060BA9">
      <w:pPr>
        <w:shd w:val="clear" w:color="auto" w:fill="FFFFFF"/>
        <w:spacing w:line="560" w:lineRule="exac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县级有关单位，“四上”企业单位，局机关各科室、下属各单位：</w:t>
      </w:r>
    </w:p>
    <w:p w:rsidR="006E18FE" w:rsidRDefault="00060BA9">
      <w:pPr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为深入贯彻落实中央《关于深化统计管理体制改革提高统计数据真实性的意见》和《关于更加有效发挥统计监督职能作用的意见》精神，落实国家、市统计局关于统计执法检查工作的有关要求，经局党组研究决定，</w:t>
      </w:r>
      <w:r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t>拟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开展2025年度“双随机、</w:t>
      </w:r>
      <w:proofErr w:type="gramStart"/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一</w:t>
      </w:r>
      <w:proofErr w:type="gramEnd"/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公开”统计执法检查工作。现将有关事宜通知如下：</w:t>
      </w:r>
    </w:p>
    <w:p w:rsidR="006E18FE" w:rsidRDefault="00060BA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黑体_GBK" w:eastAsia="方正黑体_GBK" w:hAnsi="宋体" w:hint="eastAsia"/>
          <w:kern w:val="0"/>
          <w:sz w:val="32"/>
          <w:szCs w:val="32"/>
        </w:rPr>
        <w:t>一、检查</w:t>
      </w:r>
      <w:r>
        <w:rPr>
          <w:rFonts w:ascii="方正黑体_GBK" w:eastAsia="方正黑体_GBK" w:hint="eastAsia"/>
          <w:sz w:val="32"/>
          <w:szCs w:val="32"/>
        </w:rPr>
        <w:t>时间</w:t>
      </w:r>
    </w:p>
    <w:p w:rsidR="006E18FE" w:rsidRDefault="00060BA9">
      <w:pPr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2025年7月10日至1</w:t>
      </w:r>
      <w:r w:rsidR="00E86283"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月</w:t>
      </w:r>
      <w:r w:rsidR="00E86283">
        <w:rPr>
          <w:rFonts w:ascii="方正仿宋_GBK" w:eastAsia="方正仿宋_GBK" w:hint="eastAsia"/>
          <w:sz w:val="32"/>
          <w:szCs w:val="32"/>
        </w:rPr>
        <w:t>31</w:t>
      </w:r>
      <w:r>
        <w:rPr>
          <w:rFonts w:ascii="方正仿宋_GBK" w:eastAsia="方正仿宋_GBK" w:hint="eastAsia"/>
          <w:sz w:val="32"/>
          <w:szCs w:val="32"/>
        </w:rPr>
        <w:t>日。</w:t>
      </w:r>
    </w:p>
    <w:p w:rsidR="006E18FE" w:rsidRDefault="00060BA9">
      <w:pPr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二、检查</w:t>
      </w:r>
      <w:r>
        <w:rPr>
          <w:rFonts w:ascii="方正黑体_GBK" w:eastAsia="方正黑体_GBK"/>
          <w:sz w:val="32"/>
          <w:szCs w:val="32"/>
        </w:rPr>
        <w:t>对象</w:t>
      </w:r>
    </w:p>
    <w:p w:rsidR="006E18FE" w:rsidRDefault="00060BA9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proofErr w:type="gramStart"/>
      <w:r>
        <w:rPr>
          <w:rFonts w:eastAsia="方正仿宋_GBK" w:hint="eastAsia"/>
          <w:sz w:val="32"/>
          <w:szCs w:val="32"/>
        </w:rPr>
        <w:t>规</w:t>
      </w:r>
      <w:proofErr w:type="gramEnd"/>
      <w:r>
        <w:rPr>
          <w:rFonts w:eastAsia="方正仿宋_GBK" w:hint="eastAsia"/>
          <w:sz w:val="32"/>
          <w:szCs w:val="32"/>
        </w:rPr>
        <w:t>上工业、固定资产投资、有资质的建筑业、房地产开发企</w:t>
      </w:r>
      <w:r>
        <w:rPr>
          <w:rFonts w:eastAsia="方正仿宋_GBK" w:hint="eastAsia"/>
          <w:sz w:val="32"/>
          <w:szCs w:val="32"/>
        </w:rPr>
        <w:lastRenderedPageBreak/>
        <w:t>业、限上批发零售及住宿餐饮业、</w:t>
      </w:r>
      <w:proofErr w:type="gramStart"/>
      <w:r>
        <w:rPr>
          <w:rFonts w:eastAsia="方正仿宋_GBK" w:hint="eastAsia"/>
          <w:sz w:val="32"/>
          <w:szCs w:val="32"/>
        </w:rPr>
        <w:t>规</w:t>
      </w:r>
      <w:proofErr w:type="gramEnd"/>
      <w:r>
        <w:rPr>
          <w:rFonts w:eastAsia="方正仿宋_GBK" w:hint="eastAsia"/>
          <w:sz w:val="32"/>
          <w:szCs w:val="32"/>
        </w:rPr>
        <w:t>上服务业、劳动工资、能源等专业“一套表”调查单位</w:t>
      </w:r>
      <w:r>
        <w:rPr>
          <w:rFonts w:ascii="方正仿宋_GBK" w:eastAsia="方正仿宋_GBK" w:hint="eastAsia"/>
          <w:sz w:val="32"/>
          <w:szCs w:val="32"/>
        </w:rPr>
        <w:t>。</w:t>
      </w:r>
      <w:r>
        <w:rPr>
          <w:rFonts w:eastAsia="方正仿宋_GBK" w:hint="eastAsia"/>
          <w:sz w:val="32"/>
          <w:szCs w:val="32"/>
        </w:rPr>
        <w:t>在近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年内接受过统计执法检查的调查对象（迟报、拒报、未设置统计台账等</w:t>
      </w:r>
      <w:proofErr w:type="gramStart"/>
      <w:r>
        <w:rPr>
          <w:rFonts w:eastAsia="方正仿宋_GBK" w:hint="eastAsia"/>
          <w:sz w:val="32"/>
          <w:szCs w:val="32"/>
        </w:rPr>
        <w:t>非统计</w:t>
      </w:r>
      <w:proofErr w:type="gramEnd"/>
      <w:r>
        <w:rPr>
          <w:rFonts w:eastAsia="方正仿宋_GBK" w:hint="eastAsia"/>
          <w:sz w:val="32"/>
          <w:szCs w:val="32"/>
        </w:rPr>
        <w:t>数据质量情形除外）原则上不再作为</w:t>
      </w:r>
      <w:r>
        <w:rPr>
          <w:rFonts w:eastAsia="方正仿宋_GBK" w:hint="eastAsia"/>
          <w:sz w:val="32"/>
          <w:szCs w:val="32"/>
        </w:rPr>
        <w:t>2025</w:t>
      </w:r>
      <w:r>
        <w:rPr>
          <w:rFonts w:eastAsia="方正仿宋_GBK" w:hint="eastAsia"/>
          <w:sz w:val="32"/>
          <w:szCs w:val="32"/>
        </w:rPr>
        <w:t>年统计执法检查对象。</w:t>
      </w:r>
    </w:p>
    <w:p w:rsidR="006E18FE" w:rsidRDefault="00060BA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黑体_GBK" w:eastAsia="方正黑体_GBK" w:hAnsi="宋体" w:hint="eastAsia"/>
          <w:kern w:val="0"/>
          <w:sz w:val="32"/>
          <w:szCs w:val="32"/>
        </w:rPr>
        <w:t>三、检查内容</w:t>
      </w:r>
    </w:p>
    <w:p w:rsidR="006E18FE" w:rsidRDefault="00060BA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同一执法检查对象的检查指标原则上不超过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个（重点指标详见附件）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6E18FE" w:rsidRDefault="00060BA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1. 规模以上工业企业中“工业总产值”和“营业收入”指标数据；</w:t>
      </w:r>
    </w:p>
    <w:p w:rsidR="006E18FE" w:rsidRDefault="00060BA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 投资项目单位提供的项目“本年完成投资”指标数据及其支撑材料的真实性；</w:t>
      </w:r>
    </w:p>
    <w:p w:rsidR="006E18FE" w:rsidRDefault="00060BA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3. 商贸企业中限额以上企业的“商品销售额”和“营业额”指标数据；</w:t>
      </w:r>
    </w:p>
    <w:p w:rsidR="006E18FE" w:rsidRDefault="00060BA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4. 服务业重点行业企业的“应付职工薪酬、应交增值税、营业收入、本年折旧、营业利润”指标数据；</w:t>
      </w:r>
    </w:p>
    <w:p w:rsidR="006E18FE" w:rsidRDefault="00060BA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5. 规模以上工业企业“原煤产量、煤炭消耗量、用于原材料消费量”指标数据；</w:t>
      </w:r>
    </w:p>
    <w:p w:rsidR="006E18FE" w:rsidRDefault="00060BA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6. 资质内建筑业企业的“建筑业总产值”和“本年新签合同额”指标数据；</w:t>
      </w:r>
    </w:p>
    <w:p w:rsidR="006E18FE" w:rsidRDefault="00060BA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7. 房地产开发经营业企业的“本年完成投资”和“商品销售面积”指标数据；</w:t>
      </w:r>
    </w:p>
    <w:p w:rsidR="006E18FE" w:rsidRDefault="00060BA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8.</w:t>
      </w:r>
      <w:bookmarkStart w:id="4" w:name="OLE_LINK8"/>
      <w:bookmarkStart w:id="5" w:name="OLE_LINK7"/>
      <w:r>
        <w:rPr>
          <w:rFonts w:ascii="方正仿宋_GBK" w:eastAsia="方正仿宋_GBK" w:hint="eastAsia"/>
          <w:sz w:val="32"/>
          <w:szCs w:val="32"/>
        </w:rPr>
        <w:t xml:space="preserve"> 一套表企业单位的“从业人员期末人数”和“从业人员工</w:t>
      </w:r>
      <w:r>
        <w:rPr>
          <w:rFonts w:ascii="方正仿宋_GBK" w:eastAsia="方正仿宋_GBK" w:hint="eastAsia"/>
          <w:sz w:val="32"/>
          <w:szCs w:val="32"/>
        </w:rPr>
        <w:lastRenderedPageBreak/>
        <w:t>资总额”指标数据</w:t>
      </w:r>
      <w:bookmarkEnd w:id="4"/>
      <w:bookmarkEnd w:id="5"/>
      <w:r>
        <w:rPr>
          <w:rFonts w:ascii="方正仿宋_GBK" w:eastAsia="方正仿宋_GBK" w:hint="eastAsia"/>
          <w:sz w:val="32"/>
          <w:szCs w:val="32"/>
        </w:rPr>
        <w:t>；</w:t>
      </w:r>
    </w:p>
    <w:p w:rsidR="006E18FE" w:rsidRDefault="00060BA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9. 违反统计法精神的文件和做法。</w:t>
      </w:r>
    </w:p>
    <w:p w:rsidR="006E18FE" w:rsidRDefault="00060BA9">
      <w:pPr>
        <w:spacing w:line="560" w:lineRule="exact"/>
        <w:ind w:firstLineChars="200" w:firstLine="640"/>
        <w:rPr>
          <w:rFonts w:ascii="方正黑体_GBK" w:eastAsia="方正黑体_GBK" w:hAnsi="宋体"/>
          <w:kern w:val="0"/>
          <w:sz w:val="32"/>
          <w:szCs w:val="32"/>
        </w:rPr>
      </w:pPr>
      <w:r>
        <w:rPr>
          <w:rFonts w:ascii="方正黑体_GBK" w:eastAsia="方正黑体_GBK" w:hAnsi="宋体" w:hint="eastAsia"/>
          <w:kern w:val="0"/>
          <w:sz w:val="32"/>
          <w:szCs w:val="32"/>
        </w:rPr>
        <w:t>四、检查期别</w:t>
      </w:r>
    </w:p>
    <w:p w:rsidR="006E18FE" w:rsidRDefault="00060BA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proofErr w:type="gramStart"/>
      <w:r>
        <w:rPr>
          <w:rFonts w:ascii="方正仿宋_GBK" w:eastAsia="方正仿宋_GBK" w:hint="eastAsia"/>
          <w:sz w:val="32"/>
          <w:szCs w:val="32"/>
        </w:rPr>
        <w:t>期别为</w:t>
      </w:r>
      <w:proofErr w:type="gramEnd"/>
      <w:r>
        <w:rPr>
          <w:rFonts w:ascii="方正仿宋_GBK" w:eastAsia="方正仿宋_GBK" w:hint="eastAsia"/>
          <w:sz w:val="32"/>
          <w:szCs w:val="32"/>
        </w:rPr>
        <w:t>2024年年报</w:t>
      </w:r>
      <w:r w:rsidR="00E86283" w:rsidRPr="00E86283">
        <w:rPr>
          <w:rFonts w:ascii="方正仿宋_GBK" w:eastAsia="方正仿宋_GBK" w:hint="eastAsia"/>
          <w:sz w:val="32"/>
          <w:szCs w:val="32"/>
        </w:rPr>
        <w:t>或2025年定报</w:t>
      </w:r>
      <w:r>
        <w:rPr>
          <w:rFonts w:ascii="方正仿宋_GBK" w:eastAsia="方正仿宋_GBK" w:hint="eastAsia"/>
          <w:sz w:val="32"/>
          <w:szCs w:val="32"/>
        </w:rPr>
        <w:t>，重点关注统计数据波动异常的行业和调查对象。</w:t>
      </w:r>
    </w:p>
    <w:p w:rsidR="006E18FE" w:rsidRDefault="00060BA9">
      <w:pPr>
        <w:spacing w:line="560" w:lineRule="exact"/>
        <w:ind w:firstLineChars="200" w:firstLine="640"/>
        <w:rPr>
          <w:rFonts w:ascii="方正黑体_GBK" w:eastAsia="方正黑体_GBK"/>
          <w:color w:val="000000"/>
          <w:sz w:val="32"/>
          <w:szCs w:val="32"/>
        </w:rPr>
      </w:pPr>
      <w:r>
        <w:rPr>
          <w:rFonts w:ascii="方正黑体_GBK" w:eastAsia="方正黑体_GBK" w:hint="eastAsia"/>
          <w:color w:val="000000"/>
          <w:sz w:val="32"/>
          <w:szCs w:val="32"/>
        </w:rPr>
        <w:t>五、检查数量</w:t>
      </w:r>
    </w:p>
    <w:p w:rsidR="006E18FE" w:rsidRDefault="00060BA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依据全县2024年年报一套表单位数量，按不低于5%比例抽取，执法检查企业15家。</w:t>
      </w:r>
    </w:p>
    <w:p w:rsidR="006E18FE" w:rsidRDefault="00060BA9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六、工作要求</w:t>
      </w:r>
    </w:p>
    <w:p w:rsidR="006E18FE" w:rsidRDefault="00060BA9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（一）加强统筹协调。</w:t>
      </w:r>
      <w:r>
        <w:rPr>
          <w:rFonts w:eastAsia="方正仿宋_GBK" w:hint="eastAsia"/>
          <w:sz w:val="32"/>
          <w:szCs w:val="32"/>
        </w:rPr>
        <w:t>构建以局主要领导为第一责任人，分管领导为直接责任人的分级责任体系，及时研究解决执法检查中发现的堵点难点问题，确保高质量完成执法检查工作。与各专业科室建立“专业发现—法规处置”快速通道，将执法结果纳入数据质量管理评价体系，作为培训和完善规范的依据，各专业科室定期反馈整改成效，形成协同提升闭环。</w:t>
      </w:r>
    </w:p>
    <w:p w:rsidR="006E18FE" w:rsidRDefault="00060BA9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（二）规范执法程序。</w:t>
      </w:r>
      <w:r>
        <w:rPr>
          <w:rFonts w:eastAsia="方正仿宋_GBK" w:hint="eastAsia"/>
          <w:sz w:val="32"/>
          <w:szCs w:val="32"/>
        </w:rPr>
        <w:t>严格执行全过程记录，对执法各环节做好文字及音像记录，确保可回溯监督。强化法制审核，涉及重大执法决定须经法制审核，未通过不得</w:t>
      </w:r>
      <w:proofErr w:type="gramStart"/>
      <w:r>
        <w:rPr>
          <w:rFonts w:eastAsia="方正仿宋_GBK" w:hint="eastAsia"/>
          <w:sz w:val="32"/>
          <w:szCs w:val="32"/>
        </w:rPr>
        <w:t>作出</w:t>
      </w:r>
      <w:proofErr w:type="gramEnd"/>
      <w:r>
        <w:rPr>
          <w:rFonts w:eastAsia="方正仿宋_GBK" w:hint="eastAsia"/>
          <w:sz w:val="32"/>
          <w:szCs w:val="32"/>
        </w:rPr>
        <w:t>决定。优化涉企检查，严格执行“五个严禁”“八个不得”，严格落实涉</w:t>
      </w:r>
      <w:proofErr w:type="gramStart"/>
      <w:r>
        <w:rPr>
          <w:rFonts w:eastAsia="方正仿宋_GBK" w:hint="eastAsia"/>
          <w:sz w:val="32"/>
          <w:szCs w:val="32"/>
        </w:rPr>
        <w:t>企行政</w:t>
      </w:r>
      <w:proofErr w:type="gramEnd"/>
      <w:r>
        <w:rPr>
          <w:rFonts w:eastAsia="方正仿宋_GBK" w:hint="eastAsia"/>
          <w:sz w:val="32"/>
          <w:szCs w:val="32"/>
        </w:rPr>
        <w:t>检查的各项要求，降低经营主体负担，切实优化我县营</w:t>
      </w:r>
      <w:bookmarkStart w:id="6" w:name="_GoBack"/>
      <w:bookmarkEnd w:id="6"/>
      <w:r>
        <w:rPr>
          <w:rFonts w:eastAsia="方正仿宋_GBK" w:hint="eastAsia"/>
          <w:sz w:val="32"/>
          <w:szCs w:val="32"/>
        </w:rPr>
        <w:t>商环境。</w:t>
      </w:r>
    </w:p>
    <w:p w:rsidR="006E18FE" w:rsidRDefault="00060BA9">
      <w:pPr>
        <w:tabs>
          <w:tab w:val="left" w:pos="2730"/>
        </w:tabs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（三）严肃追责问责。</w:t>
      </w:r>
      <w:r>
        <w:rPr>
          <w:rFonts w:eastAsia="方正仿宋_GBK" w:hint="eastAsia"/>
          <w:sz w:val="32"/>
          <w:szCs w:val="32"/>
        </w:rPr>
        <w:t>严格遵守执法检查各项纪律，强化违法处置，对统计违法行为严格立案查处，依照《重庆市统计行政</w:t>
      </w:r>
      <w:r>
        <w:rPr>
          <w:rFonts w:eastAsia="方正仿宋_GBK" w:hint="eastAsia"/>
          <w:sz w:val="32"/>
          <w:szCs w:val="32"/>
        </w:rPr>
        <w:lastRenderedPageBreak/>
        <w:t>处罚裁量基准》实施行政处罚，并按程序认定严重失信企业；对涉嫌统计违纪违法的责任人员提出处分处理建议，并移送纪检监察机关。同时，深化成果运用，督促整改，常态化“以案释法”，曝光典型案件，形成“查处一案、警示一片、规范一方”机制。</w:t>
      </w:r>
    </w:p>
    <w:p w:rsidR="006E18FE" w:rsidRDefault="006E18FE">
      <w:pPr>
        <w:tabs>
          <w:tab w:val="left" w:pos="2730"/>
        </w:tabs>
        <w:spacing w:line="560" w:lineRule="exact"/>
        <w:ind w:firstLineChars="200" w:firstLine="640"/>
        <w:rPr>
          <w:rFonts w:eastAsia="方正仿宋_GBK"/>
          <w:sz w:val="32"/>
          <w:szCs w:val="32"/>
        </w:rPr>
      </w:pPr>
    </w:p>
    <w:p w:rsidR="006E18FE" w:rsidRDefault="00060BA9">
      <w:pPr>
        <w:shd w:val="clear" w:color="auto" w:fill="FFFFFF"/>
        <w:tabs>
          <w:tab w:val="left" w:pos="2730"/>
        </w:tabs>
        <w:spacing w:line="560" w:lineRule="exact"/>
        <w:ind w:firstLineChars="200" w:firstLine="640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附件：相关专业执法检查重点指标</w:t>
      </w:r>
    </w:p>
    <w:p w:rsidR="006E18FE" w:rsidRDefault="006E18FE">
      <w:pPr>
        <w:shd w:val="clear" w:color="auto" w:fill="FFFFFF"/>
        <w:tabs>
          <w:tab w:val="left" w:pos="2730"/>
        </w:tabs>
        <w:spacing w:line="560" w:lineRule="exact"/>
        <w:rPr>
          <w:rFonts w:eastAsia="方正仿宋_GBK"/>
          <w:color w:val="333333"/>
          <w:kern w:val="0"/>
          <w:sz w:val="32"/>
          <w:szCs w:val="32"/>
        </w:rPr>
      </w:pPr>
    </w:p>
    <w:p w:rsidR="006E18FE" w:rsidRDefault="006E18FE">
      <w:pPr>
        <w:shd w:val="clear" w:color="auto" w:fill="FFFFFF"/>
        <w:tabs>
          <w:tab w:val="left" w:pos="2730"/>
        </w:tabs>
        <w:spacing w:line="560" w:lineRule="exact"/>
        <w:rPr>
          <w:rFonts w:eastAsia="方正仿宋_GBK"/>
          <w:color w:val="333333"/>
          <w:kern w:val="0"/>
          <w:sz w:val="32"/>
          <w:szCs w:val="32"/>
        </w:rPr>
      </w:pPr>
    </w:p>
    <w:p w:rsidR="006E18FE" w:rsidRDefault="00060BA9">
      <w:pPr>
        <w:spacing w:line="560" w:lineRule="exact"/>
        <w:ind w:firstLineChars="1600" w:firstLine="512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石柱土家族自治县统计局</w:t>
      </w:r>
    </w:p>
    <w:p w:rsidR="006E18FE" w:rsidRDefault="00060BA9">
      <w:pPr>
        <w:shd w:val="clear" w:color="auto" w:fill="FFFFFF"/>
        <w:spacing w:line="560" w:lineRule="exact"/>
        <w:ind w:firstLineChars="1800" w:firstLine="5760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2025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7</w:t>
      </w:r>
      <w:r>
        <w:rPr>
          <w:rFonts w:eastAsia="方正仿宋_GBK" w:hint="eastAsia"/>
          <w:sz w:val="32"/>
          <w:szCs w:val="32"/>
        </w:rPr>
        <w:t>月</w:t>
      </w:r>
      <w:r w:rsidR="00FA2F3E">
        <w:rPr>
          <w:rFonts w:eastAsia="方正仿宋_GBK" w:hint="eastAsia"/>
          <w:sz w:val="32"/>
          <w:szCs w:val="32"/>
        </w:rPr>
        <w:t>8</w:t>
      </w:r>
      <w:r>
        <w:rPr>
          <w:rFonts w:eastAsia="方正仿宋_GBK" w:hint="eastAsia"/>
          <w:sz w:val="32"/>
          <w:szCs w:val="32"/>
        </w:rPr>
        <w:t>日</w:t>
      </w:r>
    </w:p>
    <w:p w:rsidR="006E18FE" w:rsidRDefault="006E18FE">
      <w:pPr>
        <w:spacing w:line="240" w:lineRule="atLeast"/>
        <w:rPr>
          <w:rFonts w:ascii="宋体" w:hAnsi="宋体"/>
          <w:color w:val="000000" w:themeColor="text1"/>
          <w:szCs w:val="21"/>
        </w:rPr>
      </w:pPr>
    </w:p>
    <w:p w:rsidR="006E18FE" w:rsidRDefault="006E18FE">
      <w:pPr>
        <w:spacing w:line="240" w:lineRule="atLeast"/>
        <w:rPr>
          <w:rFonts w:ascii="宋体" w:hAnsi="宋体"/>
          <w:color w:val="000000" w:themeColor="text1"/>
          <w:szCs w:val="21"/>
        </w:rPr>
      </w:pPr>
    </w:p>
    <w:p w:rsidR="006E18FE" w:rsidRDefault="006E18FE">
      <w:pPr>
        <w:tabs>
          <w:tab w:val="left" w:pos="2730"/>
        </w:tabs>
        <w:spacing w:line="600" w:lineRule="exact"/>
        <w:rPr>
          <w:rFonts w:ascii="方正黑体_GBK" w:eastAsia="方正黑体_GBK" w:hAnsi="方正黑体_GBK" w:cs="方正黑体_GBK"/>
          <w:sz w:val="32"/>
          <w:szCs w:val="32"/>
        </w:rPr>
      </w:pPr>
    </w:p>
    <w:p w:rsidR="00FA2F3E" w:rsidRDefault="00FA2F3E" w:rsidP="00FA2F3E">
      <w:pPr>
        <w:tabs>
          <w:tab w:val="left" w:pos="2730"/>
        </w:tabs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（联系人：谭晓宁，联系电话：</w:t>
      </w:r>
      <w:r>
        <w:rPr>
          <w:rFonts w:eastAsia="方正仿宋_GBK" w:hint="eastAsia"/>
          <w:sz w:val="32"/>
          <w:szCs w:val="32"/>
        </w:rPr>
        <w:t>73379131</w:t>
      </w:r>
      <w:r>
        <w:rPr>
          <w:rFonts w:eastAsia="方正仿宋_GBK" w:hint="eastAsia"/>
          <w:sz w:val="32"/>
          <w:szCs w:val="32"/>
        </w:rPr>
        <w:t>；</w:t>
      </w:r>
      <w:r>
        <w:rPr>
          <w:rFonts w:eastAsia="方正仿宋_GBK" w:hint="eastAsia"/>
          <w:sz w:val="32"/>
          <w:szCs w:val="32"/>
        </w:rPr>
        <w:t>13896475959</w:t>
      </w:r>
      <w:r>
        <w:rPr>
          <w:rFonts w:eastAsia="方正仿宋_GBK" w:hint="eastAsia"/>
          <w:sz w:val="32"/>
          <w:szCs w:val="32"/>
        </w:rPr>
        <w:t>）</w:t>
      </w:r>
    </w:p>
    <w:p w:rsidR="006E18FE" w:rsidRDefault="006E18FE">
      <w:pPr>
        <w:tabs>
          <w:tab w:val="left" w:pos="2730"/>
        </w:tabs>
        <w:spacing w:line="600" w:lineRule="exact"/>
        <w:rPr>
          <w:rFonts w:ascii="方正黑体_GBK" w:eastAsia="方正黑体_GBK" w:hAnsi="方正黑体_GBK" w:cs="方正黑体_GBK"/>
          <w:sz w:val="32"/>
          <w:szCs w:val="32"/>
        </w:rPr>
      </w:pPr>
    </w:p>
    <w:p w:rsidR="006E18FE" w:rsidRDefault="006E18FE">
      <w:pPr>
        <w:tabs>
          <w:tab w:val="left" w:pos="2730"/>
        </w:tabs>
        <w:spacing w:line="600" w:lineRule="exact"/>
        <w:rPr>
          <w:rFonts w:ascii="方正黑体_GBK" w:eastAsia="方正黑体_GBK" w:hAnsi="方正黑体_GBK" w:cs="方正黑体_GBK"/>
          <w:sz w:val="32"/>
          <w:szCs w:val="32"/>
        </w:rPr>
      </w:pPr>
    </w:p>
    <w:p w:rsidR="006E18FE" w:rsidRDefault="006E18FE">
      <w:pPr>
        <w:tabs>
          <w:tab w:val="left" w:pos="2730"/>
        </w:tabs>
        <w:spacing w:line="600" w:lineRule="exact"/>
        <w:rPr>
          <w:rFonts w:ascii="方正黑体_GBK" w:eastAsia="方正黑体_GBK" w:hAnsi="方正黑体_GBK" w:cs="方正黑体_GBK"/>
          <w:sz w:val="32"/>
          <w:szCs w:val="32"/>
        </w:rPr>
      </w:pPr>
    </w:p>
    <w:p w:rsidR="006E18FE" w:rsidRDefault="006E18FE">
      <w:pPr>
        <w:tabs>
          <w:tab w:val="left" w:pos="2730"/>
        </w:tabs>
        <w:spacing w:line="600" w:lineRule="exact"/>
        <w:rPr>
          <w:rFonts w:ascii="方正黑体_GBK" w:eastAsia="方正黑体_GBK" w:hAnsi="方正黑体_GBK" w:cs="方正黑体_GBK"/>
          <w:sz w:val="32"/>
          <w:szCs w:val="32"/>
        </w:rPr>
      </w:pPr>
    </w:p>
    <w:p w:rsidR="006E18FE" w:rsidRDefault="006E18FE">
      <w:pPr>
        <w:tabs>
          <w:tab w:val="left" w:pos="2730"/>
        </w:tabs>
        <w:spacing w:line="600" w:lineRule="exact"/>
        <w:rPr>
          <w:rFonts w:ascii="方正黑体_GBK" w:eastAsia="方正黑体_GBK" w:hAnsi="方正黑体_GBK" w:cs="方正黑体_GBK"/>
          <w:sz w:val="32"/>
          <w:szCs w:val="32"/>
        </w:rPr>
      </w:pPr>
    </w:p>
    <w:p w:rsidR="00FA2F3E" w:rsidRPr="004112DC" w:rsidRDefault="00FA2F3E" w:rsidP="00FA2F3E">
      <w:pPr>
        <w:spacing w:line="240" w:lineRule="atLeast"/>
        <w:rPr>
          <w:rFonts w:ascii="宋体" w:hAnsi="宋体"/>
          <w:color w:val="000000" w:themeColor="text1"/>
          <w:szCs w:val="21"/>
        </w:rPr>
      </w:pPr>
    </w:p>
    <w:p w:rsidR="00FA2F3E" w:rsidRPr="004112DC" w:rsidRDefault="00FA2F3E" w:rsidP="00FA2F3E">
      <w:pPr>
        <w:spacing w:line="240" w:lineRule="atLeast"/>
        <w:rPr>
          <w:rFonts w:ascii="宋体" w:hAnsi="宋体"/>
          <w:color w:val="000000" w:themeColor="text1"/>
          <w:szCs w:val="21"/>
        </w:rPr>
      </w:pPr>
    </w:p>
    <w:p w:rsidR="00FA2F3E" w:rsidRPr="004112DC" w:rsidRDefault="00FA2F3E" w:rsidP="00FA2F3E">
      <w:pPr>
        <w:spacing w:line="240" w:lineRule="atLeast"/>
        <w:rPr>
          <w:rFonts w:ascii="宋体" w:hAnsi="宋体"/>
          <w:color w:val="000000" w:themeColor="text1"/>
          <w:szCs w:val="21"/>
        </w:rPr>
      </w:pPr>
    </w:p>
    <w:p w:rsidR="00FA2F3E" w:rsidRPr="0018695D" w:rsidRDefault="002F0B0D" w:rsidP="00FA2F3E">
      <w:pPr>
        <w:spacing w:line="240" w:lineRule="atLeast"/>
        <w:rPr>
          <w:rFonts w:ascii="宋体" w:hAnsi="宋体"/>
          <w:szCs w:val="21"/>
        </w:rPr>
      </w:pPr>
      <w:r>
        <w:rPr>
          <w:rFonts w:ascii="方正仿宋_GBK" w:eastAsia="方正仿宋_GBK"/>
          <w:noProof/>
          <w:sz w:val="28"/>
          <w:szCs w:val="28"/>
        </w:rPr>
        <w:pict>
          <v:line id="_x0000_s1027" style="position:absolute;left:0;text-align:left;z-index:251661312" from="0,11.7pt" to="451.5pt,11.7pt"/>
        </w:pict>
      </w:r>
    </w:p>
    <w:p w:rsidR="00FA2F3E" w:rsidRPr="00A047AD" w:rsidRDefault="002F0B0D" w:rsidP="00FA2F3E">
      <w:pPr>
        <w:ind w:firstLineChars="100" w:firstLine="28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pict>
          <v:line id="_x0000_s1026" style="position:absolute;left:0;text-align:left;z-index:251660288" from="0,28.35pt" to="451.5pt,28.35pt"/>
        </w:pict>
      </w:r>
      <w:r w:rsidR="00FA2F3E" w:rsidRPr="006C6ED0">
        <w:rPr>
          <w:rFonts w:ascii="方正仿宋_GBK" w:eastAsia="方正仿宋_GBK" w:hint="eastAsia"/>
          <w:sz w:val="28"/>
          <w:szCs w:val="28"/>
        </w:rPr>
        <w:t xml:space="preserve">石柱土家族自治县统计局办公室      </w:t>
      </w:r>
      <w:r w:rsidR="00FA2F3E">
        <w:rPr>
          <w:rFonts w:ascii="方正仿宋_GBK" w:eastAsia="方正仿宋_GBK" w:hint="eastAsia"/>
          <w:sz w:val="28"/>
          <w:szCs w:val="28"/>
        </w:rPr>
        <w:t xml:space="preserve">     </w:t>
      </w:r>
      <w:r w:rsidR="00FA2F3E" w:rsidRPr="006C6ED0">
        <w:rPr>
          <w:rFonts w:ascii="方正仿宋_GBK" w:eastAsia="方正仿宋_GBK" w:hint="eastAsia"/>
          <w:sz w:val="28"/>
          <w:szCs w:val="28"/>
        </w:rPr>
        <w:t xml:space="preserve"> </w:t>
      </w:r>
      <w:r w:rsidR="00FA2F3E">
        <w:rPr>
          <w:rFonts w:ascii="方正仿宋_GBK" w:eastAsia="方正仿宋_GBK" w:hint="eastAsia"/>
          <w:sz w:val="28"/>
          <w:szCs w:val="28"/>
        </w:rPr>
        <w:t xml:space="preserve"> </w:t>
      </w:r>
      <w:r w:rsidR="00FA2F3E" w:rsidRPr="006C6ED0">
        <w:rPr>
          <w:rFonts w:ascii="方正仿宋_GBK" w:eastAsia="方正仿宋_GBK" w:hint="eastAsia"/>
          <w:sz w:val="28"/>
          <w:szCs w:val="28"/>
        </w:rPr>
        <w:t>20</w:t>
      </w:r>
      <w:r w:rsidR="00FA2F3E">
        <w:rPr>
          <w:rFonts w:ascii="方正仿宋_GBK" w:eastAsia="方正仿宋_GBK" w:hint="eastAsia"/>
          <w:sz w:val="28"/>
          <w:szCs w:val="28"/>
        </w:rPr>
        <w:t>25</w:t>
      </w:r>
      <w:r w:rsidR="00FA2F3E" w:rsidRPr="006C6ED0">
        <w:rPr>
          <w:rFonts w:ascii="方正仿宋_GBK" w:eastAsia="方正仿宋_GBK" w:hint="eastAsia"/>
          <w:sz w:val="28"/>
          <w:szCs w:val="28"/>
        </w:rPr>
        <w:t>年</w:t>
      </w:r>
      <w:r w:rsidR="00FA2F3E">
        <w:rPr>
          <w:rFonts w:ascii="方正仿宋_GBK" w:eastAsia="方正仿宋_GBK" w:hint="eastAsia"/>
          <w:sz w:val="28"/>
          <w:szCs w:val="28"/>
        </w:rPr>
        <w:t>7</w:t>
      </w:r>
      <w:r w:rsidR="00FA2F3E" w:rsidRPr="006C6ED0">
        <w:rPr>
          <w:rFonts w:ascii="方正仿宋_GBK" w:eastAsia="方正仿宋_GBK" w:hint="eastAsia"/>
          <w:sz w:val="28"/>
          <w:szCs w:val="28"/>
        </w:rPr>
        <w:t>月</w:t>
      </w:r>
      <w:r w:rsidR="00FA2F3E">
        <w:rPr>
          <w:rFonts w:ascii="方正仿宋_GBK" w:eastAsia="方正仿宋_GBK" w:hint="eastAsia"/>
          <w:sz w:val="28"/>
          <w:szCs w:val="28"/>
        </w:rPr>
        <w:t>8</w:t>
      </w:r>
      <w:r w:rsidR="00FA2F3E" w:rsidRPr="006C6ED0">
        <w:rPr>
          <w:rFonts w:ascii="方正仿宋_GBK" w:eastAsia="方正仿宋_GBK" w:hint="eastAsia"/>
          <w:sz w:val="28"/>
          <w:szCs w:val="28"/>
        </w:rPr>
        <w:t>日印</w:t>
      </w:r>
      <w:r w:rsidR="00FA2F3E">
        <w:rPr>
          <w:rFonts w:ascii="方正仿宋_GBK" w:eastAsia="方正仿宋_GBK" w:hint="eastAsia"/>
          <w:sz w:val="28"/>
          <w:szCs w:val="28"/>
        </w:rPr>
        <w:t>发</w:t>
      </w:r>
    </w:p>
    <w:p w:rsidR="006E18FE" w:rsidRDefault="00060BA9">
      <w:pPr>
        <w:tabs>
          <w:tab w:val="left" w:pos="2730"/>
        </w:tabs>
        <w:spacing w:line="60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附件：</w:t>
      </w:r>
    </w:p>
    <w:p w:rsidR="006E18FE" w:rsidRDefault="006E18FE">
      <w:pPr>
        <w:tabs>
          <w:tab w:val="left" w:pos="2730"/>
        </w:tabs>
        <w:spacing w:line="600" w:lineRule="exact"/>
        <w:rPr>
          <w:rFonts w:ascii="方正黑体_GBK" w:eastAsia="方正黑体_GBK" w:hAnsi="方正黑体_GBK" w:cs="方正黑体_GBK"/>
          <w:sz w:val="32"/>
          <w:szCs w:val="32"/>
        </w:rPr>
      </w:pPr>
    </w:p>
    <w:p w:rsidR="006E18FE" w:rsidRDefault="00060BA9">
      <w:pPr>
        <w:tabs>
          <w:tab w:val="left" w:pos="2730"/>
        </w:tabs>
        <w:spacing w:line="580" w:lineRule="exact"/>
        <w:jc w:val="center"/>
        <w:rPr>
          <w:rFonts w:ascii="方正黑体_GBK" w:eastAsia="方正黑体_GBK"/>
          <w:color w:val="000000"/>
          <w:sz w:val="32"/>
          <w:szCs w:val="32"/>
        </w:rPr>
      </w:pPr>
      <w:r>
        <w:rPr>
          <w:rFonts w:ascii="方正小标宋_GBK" w:eastAsia="方正小标宋_GBK" w:hAnsi="方正小标宋简体" w:cs="方正小标宋简体" w:hint="eastAsia"/>
          <w:color w:val="000000"/>
          <w:kern w:val="0"/>
          <w:sz w:val="36"/>
          <w:szCs w:val="40"/>
        </w:rPr>
        <w:t>相关专业执法检查重点指标</w:t>
      </w:r>
    </w:p>
    <w:tbl>
      <w:tblPr>
        <w:tblW w:w="9097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2036"/>
        <w:gridCol w:w="6344"/>
      </w:tblGrid>
      <w:tr w:rsidR="006E18FE">
        <w:trPr>
          <w:trHeight w:val="593"/>
          <w:jc w:val="center"/>
        </w:trPr>
        <w:tc>
          <w:tcPr>
            <w:tcW w:w="717" w:type="dxa"/>
          </w:tcPr>
          <w:p w:rsidR="006E18FE" w:rsidRDefault="00060BA9">
            <w:pPr>
              <w:widowControl/>
              <w:tabs>
                <w:tab w:val="left" w:pos="2730"/>
              </w:tabs>
              <w:spacing w:line="58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36" w:type="dxa"/>
          </w:tcPr>
          <w:p w:rsidR="006E18FE" w:rsidRDefault="00060BA9">
            <w:pPr>
              <w:widowControl/>
              <w:tabs>
                <w:tab w:val="left" w:pos="2730"/>
              </w:tabs>
              <w:spacing w:line="58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6344" w:type="dxa"/>
          </w:tcPr>
          <w:p w:rsidR="006E18FE" w:rsidRDefault="00060BA9">
            <w:pPr>
              <w:widowControl/>
              <w:tabs>
                <w:tab w:val="left" w:pos="2730"/>
              </w:tabs>
              <w:spacing w:line="58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重点指标</w:t>
            </w:r>
          </w:p>
        </w:tc>
      </w:tr>
      <w:tr w:rsidR="006E18FE">
        <w:trPr>
          <w:trHeight w:val="626"/>
          <w:jc w:val="center"/>
        </w:trPr>
        <w:tc>
          <w:tcPr>
            <w:tcW w:w="717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36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上工业</w:t>
            </w:r>
          </w:p>
        </w:tc>
        <w:tc>
          <w:tcPr>
            <w:tcW w:w="6344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工业总产值、营业收入、利润总额</w:t>
            </w:r>
          </w:p>
        </w:tc>
      </w:tr>
      <w:tr w:rsidR="006E18FE">
        <w:trPr>
          <w:trHeight w:val="626"/>
          <w:jc w:val="center"/>
        </w:trPr>
        <w:tc>
          <w:tcPr>
            <w:tcW w:w="717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036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固定资产投资</w:t>
            </w:r>
          </w:p>
        </w:tc>
        <w:tc>
          <w:tcPr>
            <w:tcW w:w="6344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本年完成投资（额）</w:t>
            </w:r>
          </w:p>
        </w:tc>
      </w:tr>
      <w:tr w:rsidR="006E18FE">
        <w:trPr>
          <w:trHeight w:val="626"/>
          <w:jc w:val="center"/>
        </w:trPr>
        <w:tc>
          <w:tcPr>
            <w:tcW w:w="717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036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限上批发和零售业</w:t>
            </w:r>
          </w:p>
        </w:tc>
        <w:tc>
          <w:tcPr>
            <w:tcW w:w="6344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商品销售额、营业收入</w:t>
            </w:r>
          </w:p>
        </w:tc>
      </w:tr>
      <w:tr w:rsidR="006E18FE">
        <w:trPr>
          <w:trHeight w:val="626"/>
          <w:jc w:val="center"/>
        </w:trPr>
        <w:tc>
          <w:tcPr>
            <w:tcW w:w="717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036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限上住宿和餐饮业</w:t>
            </w:r>
          </w:p>
        </w:tc>
        <w:tc>
          <w:tcPr>
            <w:tcW w:w="6344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营业额、营业收入</w:t>
            </w:r>
          </w:p>
        </w:tc>
      </w:tr>
      <w:tr w:rsidR="006E18FE">
        <w:trPr>
          <w:trHeight w:val="626"/>
          <w:jc w:val="center"/>
        </w:trPr>
        <w:tc>
          <w:tcPr>
            <w:tcW w:w="717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036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建筑业</w:t>
            </w:r>
          </w:p>
        </w:tc>
        <w:tc>
          <w:tcPr>
            <w:tcW w:w="6344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建筑业总产值</w:t>
            </w:r>
          </w:p>
        </w:tc>
      </w:tr>
      <w:tr w:rsidR="006E18FE">
        <w:trPr>
          <w:trHeight w:val="626"/>
          <w:jc w:val="center"/>
        </w:trPr>
        <w:tc>
          <w:tcPr>
            <w:tcW w:w="717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036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房地产业</w:t>
            </w:r>
          </w:p>
        </w:tc>
        <w:tc>
          <w:tcPr>
            <w:tcW w:w="6344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商品房销售面积</w:t>
            </w:r>
          </w:p>
        </w:tc>
      </w:tr>
      <w:tr w:rsidR="006E18FE">
        <w:trPr>
          <w:trHeight w:val="626"/>
          <w:jc w:val="center"/>
        </w:trPr>
        <w:tc>
          <w:tcPr>
            <w:tcW w:w="717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036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规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上服务业</w:t>
            </w:r>
          </w:p>
        </w:tc>
        <w:tc>
          <w:tcPr>
            <w:tcW w:w="6344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应付职工薪酬、应交增值税、营业收入、本年折旧、营业利润</w:t>
            </w:r>
          </w:p>
        </w:tc>
      </w:tr>
      <w:tr w:rsidR="006E18FE">
        <w:trPr>
          <w:trHeight w:val="626"/>
          <w:jc w:val="center"/>
        </w:trPr>
        <w:tc>
          <w:tcPr>
            <w:tcW w:w="717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</w:rPr>
              <w:t>8</w:t>
            </w:r>
          </w:p>
        </w:tc>
        <w:tc>
          <w:tcPr>
            <w:tcW w:w="2036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</w:rPr>
              <w:t>能源</w:t>
            </w:r>
          </w:p>
        </w:tc>
        <w:tc>
          <w:tcPr>
            <w:tcW w:w="6344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</w:rPr>
              <w:t>原煤产量、煤炭消耗量、用于原材料消费量</w:t>
            </w:r>
          </w:p>
        </w:tc>
      </w:tr>
      <w:tr w:rsidR="006E18FE">
        <w:trPr>
          <w:trHeight w:val="71"/>
          <w:jc w:val="center"/>
        </w:trPr>
        <w:tc>
          <w:tcPr>
            <w:tcW w:w="717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</w:rPr>
              <w:t>9</w:t>
            </w:r>
          </w:p>
        </w:tc>
        <w:tc>
          <w:tcPr>
            <w:tcW w:w="2036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</w:rPr>
              <w:t>劳动工资</w:t>
            </w:r>
          </w:p>
        </w:tc>
        <w:tc>
          <w:tcPr>
            <w:tcW w:w="6344" w:type="dxa"/>
          </w:tcPr>
          <w:p w:rsidR="006E18FE" w:rsidRDefault="00060BA9">
            <w:pPr>
              <w:widowControl/>
              <w:spacing w:line="580" w:lineRule="exact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</w:rPr>
              <w:t>从业人员期末人数、从业人员工资总额</w:t>
            </w:r>
          </w:p>
        </w:tc>
      </w:tr>
    </w:tbl>
    <w:p w:rsidR="006E18FE" w:rsidRDefault="006E18FE">
      <w:pPr>
        <w:spacing w:line="240" w:lineRule="atLeast"/>
        <w:rPr>
          <w:rFonts w:ascii="宋体" w:hAnsi="宋体"/>
          <w:color w:val="000000" w:themeColor="text1"/>
          <w:szCs w:val="21"/>
        </w:rPr>
      </w:pPr>
    </w:p>
    <w:p w:rsidR="006E18FE" w:rsidRDefault="006E18FE">
      <w:pPr>
        <w:spacing w:line="240" w:lineRule="atLeast"/>
        <w:rPr>
          <w:rFonts w:ascii="宋体" w:hAnsi="宋体"/>
          <w:color w:val="000000" w:themeColor="text1"/>
          <w:szCs w:val="21"/>
        </w:rPr>
      </w:pPr>
    </w:p>
    <w:p w:rsidR="006E18FE" w:rsidRDefault="006E18FE">
      <w:pPr>
        <w:spacing w:line="240" w:lineRule="atLeast"/>
        <w:rPr>
          <w:rFonts w:ascii="宋体" w:hAnsi="宋体"/>
          <w:color w:val="000000" w:themeColor="text1"/>
          <w:szCs w:val="21"/>
        </w:rPr>
      </w:pPr>
    </w:p>
    <w:p w:rsidR="006E18FE" w:rsidRDefault="006E18FE">
      <w:pPr>
        <w:spacing w:line="240" w:lineRule="atLeast"/>
        <w:rPr>
          <w:rFonts w:ascii="宋体" w:hAnsi="宋体"/>
          <w:color w:val="000000" w:themeColor="text1"/>
          <w:szCs w:val="21"/>
        </w:rPr>
      </w:pPr>
    </w:p>
    <w:p w:rsidR="006E18FE" w:rsidRDefault="006E18FE">
      <w:pPr>
        <w:ind w:firstLineChars="100" w:firstLine="280"/>
        <w:rPr>
          <w:rFonts w:ascii="方正仿宋_GBK" w:eastAsia="方正仿宋_GBK"/>
          <w:sz w:val="28"/>
          <w:szCs w:val="28"/>
        </w:rPr>
      </w:pPr>
    </w:p>
    <w:sectPr w:rsidR="006E18FE" w:rsidSect="006E18FE">
      <w:footerReference w:type="even" r:id="rId8"/>
      <w:footerReference w:type="default" r:id="rId9"/>
      <w:pgSz w:w="11906" w:h="16838"/>
      <w:pgMar w:top="2098" w:right="136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B0D" w:rsidRDefault="002F0B0D" w:rsidP="006E18FE">
      <w:r>
        <w:separator/>
      </w:r>
    </w:p>
  </w:endnote>
  <w:endnote w:type="continuationSeparator" w:id="0">
    <w:p w:rsidR="002F0B0D" w:rsidRDefault="002F0B0D" w:rsidP="006E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84923"/>
    </w:sdtPr>
    <w:sdtEndPr/>
    <w:sdtContent>
      <w:p w:rsidR="006E18FE" w:rsidRDefault="00060BA9">
        <w:pPr>
          <w:pStyle w:val="a5"/>
        </w:pPr>
        <w:r>
          <w:rPr>
            <w:rFonts w:ascii="方正仿宋_GBK" w:eastAsia="方正仿宋_GBK" w:hint="eastAsia"/>
            <w:sz w:val="28"/>
            <w:szCs w:val="28"/>
          </w:rPr>
          <w:t xml:space="preserve">— </w:t>
        </w:r>
        <w:r w:rsidR="00F538E8">
          <w:rPr>
            <w:rFonts w:asciiTheme="minorEastAsia" w:eastAsiaTheme="minorEastAsia" w:hAnsiTheme="minorEastAsia" w:cstheme="minorEastAsia" w:hint="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instrText xml:space="preserve"> PAGE   \* MERGEFORMAT </w:instrText>
        </w:r>
        <w:r w:rsidR="00F538E8">
          <w:rPr>
            <w:rFonts w:asciiTheme="minorEastAsia" w:eastAsiaTheme="minorEastAsia" w:hAnsiTheme="minorEastAsia" w:cstheme="minorEastAsia" w:hint="eastAsia"/>
            <w:sz w:val="28"/>
            <w:szCs w:val="28"/>
          </w:rPr>
          <w:fldChar w:fldCharType="separate"/>
        </w:r>
        <w:r w:rsidR="00E86283" w:rsidRPr="00E86283">
          <w:rPr>
            <w:rFonts w:asciiTheme="minorEastAsia" w:eastAsiaTheme="minorEastAsia" w:hAnsiTheme="minorEastAsia" w:cstheme="minorEastAsia"/>
            <w:noProof/>
            <w:sz w:val="28"/>
            <w:szCs w:val="28"/>
            <w:lang w:val="zh-CN"/>
          </w:rPr>
          <w:t>2</w:t>
        </w:r>
        <w:r w:rsidR="00F538E8">
          <w:rPr>
            <w:rFonts w:asciiTheme="minorEastAsia" w:eastAsiaTheme="minorEastAsia" w:hAnsiTheme="minorEastAsia" w:cstheme="minorEastAsia" w:hint="eastAsia"/>
            <w:sz w:val="28"/>
            <w:szCs w:val="28"/>
          </w:rPr>
          <w:fldChar w:fldCharType="end"/>
        </w:r>
        <w:r w:rsidR="00FA2F3E">
          <w:rPr>
            <w:rFonts w:asciiTheme="minorEastAsia" w:eastAsiaTheme="minorEastAsia" w:hAnsiTheme="minorEastAsia" w:cstheme="minorEastAsia" w:hint="eastAsia"/>
            <w:sz w:val="28"/>
            <w:szCs w:val="28"/>
          </w:rPr>
          <w:t xml:space="preserve"> </w:t>
        </w:r>
        <w:r>
          <w:rPr>
            <w:rFonts w:ascii="方正仿宋_GBK" w:eastAsia="方正仿宋_GBK" w:hint="eastAsia"/>
            <w:sz w:val="28"/>
            <w:szCs w:val="28"/>
          </w:rPr>
          <w:t>—</w:t>
        </w:r>
      </w:p>
    </w:sdtContent>
  </w:sdt>
  <w:p w:rsidR="006E18FE" w:rsidRDefault="006E18F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84891"/>
    </w:sdtPr>
    <w:sdtEndPr>
      <w:rPr>
        <w:rFonts w:asciiTheme="minorEastAsia" w:hAnsiTheme="minorEastAsia"/>
      </w:rPr>
    </w:sdtEndPr>
    <w:sdtContent>
      <w:p w:rsidR="006E18FE" w:rsidRDefault="00060BA9">
        <w:pPr>
          <w:pStyle w:val="a5"/>
          <w:jc w:val="right"/>
        </w:pPr>
        <w:r>
          <w:rPr>
            <w:rFonts w:ascii="方正仿宋_GBK" w:eastAsia="方正仿宋_GBK" w:hint="eastAsia"/>
            <w:sz w:val="28"/>
            <w:szCs w:val="28"/>
          </w:rPr>
          <w:t xml:space="preserve">— </w:t>
        </w:r>
        <w:r w:rsidR="00F538E8">
          <w:rPr>
            <w:rFonts w:asciiTheme="minorEastAsia" w:eastAsiaTheme="minorEastAsia" w:hAnsiTheme="minorEastAsia" w:cstheme="minorEastAsia" w:hint="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instrText xml:space="preserve"> PAGE   \* MERGEFORMAT </w:instrText>
        </w:r>
        <w:r w:rsidR="00F538E8">
          <w:rPr>
            <w:rFonts w:asciiTheme="minorEastAsia" w:eastAsiaTheme="minorEastAsia" w:hAnsiTheme="minorEastAsia" w:cstheme="minorEastAsia" w:hint="eastAsia"/>
            <w:sz w:val="28"/>
            <w:szCs w:val="28"/>
          </w:rPr>
          <w:fldChar w:fldCharType="separate"/>
        </w:r>
        <w:r w:rsidR="00E86283" w:rsidRPr="00E86283">
          <w:rPr>
            <w:rFonts w:asciiTheme="minorEastAsia" w:eastAsiaTheme="minorEastAsia" w:hAnsiTheme="minorEastAsia" w:cstheme="minorEastAsia"/>
            <w:noProof/>
            <w:sz w:val="28"/>
            <w:szCs w:val="28"/>
            <w:lang w:val="zh-CN"/>
          </w:rPr>
          <w:t>1</w:t>
        </w:r>
        <w:r w:rsidR="00F538E8">
          <w:rPr>
            <w:rFonts w:asciiTheme="minorEastAsia" w:eastAsiaTheme="minorEastAsia" w:hAnsiTheme="minorEastAsia" w:cstheme="minorEastAsia" w:hint="eastAsia"/>
            <w:sz w:val="28"/>
            <w:szCs w:val="28"/>
          </w:rPr>
          <w:fldChar w:fldCharType="end"/>
        </w:r>
        <w:r w:rsidR="00FA2F3E">
          <w:rPr>
            <w:rFonts w:asciiTheme="minorEastAsia" w:eastAsiaTheme="minorEastAsia" w:hAnsiTheme="minorEastAsia" w:cstheme="minorEastAsia" w:hint="eastAsia"/>
            <w:sz w:val="28"/>
            <w:szCs w:val="28"/>
          </w:rPr>
          <w:t xml:space="preserve"> </w:t>
        </w:r>
        <w:r>
          <w:rPr>
            <w:rFonts w:ascii="方正仿宋_GBK" w:eastAsia="方正仿宋_GBK" w:hint="eastAsia"/>
            <w:sz w:val="28"/>
            <w:szCs w:val="28"/>
          </w:rPr>
          <w:t>—</w:t>
        </w:r>
      </w:p>
    </w:sdtContent>
  </w:sdt>
  <w:p w:rsidR="006E18FE" w:rsidRDefault="006E18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B0D" w:rsidRDefault="002F0B0D" w:rsidP="006E18FE">
      <w:r>
        <w:separator/>
      </w:r>
    </w:p>
  </w:footnote>
  <w:footnote w:type="continuationSeparator" w:id="0">
    <w:p w:rsidR="002F0B0D" w:rsidRDefault="002F0B0D" w:rsidP="006E1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43F3"/>
    <w:rsid w:val="E73C1869"/>
    <w:rsid w:val="00032434"/>
    <w:rsid w:val="00060BA9"/>
    <w:rsid w:val="000648EF"/>
    <w:rsid w:val="00072E94"/>
    <w:rsid w:val="000A21F9"/>
    <w:rsid w:val="000D090C"/>
    <w:rsid w:val="000F62AC"/>
    <w:rsid w:val="00126CA1"/>
    <w:rsid w:val="0015599F"/>
    <w:rsid w:val="00162DF6"/>
    <w:rsid w:val="001C17AB"/>
    <w:rsid w:val="001D6AEB"/>
    <w:rsid w:val="0023214A"/>
    <w:rsid w:val="00242E54"/>
    <w:rsid w:val="002536DD"/>
    <w:rsid w:val="00272A43"/>
    <w:rsid w:val="002B507D"/>
    <w:rsid w:val="002C0579"/>
    <w:rsid w:val="002D3D98"/>
    <w:rsid w:val="002F0B0D"/>
    <w:rsid w:val="00330DA2"/>
    <w:rsid w:val="00360478"/>
    <w:rsid w:val="00372C74"/>
    <w:rsid w:val="003B3CA5"/>
    <w:rsid w:val="003F5B9B"/>
    <w:rsid w:val="0040324E"/>
    <w:rsid w:val="004112DC"/>
    <w:rsid w:val="004217B1"/>
    <w:rsid w:val="0042547C"/>
    <w:rsid w:val="00430C53"/>
    <w:rsid w:val="00455000"/>
    <w:rsid w:val="004811FD"/>
    <w:rsid w:val="004B7DF2"/>
    <w:rsid w:val="004E11FD"/>
    <w:rsid w:val="0056199B"/>
    <w:rsid w:val="005D2C01"/>
    <w:rsid w:val="00602823"/>
    <w:rsid w:val="00605384"/>
    <w:rsid w:val="00612E87"/>
    <w:rsid w:val="0065309D"/>
    <w:rsid w:val="006A1603"/>
    <w:rsid w:val="006B3782"/>
    <w:rsid w:val="006D1255"/>
    <w:rsid w:val="006E18FE"/>
    <w:rsid w:val="006F4AC4"/>
    <w:rsid w:val="00703CC6"/>
    <w:rsid w:val="00726E7E"/>
    <w:rsid w:val="00775A4D"/>
    <w:rsid w:val="0078246D"/>
    <w:rsid w:val="007B029F"/>
    <w:rsid w:val="007D5359"/>
    <w:rsid w:val="007E386A"/>
    <w:rsid w:val="007F6EDE"/>
    <w:rsid w:val="008039FC"/>
    <w:rsid w:val="0080744D"/>
    <w:rsid w:val="0081733F"/>
    <w:rsid w:val="00822347"/>
    <w:rsid w:val="00827EA7"/>
    <w:rsid w:val="008672F2"/>
    <w:rsid w:val="00872D83"/>
    <w:rsid w:val="008D0A84"/>
    <w:rsid w:val="008F5E7F"/>
    <w:rsid w:val="009008BE"/>
    <w:rsid w:val="009067AF"/>
    <w:rsid w:val="009D4937"/>
    <w:rsid w:val="009E07CF"/>
    <w:rsid w:val="00A047AD"/>
    <w:rsid w:val="00A3505B"/>
    <w:rsid w:val="00A47413"/>
    <w:rsid w:val="00B64F61"/>
    <w:rsid w:val="00B7372D"/>
    <w:rsid w:val="00BC3951"/>
    <w:rsid w:val="00BE1CF7"/>
    <w:rsid w:val="00C03A4D"/>
    <w:rsid w:val="00C2769E"/>
    <w:rsid w:val="00C57BB7"/>
    <w:rsid w:val="00C625AD"/>
    <w:rsid w:val="00C648FE"/>
    <w:rsid w:val="00C728C0"/>
    <w:rsid w:val="00C95872"/>
    <w:rsid w:val="00CA00C7"/>
    <w:rsid w:val="00CB2C0A"/>
    <w:rsid w:val="00CB3384"/>
    <w:rsid w:val="00CC5F3B"/>
    <w:rsid w:val="00CF3ED1"/>
    <w:rsid w:val="00D7717B"/>
    <w:rsid w:val="00D97622"/>
    <w:rsid w:val="00DA54DB"/>
    <w:rsid w:val="00DB26E2"/>
    <w:rsid w:val="00DF7385"/>
    <w:rsid w:val="00E045C4"/>
    <w:rsid w:val="00E05169"/>
    <w:rsid w:val="00E072E0"/>
    <w:rsid w:val="00E255F8"/>
    <w:rsid w:val="00E543F3"/>
    <w:rsid w:val="00E85A28"/>
    <w:rsid w:val="00E86283"/>
    <w:rsid w:val="00EB386C"/>
    <w:rsid w:val="00ED7B28"/>
    <w:rsid w:val="00F07EE0"/>
    <w:rsid w:val="00F14637"/>
    <w:rsid w:val="00F35112"/>
    <w:rsid w:val="00F4049E"/>
    <w:rsid w:val="00F538E8"/>
    <w:rsid w:val="00FA2F3E"/>
    <w:rsid w:val="00FD0E9C"/>
    <w:rsid w:val="00FD295C"/>
    <w:rsid w:val="077D25D0"/>
    <w:rsid w:val="0BD64561"/>
    <w:rsid w:val="75382037"/>
    <w:rsid w:val="7B9D48A5"/>
    <w:rsid w:val="7BF9B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F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E18FE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6E18F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E1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6E1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6E18F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8">
    <w:name w:val="Strong"/>
    <w:uiPriority w:val="22"/>
    <w:qFormat/>
    <w:rsid w:val="006E18FE"/>
    <w:rPr>
      <w:b/>
      <w:bCs/>
    </w:rPr>
  </w:style>
  <w:style w:type="character" w:customStyle="1" w:styleId="Char2">
    <w:name w:val="页眉 Char"/>
    <w:basedOn w:val="a0"/>
    <w:link w:val="a6"/>
    <w:uiPriority w:val="99"/>
    <w:rsid w:val="006E18F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E18FE"/>
    <w:rPr>
      <w:sz w:val="18"/>
      <w:szCs w:val="18"/>
    </w:rPr>
  </w:style>
  <w:style w:type="paragraph" w:styleId="a9">
    <w:name w:val="List Paragraph"/>
    <w:basedOn w:val="a"/>
    <w:uiPriority w:val="34"/>
    <w:qFormat/>
    <w:rsid w:val="006E18FE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6E18FE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6E18FE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252</Words>
  <Characters>1442</Characters>
  <Application>Microsoft Office Word</Application>
  <DocSecurity>0</DocSecurity>
  <Lines>12</Lines>
  <Paragraphs>3</Paragraphs>
  <ScaleCrop>false</ScaleCrop>
  <Company>China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谭晓宁[17783923577]</dc:creator>
  <cp:lastModifiedBy>Administrator</cp:lastModifiedBy>
  <cp:revision>7</cp:revision>
  <cp:lastPrinted>2025-07-08T11:46:00Z</cp:lastPrinted>
  <dcterms:created xsi:type="dcterms:W3CDTF">2020-05-26T08:24:00Z</dcterms:created>
  <dcterms:modified xsi:type="dcterms:W3CDTF">2026-03-31T08:16:00Z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eyJoZGlkIjoiZDgxNzY5ZmEwOTAwZTQ0MTEzY2NlYzE1MjExZjEyNjUiLCJ1c2VySWQiOiI3MDEwMDc0MjYifQ==</vt:lpwstr>
  </property>
  <property fmtid="{D5CDD505-2E9C-101B-9397-08002B2CF9AE}" pid="3" name="KSOProductBuildVer">
    <vt:lpwstr>2052-0.0.0.0</vt:lpwstr>
  </property>
  <property fmtid="{D5CDD505-2E9C-101B-9397-08002B2CF9AE}" pid="4" name="ICV">
    <vt:lpwstr>E27FC8CF41B0450885B62CE4CB21FDDD_12</vt:lpwstr>
  </property>
</Properties>
</file>