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方正黑体_GBK" w:hAnsi="宋体" w:eastAsia="方正黑体_GBK" w:cs="宋体"/>
          <w:color w:val="000000"/>
          <w:sz w:val="48"/>
          <w:szCs w:val="48"/>
        </w:rPr>
      </w:pPr>
    </w:p>
    <w:p>
      <w:pPr>
        <w:spacing w:after="0"/>
        <w:jc w:val="center"/>
        <w:rPr>
          <w:rFonts w:ascii="方正黑体_GBK" w:hAnsi="宋体" w:eastAsia="方正黑体_GBK" w:cs="宋体"/>
          <w:color w:val="000000"/>
          <w:sz w:val="48"/>
          <w:szCs w:val="48"/>
        </w:rPr>
      </w:pPr>
    </w:p>
    <w:p>
      <w:pPr>
        <w:spacing w:after="0" w:line="600" w:lineRule="exact"/>
        <w:jc w:val="center"/>
        <w:rPr>
          <w:rFonts w:ascii="方正黑体_GBK" w:hAnsi="宋体" w:eastAsia="方正黑体_GBK" w:cs="宋体"/>
          <w:b/>
          <w:color w:val="000000"/>
          <w:sz w:val="48"/>
          <w:szCs w:val="48"/>
        </w:rPr>
      </w:pPr>
      <w:r>
        <w:rPr>
          <w:rFonts w:hint="eastAsia" w:ascii="方正黑体_GBK" w:hAnsi="宋体" w:eastAsia="方正黑体_GBK" w:cs="宋体"/>
          <w:b/>
          <w:color w:val="000000"/>
          <w:sz w:val="48"/>
          <w:szCs w:val="48"/>
        </w:rPr>
        <w:t>石柱土家族自治县</w:t>
      </w:r>
    </w:p>
    <w:p>
      <w:pPr>
        <w:spacing w:after="0" w:line="600" w:lineRule="exact"/>
        <w:jc w:val="center"/>
        <w:rPr>
          <w:rFonts w:ascii="方正黑体_GBK" w:hAnsi="宋体" w:eastAsia="方正黑体_GBK" w:cs="宋体"/>
          <w:b/>
          <w:color w:val="000000"/>
          <w:spacing w:val="8"/>
          <w:sz w:val="48"/>
          <w:szCs w:val="48"/>
        </w:rPr>
      </w:pPr>
      <w:r>
        <w:rPr>
          <w:rFonts w:ascii="方正黑体_GBK" w:hAnsi="宋体" w:eastAsia="方正黑体_GBK" w:cs="宋体"/>
          <w:b/>
          <w:color w:val="000000"/>
          <w:spacing w:val="8"/>
          <w:sz w:val="48"/>
          <w:szCs w:val="48"/>
        </w:rPr>
        <w:t>20</w:t>
      </w:r>
      <w:r>
        <w:rPr>
          <w:rFonts w:hint="eastAsia" w:ascii="方正黑体_GBK" w:hAnsi="宋体" w:eastAsia="方正黑体_GBK" w:cs="宋体"/>
          <w:b/>
          <w:color w:val="000000"/>
          <w:spacing w:val="8"/>
          <w:sz w:val="48"/>
          <w:szCs w:val="48"/>
        </w:rPr>
        <w:t>21年国民经济和社会发展</w:t>
      </w:r>
    </w:p>
    <w:p>
      <w:pPr>
        <w:tabs>
          <w:tab w:val="left" w:pos="1740"/>
          <w:tab w:val="center" w:pos="4422"/>
        </w:tabs>
        <w:spacing w:after="0" w:line="900" w:lineRule="exact"/>
        <w:rPr>
          <w:rFonts w:ascii="方正隶书_GBK" w:hAnsi="华文隶书" w:eastAsia="方正隶书_GBK" w:cs="宋体"/>
          <w:b/>
          <w:color w:val="000000"/>
          <w:spacing w:val="-18"/>
          <w:sz w:val="72"/>
          <w:szCs w:val="72"/>
        </w:rPr>
      </w:pPr>
      <w:r>
        <w:rPr>
          <w:rFonts w:ascii="方正隶书_GBK" w:hAnsi="华文隶书" w:eastAsia="方正隶书_GBK" w:cs="宋体"/>
          <w:b/>
          <w:color w:val="000000"/>
          <w:spacing w:val="-18"/>
          <w:sz w:val="72"/>
          <w:szCs w:val="72"/>
        </w:rPr>
        <w:tab/>
      </w:r>
      <w:r>
        <w:rPr>
          <w:rFonts w:ascii="方正隶书_GBK" w:hAnsi="华文隶书" w:eastAsia="方正隶书_GBK" w:cs="宋体"/>
          <w:b/>
          <w:color w:val="000000"/>
          <w:spacing w:val="-18"/>
          <w:sz w:val="72"/>
          <w:szCs w:val="72"/>
        </w:rPr>
        <w:tab/>
      </w:r>
      <w:r>
        <w:rPr>
          <w:rFonts w:hint="eastAsia" w:ascii="方正隶书_GBK" w:hAnsi="华文隶书" w:eastAsia="方正隶书_GBK" w:cs="宋体"/>
          <w:b/>
          <w:color w:val="000000"/>
          <w:spacing w:val="-18"/>
          <w:sz w:val="72"/>
          <w:szCs w:val="72"/>
        </w:rPr>
        <w:t>统</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计</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公</w:t>
      </w:r>
      <w:r>
        <w:rPr>
          <w:rFonts w:ascii="方正隶书_GBK" w:hAnsi="华文隶书" w:eastAsia="方正隶书_GBK" w:cs="宋体"/>
          <w:b/>
          <w:color w:val="000000"/>
          <w:spacing w:val="-18"/>
          <w:sz w:val="72"/>
          <w:szCs w:val="72"/>
        </w:rPr>
        <w:t xml:space="preserve"> </w:t>
      </w:r>
      <w:r>
        <w:rPr>
          <w:rFonts w:hint="eastAsia" w:ascii="方正隶书_GBK" w:hAnsi="华文隶书" w:eastAsia="方正隶书_GBK" w:cs="宋体"/>
          <w:b/>
          <w:color w:val="000000"/>
          <w:spacing w:val="-18"/>
          <w:sz w:val="72"/>
          <w:szCs w:val="72"/>
        </w:rPr>
        <w:t>报</w:t>
      </w:r>
    </w:p>
    <w:p>
      <w:pPr>
        <w:spacing w:after="0" w:line="360" w:lineRule="exact"/>
        <w:jc w:val="center"/>
        <w:rPr>
          <w:rFonts w:ascii="方正隶书_GBK" w:hAnsi="宋体" w:eastAsia="方正隶书_GBK" w:cs="宋体"/>
          <w:b/>
          <w:color w:val="000000"/>
          <w:spacing w:val="-8"/>
          <w:sz w:val="28"/>
          <w:szCs w:val="28"/>
        </w:rPr>
      </w:pPr>
      <w:r>
        <w:rPr>
          <w:rFonts w:hint="eastAsia" w:ascii="方正隶书_GBK" w:hAnsi="宋体" w:eastAsia="方正隶书_GBK" w:cs="宋体"/>
          <w:b/>
          <w:color w:val="000000"/>
          <w:spacing w:val="-8"/>
          <w:sz w:val="28"/>
          <w:szCs w:val="28"/>
        </w:rPr>
        <w:t>石柱土家族自治县统计局</w:t>
      </w:r>
    </w:p>
    <w:p>
      <w:pPr>
        <w:spacing w:after="0" w:line="360" w:lineRule="exact"/>
        <w:ind w:left="-110" w:leftChars="-50"/>
        <w:jc w:val="center"/>
        <w:rPr>
          <w:rFonts w:ascii="方正隶书_GBK" w:hAnsi="宋体" w:eastAsia="方正隶书_GBK" w:cs="宋体"/>
          <w:b/>
          <w:color w:val="000000"/>
          <w:spacing w:val="40"/>
          <w:sz w:val="28"/>
          <w:szCs w:val="28"/>
        </w:rPr>
      </w:pPr>
      <w:r>
        <w:rPr>
          <w:rFonts w:ascii="方正隶书_GBK" w:hAnsi="华文楷体" w:eastAsia="方正隶书_GBK" w:cs="宋体"/>
          <w:b/>
          <w:color w:val="000000"/>
          <w:spacing w:val="40"/>
          <w:sz w:val="28"/>
          <w:szCs w:val="28"/>
        </w:rPr>
        <w:t xml:space="preserve"> 20</w:t>
      </w:r>
      <w:r>
        <w:rPr>
          <w:rFonts w:hint="eastAsia" w:ascii="方正隶书_GBK" w:hAnsi="华文楷体" w:eastAsia="方正隶书_GBK" w:cs="宋体"/>
          <w:b/>
          <w:color w:val="000000"/>
          <w:spacing w:val="40"/>
          <w:sz w:val="28"/>
          <w:szCs w:val="28"/>
        </w:rPr>
        <w:t>22年</w:t>
      </w:r>
      <w:r>
        <w:rPr>
          <w:rFonts w:hint="eastAsia" w:ascii="方正隶书_GBK" w:hAnsi="华文楷体" w:eastAsia="方正隶书_GBK" w:cs="宋体"/>
          <w:b/>
          <w:color w:val="000000"/>
          <w:spacing w:val="40"/>
          <w:sz w:val="28"/>
          <w:szCs w:val="28"/>
          <w:lang w:val="en-US" w:eastAsia="zh-CN"/>
        </w:rPr>
        <w:t>4</w:t>
      </w:r>
      <w:r>
        <w:rPr>
          <w:rFonts w:hint="eastAsia" w:ascii="方正隶书_GBK" w:hAnsi="华文楷体" w:eastAsia="方正隶书_GBK" w:cs="宋体"/>
          <w:b/>
          <w:spacing w:val="40"/>
          <w:sz w:val="28"/>
          <w:szCs w:val="28"/>
        </w:rPr>
        <w:t>月</w:t>
      </w:r>
      <w:r>
        <w:rPr>
          <w:rFonts w:hint="eastAsia" w:ascii="方正隶书_GBK" w:hAnsi="华文楷体" w:eastAsia="方正隶书_GBK" w:cs="宋体"/>
          <w:b/>
          <w:spacing w:val="40"/>
          <w:sz w:val="28"/>
          <w:szCs w:val="28"/>
          <w:lang w:val="en-US" w:eastAsia="zh-CN"/>
        </w:rPr>
        <w:t>15</w:t>
      </w:r>
      <w:bookmarkStart w:id="0" w:name="_GoBack"/>
      <w:bookmarkEnd w:id="0"/>
      <w:r>
        <w:rPr>
          <w:rFonts w:hint="eastAsia" w:ascii="方正隶书_GBK" w:hAnsi="华文楷体" w:eastAsia="方正隶书_GBK" w:cs="宋体"/>
          <w:b/>
          <w:color w:val="000000"/>
          <w:spacing w:val="40"/>
          <w:sz w:val="28"/>
          <w:szCs w:val="28"/>
        </w:rPr>
        <w:t>日</w:t>
      </w:r>
    </w:p>
    <w:p>
      <w:pPr>
        <w:spacing w:after="0" w:line="560" w:lineRule="exact"/>
        <w:ind w:firstLine="640" w:firstLineChars="200"/>
        <w:jc w:val="both"/>
        <w:rPr>
          <w:rFonts w:ascii="方正仿宋_GBK" w:eastAsia="方正仿宋_GBK"/>
          <w:sz w:val="32"/>
          <w:szCs w:val="32"/>
        </w:rPr>
      </w:pPr>
    </w:p>
    <w:p>
      <w:pPr>
        <w:spacing w:after="0" w:line="560"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2021年</w:t>
      </w:r>
      <w:r>
        <w:rPr>
          <w:rFonts w:hint="eastAsia" w:ascii="Times New Roman" w:hAnsi="Times New Roman" w:eastAsia="方正仿宋_GBK" w:cs="Times New Roman"/>
          <w:sz w:val="32"/>
          <w:szCs w:val="32"/>
        </w:rPr>
        <w:t>是党和国家历史上具有里程碑意义的一年。</w:t>
      </w:r>
      <w:r>
        <w:rPr>
          <w:rFonts w:ascii="Times New Roman" w:hAnsi="Times New Roman" w:eastAsia="方正仿宋_GBK" w:cs="Times New Roman"/>
          <w:sz w:val="32"/>
          <w:szCs w:val="32"/>
        </w:rPr>
        <w:t>在</w:t>
      </w:r>
      <w:r>
        <w:rPr>
          <w:rFonts w:hint="eastAsia" w:ascii="Times New Roman" w:hAnsi="Times New Roman" w:eastAsia="方正仿宋_GBK" w:cs="Times New Roman"/>
          <w:sz w:val="32"/>
          <w:szCs w:val="32"/>
        </w:rPr>
        <w:t>以习近平同志为核心的党中央坚强</w:t>
      </w:r>
      <w:r>
        <w:rPr>
          <w:rFonts w:ascii="Times New Roman" w:hAnsi="Times New Roman" w:eastAsia="方正仿宋_GBK" w:cs="Times New Roman"/>
          <w:sz w:val="32"/>
          <w:szCs w:val="32"/>
        </w:rPr>
        <w:t>领导下，</w:t>
      </w:r>
      <w:r>
        <w:rPr>
          <w:rFonts w:ascii="Times New Roman" w:hAnsi="Times New Roman" w:eastAsia="方正仿宋_GBK" w:cs="Times New Roman"/>
          <w:kern w:val="2"/>
          <w:sz w:val="32"/>
          <w:szCs w:val="32"/>
        </w:rPr>
        <w:t>全县上下</w:t>
      </w:r>
      <w:r>
        <w:rPr>
          <w:rFonts w:hint="eastAsia" w:ascii="Times New Roman" w:hAnsi="Times New Roman" w:eastAsia="方正仿宋_GBK" w:cs="Times New Roman"/>
          <w:kern w:val="2"/>
          <w:sz w:val="32"/>
          <w:szCs w:val="32"/>
        </w:rPr>
        <w:t>坚持</w:t>
      </w:r>
      <w:r>
        <w:rPr>
          <w:rFonts w:ascii="Times New Roman" w:hAnsi="Times New Roman" w:eastAsia="方正仿宋_GBK" w:cs="Times New Roman"/>
          <w:kern w:val="2"/>
          <w:sz w:val="32"/>
          <w:szCs w:val="32"/>
        </w:rPr>
        <w:t>以习近平新时代中国特色社会主义思想为指导，</w:t>
      </w:r>
      <w:r>
        <w:rPr>
          <w:rFonts w:hint="eastAsia" w:ascii="Times New Roman" w:hAnsi="Times New Roman" w:eastAsia="方正仿宋_GBK" w:cs="Times New Roman"/>
          <w:kern w:val="2"/>
          <w:sz w:val="32"/>
          <w:szCs w:val="32"/>
        </w:rPr>
        <w:t>全面</w:t>
      </w:r>
      <w:r>
        <w:rPr>
          <w:rFonts w:ascii="Times New Roman" w:hAnsi="Times New Roman" w:eastAsia="方正仿宋_GBK" w:cs="Times New Roman"/>
          <w:kern w:val="2"/>
          <w:sz w:val="32"/>
          <w:szCs w:val="32"/>
        </w:rPr>
        <w:t>贯彻</w:t>
      </w:r>
      <w:r>
        <w:rPr>
          <w:rFonts w:hint="eastAsia" w:ascii="Times New Roman" w:hAnsi="Times New Roman" w:eastAsia="方正仿宋_GBK" w:cs="Times New Roman"/>
          <w:kern w:val="2"/>
          <w:sz w:val="32"/>
          <w:szCs w:val="32"/>
        </w:rPr>
        <w:t>党的十九大和十九届历次全会</w:t>
      </w:r>
      <w:r>
        <w:rPr>
          <w:rFonts w:ascii="Times New Roman" w:hAnsi="Times New Roman" w:eastAsia="方正仿宋_GBK" w:cs="Times New Roman"/>
          <w:kern w:val="2"/>
          <w:sz w:val="32"/>
          <w:szCs w:val="32"/>
        </w:rPr>
        <w:t>精神，</w:t>
      </w:r>
      <w:r>
        <w:rPr>
          <w:rFonts w:hint="eastAsia" w:ascii="Times New Roman" w:hAnsi="Times New Roman" w:eastAsia="方正仿宋_GBK" w:cs="Times New Roman"/>
          <w:kern w:val="2"/>
          <w:sz w:val="32"/>
          <w:szCs w:val="32"/>
        </w:rPr>
        <w:t>深入贯彻习近平总书记对重庆提出的系列重要指示要求和亲临石柱视察重要指示精神，</w:t>
      </w:r>
      <w:r>
        <w:rPr>
          <w:rFonts w:ascii="Times New Roman" w:hAnsi="Times New Roman" w:eastAsia="方正仿宋_GBK" w:cs="Times New Roman"/>
          <w:kern w:val="2"/>
          <w:sz w:val="32"/>
          <w:szCs w:val="32"/>
        </w:rPr>
        <w:t>认真落实党中央、国务院决策部署和市委、市政府工作要求，</w:t>
      </w:r>
      <w:r>
        <w:rPr>
          <w:rFonts w:hint="eastAsia" w:ascii="Times New Roman" w:hAnsi="Times New Roman" w:eastAsia="方正仿宋_GBK" w:cs="Times New Roman"/>
          <w:kern w:val="2"/>
          <w:sz w:val="32"/>
          <w:szCs w:val="32"/>
        </w:rPr>
        <w:t>坚持稳中求进工作总基调，</w:t>
      </w:r>
      <w:r>
        <w:rPr>
          <w:rFonts w:ascii="Times New Roman" w:hAnsi="Times New Roman" w:eastAsia="方正仿宋_GBK" w:cs="Times New Roman"/>
          <w:kern w:val="2"/>
          <w:sz w:val="32"/>
          <w:szCs w:val="32"/>
        </w:rPr>
        <w:t>统筹疫情防控和经济社会发展，扎实做好“六稳”工作</w:t>
      </w:r>
      <w:r>
        <w:rPr>
          <w:rFonts w:hint="eastAsia" w:ascii="Times New Roman" w:hAnsi="Times New Roman" w:eastAsia="方正仿宋_GBK" w:cs="Times New Roman"/>
          <w:kern w:val="2"/>
          <w:sz w:val="32"/>
          <w:szCs w:val="32"/>
        </w:rPr>
        <w:t>、</w:t>
      </w:r>
      <w:r>
        <w:rPr>
          <w:rFonts w:ascii="Times New Roman" w:hAnsi="Times New Roman" w:eastAsia="方正仿宋_GBK" w:cs="Times New Roman"/>
          <w:kern w:val="2"/>
          <w:sz w:val="32"/>
          <w:szCs w:val="32"/>
        </w:rPr>
        <w:t>落实“六保”任务，</w:t>
      </w:r>
      <w:r>
        <w:rPr>
          <w:rFonts w:hint="eastAsia" w:ascii="Times New Roman" w:hAnsi="Times New Roman" w:eastAsia="方正仿宋_GBK" w:cs="Times New Roman"/>
          <w:kern w:val="2"/>
          <w:sz w:val="32"/>
          <w:szCs w:val="32"/>
        </w:rPr>
        <w:t>积极有效应对各种困难挑战，经济发展稳中向好，社会大局和谐稳定，</w:t>
      </w:r>
      <w:r>
        <w:rPr>
          <w:rFonts w:ascii="Times New Roman" w:hAnsi="Times New Roman" w:eastAsia="方正仿宋_GBK" w:cs="Times New Roman"/>
          <w:kern w:val="2"/>
          <w:sz w:val="32"/>
          <w:szCs w:val="32"/>
        </w:rPr>
        <w:t>实现了“十四五”良好开局。</w:t>
      </w:r>
    </w:p>
    <w:p>
      <w:pPr>
        <w:spacing w:after="0" w:line="560" w:lineRule="exact"/>
        <w:ind w:firstLine="640" w:firstLineChars="200"/>
        <w:jc w:val="both"/>
        <w:rPr>
          <w:rFonts w:ascii="方正黑体_GBK" w:eastAsia="方正黑体_GBK"/>
          <w:sz w:val="32"/>
          <w:szCs w:val="32"/>
        </w:rPr>
      </w:pPr>
      <w:r>
        <w:rPr>
          <w:rFonts w:hint="eastAsia" w:ascii="方正黑体_GBK" w:eastAsia="方正黑体_GBK" w:cs="宋体"/>
          <w:sz w:val="32"/>
          <w:szCs w:val="32"/>
        </w:rPr>
        <w:t>一、综合</w:t>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hint="eastAsia" w:ascii="Times New Roman" w:hAnsi="Times New Roman" w:eastAsia="方正仿宋_GBK" w:cs="Times New Roman"/>
          <w:sz w:val="32"/>
          <w:szCs w:val="32"/>
        </w:rPr>
        <w:t>根据地区生产总值统一</w:t>
      </w:r>
      <w:r>
        <w:rPr>
          <w:rFonts w:ascii="Times New Roman" w:hAnsi="Times New Roman" w:eastAsia="方正仿宋_GBK" w:cs="Times New Roman"/>
          <w:sz w:val="32"/>
          <w:szCs w:val="32"/>
        </w:rPr>
        <w:t>核算</w:t>
      </w:r>
      <w:r>
        <w:rPr>
          <w:rFonts w:hint="eastAsia" w:ascii="Times New Roman" w:hAnsi="Times New Roman" w:eastAsia="方正仿宋_GBK" w:cs="Times New Roman"/>
          <w:sz w:val="32"/>
          <w:szCs w:val="32"/>
        </w:rPr>
        <w:t>结果</w:t>
      </w:r>
      <w:r>
        <w:rPr>
          <w:rFonts w:ascii="Times New Roman" w:hAnsi="Times New Roman" w:eastAsia="方正仿宋_GBK" w:cs="Times New Roman"/>
          <w:sz w:val="32"/>
          <w:szCs w:val="32"/>
        </w:rPr>
        <w:t>，全年实现地区生产总值186.54亿元，比上年增长7.8%，两年平均增长5.1%。按产业分，第一产业增加值33.86亿元，增长8.7%；第二产业增加值43.25亿元，增长4.7%；第三产业增加值109.43亿元，增长8.8%。三次产业结构比为18.1:23.2:58.7</w:t>
      </w:r>
      <w:r>
        <w:rPr>
          <w:rFonts w:ascii="Times New Roman" w:hAnsi="Times New Roman" w:eastAsia="方正仿宋_GBK" w:cs="Times New Roman"/>
          <w:color w:val="0C0C0C" w:themeColor="text1" w:themeTint="F2"/>
          <w:sz w:val="32"/>
          <w:szCs w:val="32"/>
        </w:rPr>
        <w:t>。</w:t>
      </w:r>
      <w:r>
        <w:rPr>
          <w:rFonts w:ascii="Times New Roman" w:hAnsi="Times New Roman" w:eastAsia="方正仿宋_GBK" w:cs="Times New Roman"/>
          <w:sz w:val="32"/>
          <w:szCs w:val="32"/>
        </w:rPr>
        <w:t>按常住人口计算，人均地区生产总值为48004元，比上年增长7.7%。</w:t>
      </w:r>
      <w:r>
        <w:rPr>
          <w:rFonts w:ascii="Times New Roman" w:hAnsi="Times New Roman" w:eastAsia="方正仿宋_GBK" w:cs="Times New Roman"/>
          <w:color w:val="0C0C0C" w:themeColor="text1" w:themeTint="F2"/>
          <w:sz w:val="32"/>
          <w:szCs w:val="32"/>
        </w:rPr>
        <w:t>民营经济增加值101.45亿元，</w:t>
      </w:r>
      <w:r>
        <w:rPr>
          <w:rFonts w:ascii="Times New Roman" w:hAnsi="Times New Roman" w:eastAsia="方正仿宋_GBK" w:cs="Times New Roman"/>
          <w:sz w:val="32"/>
          <w:szCs w:val="32"/>
        </w:rPr>
        <w:t>增长7.6%，占全县经济总量的54.4%。</w:t>
      </w:r>
      <w:r>
        <w:rPr>
          <w:rFonts w:ascii="Times New Roman" w:hAnsi="Times New Roman" w:eastAsia="方正仿宋_GBK" w:cs="Times New Roman"/>
          <w:snapToGrid w:val="0"/>
          <w:sz w:val="32"/>
          <w:szCs w:val="32"/>
        </w:rPr>
        <w:t xml:space="preserve"> “</w:t>
      </w:r>
      <w:r>
        <w:rPr>
          <w:rFonts w:ascii="Times New Roman" w:hAnsi="Times New Roman" w:eastAsia="方正仿宋_GBK" w:cs="Times New Roman"/>
          <w:snapToGrid w:val="0"/>
          <w:color w:val="0C0C0C" w:themeColor="text1" w:themeTint="F2"/>
          <w:sz w:val="32"/>
          <w:szCs w:val="32"/>
        </w:rPr>
        <w:t>大康养”经济占GDP比重达到51.0%。</w:t>
      </w:r>
    </w:p>
    <w:p>
      <w:pPr>
        <w:pStyle w:val="2"/>
        <w:keepNext/>
        <w:spacing w:before="180" w:beforeLines="50" w:after="180" w:afterLines="50"/>
        <w:jc w:val="center"/>
        <w:rPr>
          <w:rFonts w:ascii="宋体" w:hAnsi="宋体" w:eastAsia="宋体"/>
          <w:b/>
          <w:sz w:val="24"/>
          <w:szCs w:val="24"/>
        </w:rPr>
      </w:pPr>
      <w:r>
        <w:rPr>
          <w:rFonts w:hint="eastAsia" w:ascii="宋体" w:hAnsi="宋体" w:eastAsia="宋体"/>
          <w:b/>
          <w:sz w:val="24"/>
          <w:szCs w:val="24"/>
        </w:rPr>
        <w:t>图1  2016-2021年地区生产总值及其增长速度</w:t>
      </w:r>
    </w:p>
    <w:p>
      <w:pPr>
        <w:spacing w:after="0"/>
        <w:jc w:val="center"/>
      </w:pPr>
      <w:r>
        <w:drawing>
          <wp:inline distT="0" distB="0" distL="0" distR="0">
            <wp:extent cx="5486400" cy="22383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年末全县户籍总户数19.23万户，总人口54.61万人，其中男性28.20万人，女性26.41万人，男女性别比为106.79（以女性为100）。年</w:t>
      </w:r>
      <w:r>
        <w:rPr>
          <w:rFonts w:ascii="Times New Roman" w:hAnsi="Times New Roman" w:eastAsia="方正仿宋_GBK" w:cs="Times New Roman"/>
          <w:sz w:val="32"/>
          <w:szCs w:val="32"/>
        </w:rPr>
        <w:t>末常住人口38.80万人，其中城镇人口22.83万人，占常住人口比重（常住人口城镇化率）为58.84%</w:t>
      </w:r>
      <w:r>
        <w:rPr>
          <w:rFonts w:hint="eastAsia" w:ascii="Times New Roman" w:hAnsi="Times New Roman" w:eastAsia="方正仿宋_GBK" w:cs="Times New Roman"/>
          <w:sz w:val="32"/>
          <w:szCs w:val="32"/>
        </w:rPr>
        <w:t>，比上年提高0.95个百分点</w:t>
      </w:r>
      <w:r>
        <w:rPr>
          <w:rFonts w:ascii="Times New Roman" w:hAnsi="Times New Roman" w:eastAsia="方正仿宋_GBK" w:cs="Times New Roman"/>
          <w:sz w:val="32"/>
          <w:szCs w:val="32"/>
        </w:rPr>
        <w:t>。</w:t>
      </w:r>
      <w:r>
        <w:rPr>
          <w:rFonts w:ascii="Times New Roman" w:hAnsi="Times New Roman" w:eastAsia="方正仿宋_GBK" w:cs="Times New Roman"/>
          <w:color w:val="0C0C0C" w:themeColor="text1" w:themeTint="F2"/>
          <w:sz w:val="32"/>
          <w:szCs w:val="32"/>
        </w:rPr>
        <w:t>公安户籍口径出生人口4013人，出生率7.34‰，死亡人口3505人，死亡率6.41‰，人口自然增长率为0.93‰。年末全县城镇新增就业4000人。</w:t>
      </w:r>
    </w:p>
    <w:p>
      <w:pPr>
        <w:spacing w:after="0" w:line="560" w:lineRule="exact"/>
        <w:jc w:val="center"/>
        <w:rPr>
          <w:rFonts w:ascii="宋体" w:hAnsi="宋体" w:eastAsia="宋体" w:cs="Times New Roman"/>
          <w:sz w:val="24"/>
        </w:rPr>
      </w:pPr>
      <w:r>
        <w:rPr>
          <w:rFonts w:ascii="宋体" w:hAnsi="宋体" w:eastAsia="宋体" w:cs="Times New Roman"/>
          <w:b/>
          <w:bCs/>
          <w:sz w:val="24"/>
        </w:rPr>
        <w:t>表1  2021年末石柱县户籍人口数及构成</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84"/>
        <w:gridCol w:w="2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5"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指</w:t>
            </w:r>
            <w:r>
              <w:rPr>
                <w:rFonts w:hint="eastAsia" w:ascii="Times New Roman" w:hAnsi="Times New Roman" w:eastAsia="宋体" w:cs="Times New Roman"/>
                <w:sz w:val="20"/>
                <w:szCs w:val="20"/>
              </w:rPr>
              <w:t xml:space="preserve">  </w:t>
            </w:r>
            <w:r>
              <w:rPr>
                <w:rFonts w:ascii="Times New Roman" w:hAnsi="Times New Roman" w:eastAsia="宋体" w:cs="Times New Roman"/>
                <w:sz w:val="20"/>
                <w:szCs w:val="20"/>
              </w:rPr>
              <w:t>标</w:t>
            </w:r>
          </w:p>
        </w:tc>
        <w:tc>
          <w:tcPr>
            <w:tcW w:w="1668"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年末数（人）</w:t>
            </w:r>
          </w:p>
        </w:tc>
        <w:tc>
          <w:tcPr>
            <w:tcW w:w="1667" w:type="pct"/>
            <w:tcBorders>
              <w:top w:val="single" w:color="auto" w:sz="12" w:space="0"/>
            </w:tcBorders>
            <w:vAlign w:val="center"/>
          </w:tcPr>
          <w:p>
            <w:pPr>
              <w:spacing w:after="0" w:line="300" w:lineRule="exact"/>
              <w:ind w:firstLine="400" w:firstLineChars="200"/>
              <w:jc w:val="center"/>
              <w:rPr>
                <w:rFonts w:ascii="Times New Roman" w:hAnsi="Times New Roman" w:eastAsia="宋体" w:cs="Times New Roman"/>
                <w:sz w:val="20"/>
                <w:szCs w:val="20"/>
              </w:rPr>
            </w:pPr>
            <w:r>
              <w:rPr>
                <w:rFonts w:ascii="Times New Roman" w:hAnsi="Times New Roman" w:eastAsia="宋体" w:cs="Times New Roman"/>
                <w:sz w:val="20"/>
                <w:szCs w:val="20"/>
              </w:rPr>
              <w:t>比重（%）</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全县户籍人口</w:t>
            </w:r>
          </w:p>
        </w:tc>
        <w:tc>
          <w:tcPr>
            <w:tcW w:w="1668" w:type="pct"/>
            <w:tcBorders>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546097</w:t>
            </w:r>
          </w:p>
        </w:tc>
        <w:tc>
          <w:tcPr>
            <w:tcW w:w="1667" w:type="pct"/>
            <w:tcBorders>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100.0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按城乡分</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#乡村人口</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382657</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70.1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城镇人口</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163440</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29.9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按年龄段分</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#18岁以下</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101325</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18.5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18-34岁</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135942</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24.9</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35-59岁</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211735</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38.8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single" w:color="auto" w:sz="12" w:space="0"/>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60岁及以上</w:t>
            </w:r>
          </w:p>
        </w:tc>
        <w:tc>
          <w:tcPr>
            <w:tcW w:w="1668" w:type="pct"/>
            <w:tcBorders>
              <w:top w:val="nil"/>
              <w:bottom w:val="single" w:color="auto" w:sz="12" w:space="0"/>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97095</w:t>
            </w:r>
          </w:p>
        </w:tc>
        <w:tc>
          <w:tcPr>
            <w:tcW w:w="1667" w:type="pct"/>
            <w:tcBorders>
              <w:top w:val="nil"/>
              <w:bottom w:val="single" w:color="auto" w:sz="12" w:space="0"/>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ascii="Times New Roman" w:hAnsi="Times New Roman" w:eastAsia="宋体" w:cs="Times New Roman"/>
                <w:sz w:val="21"/>
                <w:szCs w:val="21"/>
              </w:rPr>
              <w:t>17.8</w:t>
            </w:r>
          </w:p>
        </w:tc>
      </w:tr>
    </w:tbl>
    <w:p>
      <w:pPr>
        <w:spacing w:after="0" w:line="560" w:lineRule="exact"/>
        <w:ind w:firstLine="640" w:firstLineChars="200"/>
        <w:jc w:val="both"/>
        <w:rPr>
          <w:rFonts w:ascii="Times New Roman" w:hAnsi="Times New Roman" w:eastAsia="方正仿宋_GBK" w:cs="Times New Roman"/>
          <w:color w:val="0C0C0C" w:themeColor="text1" w:themeTint="F2"/>
          <w:spacing w:val="-6"/>
          <w:sz w:val="32"/>
          <w:szCs w:val="32"/>
        </w:rPr>
      </w:pPr>
      <w:r>
        <w:rPr>
          <w:rFonts w:ascii="Times New Roman" w:hAnsi="Times New Roman" w:eastAsia="方正仿宋_GBK" w:cs="Times New Roman"/>
          <w:color w:val="0C0C0C" w:themeColor="text1" w:themeTint="F2"/>
          <w:sz w:val="32"/>
          <w:szCs w:val="32"/>
        </w:rPr>
        <w:t>招</w:t>
      </w:r>
      <w:r>
        <w:rPr>
          <w:rFonts w:ascii="Times New Roman" w:hAnsi="Times New Roman" w:eastAsia="方正仿宋_GBK" w:cs="Times New Roman"/>
          <w:color w:val="0C0C0C" w:themeColor="text1" w:themeTint="F2"/>
          <w:spacing w:val="-6"/>
          <w:sz w:val="32"/>
          <w:szCs w:val="32"/>
        </w:rPr>
        <w:t>商工作全面推进，全年招商引资签约项目18个，合同引资157.2亿元，含续建项目在内的实际到位资金36.9亿元。</w:t>
      </w:r>
    </w:p>
    <w:p>
      <w:pPr>
        <w:spacing w:after="0" w:line="560" w:lineRule="exac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二、农业</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完成农林牧渔业总产值53.80亿元，比上年增长8.2%（现价）。其中，农业产值38.46亿元，林业产值2.25亿元，牧业产值10.61亿元，渔业产值1.92亿元，农林牧渔服务业产值0.56亿元。实现农林牧渔业增加值34.24亿元（含农林牧渔专业及辅助性活动），按可比价计算，比上年增长8.7%。</w:t>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sz w:val="32"/>
          <w:szCs w:val="32"/>
        </w:rPr>
        <w:t>全年粮食播种面积66.64万亩，比上年增长0.7%。其中，稻谷种植面积18.31万亩，增长0.1%；玉米种植面积13.16万亩，增长2.3%。</w:t>
      </w:r>
      <w:r>
        <w:rPr>
          <w:rFonts w:ascii="Times New Roman" w:hAnsi="Times New Roman" w:eastAsia="方正仿宋_GBK" w:cs="Times New Roman"/>
          <w:color w:val="0C0C0C" w:themeColor="text1" w:themeTint="F2"/>
          <w:sz w:val="32"/>
          <w:szCs w:val="32"/>
        </w:rPr>
        <w:t>油料种植面积5.26万亩，比上年增长2.6%；烟叶种植面积2.44万亩，下降17.6%。</w:t>
      </w:r>
    </w:p>
    <w:p>
      <w:pPr>
        <w:pStyle w:val="2"/>
        <w:keepNext/>
        <w:spacing w:before="180" w:beforeLines="50" w:after="180" w:afterLines="50"/>
        <w:jc w:val="center"/>
        <w:rPr>
          <w:rFonts w:ascii="宋体" w:hAnsi="宋体" w:eastAsia="宋体"/>
          <w:b/>
          <w:sz w:val="24"/>
          <w:szCs w:val="24"/>
        </w:rPr>
      </w:pPr>
      <w:r>
        <w:rPr>
          <w:rFonts w:hint="eastAsia" w:ascii="宋体" w:hAnsi="宋体" w:eastAsia="宋体"/>
          <w:b/>
          <w:sz w:val="24"/>
          <w:szCs w:val="24"/>
        </w:rPr>
        <w:t>图2  2016-2021年粮食产量及其增长速度</w:t>
      </w:r>
    </w:p>
    <w:p>
      <w:pPr>
        <w:spacing w:after="0"/>
      </w:pPr>
      <w:r>
        <w:drawing>
          <wp:inline distT="0" distB="0" distL="0" distR="0">
            <wp:extent cx="5486400" cy="2343150"/>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粮食产量22.35万吨，比上年增加0.32万吨，增产1.5%。其中，夏粮产量5.96万吨，增产0.3%；秋粮产量16.39万吨，增产1.9%。粮食综合单产335公斤/亩，增长0.7%。主要粮食品种中，稻谷产量8.36万吨，增产1.5%；玉米产量5.50万吨，增产2.3%；薯类产量7.92万吨，增产0.9%。</w:t>
      </w:r>
      <w:r>
        <w:rPr>
          <w:rFonts w:ascii="Times New Roman" w:hAnsi="Times New Roman" w:eastAsia="方正仿宋_GBK" w:cs="Times New Roman"/>
          <w:color w:val="0C0C0C" w:themeColor="text1" w:themeTint="F2"/>
          <w:spacing w:val="-12"/>
          <w:sz w:val="32"/>
          <w:szCs w:val="32"/>
        </w:rPr>
        <w:t>油料产量0.70万吨，增产6.1%；烟叶产量0.30万</w:t>
      </w:r>
      <w:r>
        <w:rPr>
          <w:rFonts w:ascii="Times New Roman" w:hAnsi="Times New Roman" w:eastAsia="方正仿宋_GBK" w:cs="Times New Roman"/>
          <w:color w:val="0C0C0C" w:themeColor="text1" w:themeTint="F2"/>
          <w:spacing w:val="-6"/>
          <w:sz w:val="32"/>
          <w:szCs w:val="32"/>
        </w:rPr>
        <w:t>吨，减产17.0%；蔬菜产量50.01万吨，增产5.8%。</w:t>
      </w:r>
    </w:p>
    <w:p>
      <w:pPr>
        <w:spacing w:after="0" w:line="560" w:lineRule="exact"/>
        <w:ind w:firstLine="640" w:firstLineChars="200"/>
        <w:jc w:val="both"/>
        <w:rPr>
          <w:rFonts w:ascii="Times New Roman" w:hAnsi="Times New Roman" w:eastAsia="方正仿宋_GBK" w:cs="Times New Roman"/>
          <w:spacing w:val="-8"/>
          <w:sz w:val="32"/>
          <w:szCs w:val="32"/>
        </w:rPr>
      </w:pPr>
      <w:r>
        <w:rPr>
          <w:rFonts w:ascii="Times New Roman" w:hAnsi="Times New Roman" w:eastAsia="方正仿宋_GBK" w:cs="Times New Roman"/>
          <w:sz w:val="32"/>
          <w:szCs w:val="32"/>
        </w:rPr>
        <w:t>全</w:t>
      </w:r>
      <w:r>
        <w:rPr>
          <w:rFonts w:ascii="Times New Roman" w:hAnsi="Times New Roman" w:eastAsia="方正仿宋_GBK" w:cs="Times New Roman"/>
          <w:spacing w:val="-8"/>
          <w:sz w:val="32"/>
          <w:szCs w:val="32"/>
        </w:rPr>
        <w:t>年肉类总产量2.81万吨（不含兔肉及其他肉产量），比上年增长16.1%。其中，猪肉产量1.96万吨，增长22.2%；牛肉产量0.43万吨，增长5.3%；羊肉产量0.11万吨，增长1.8%；禽肉产量0.31万吨，增长3.4%。生猪出栏24.82万头，增长17.7%</w:t>
      </w:r>
      <w:r>
        <w:rPr>
          <w:rFonts w:hint="eastAsia" w:ascii="Times New Roman" w:hAnsi="Times New Roman" w:eastAsia="方正仿宋_GBK" w:cs="Times New Roman"/>
          <w:spacing w:val="-8"/>
          <w:sz w:val="32"/>
          <w:szCs w:val="32"/>
        </w:rPr>
        <w:t>。</w:t>
      </w:r>
      <w:r>
        <w:rPr>
          <w:rFonts w:ascii="Times New Roman" w:hAnsi="Times New Roman" w:eastAsia="方正仿宋_GBK" w:cs="Times New Roman"/>
          <w:spacing w:val="-8"/>
          <w:sz w:val="32"/>
          <w:szCs w:val="32"/>
        </w:rPr>
        <w:t>年末生猪存栏14.83万头，增长7.0%</w:t>
      </w:r>
      <w:r>
        <w:rPr>
          <w:rFonts w:hint="eastAsia" w:ascii="Times New Roman" w:hAnsi="Times New Roman" w:eastAsia="方正仿宋_GBK" w:cs="Times New Roman"/>
          <w:spacing w:val="-8"/>
          <w:sz w:val="32"/>
          <w:szCs w:val="32"/>
        </w:rPr>
        <w:t>。</w:t>
      </w:r>
      <w:r>
        <w:rPr>
          <w:rFonts w:ascii="Times New Roman" w:hAnsi="Times New Roman" w:eastAsia="方正仿宋_GBK" w:cs="Times New Roman"/>
          <w:spacing w:val="-8"/>
          <w:sz w:val="32"/>
          <w:szCs w:val="32"/>
        </w:rPr>
        <w:t>禽蛋产量0.29万吨，下降5.9%。</w:t>
      </w:r>
    </w:p>
    <w:p>
      <w:pPr>
        <w:spacing w:after="0" w:line="560" w:lineRule="exact"/>
        <w:ind w:firstLine="640" w:firstLineChars="200"/>
        <w:jc w:val="both"/>
        <w:rPr>
          <w:rFonts w:ascii="宋体" w:hAnsi="宋体" w:eastAsia="宋体" w:cs="宋体"/>
          <w:b/>
          <w:bCs/>
          <w:sz w:val="24"/>
        </w:rPr>
      </w:pPr>
      <w:r>
        <w:rPr>
          <w:rFonts w:ascii="Times New Roman" w:hAnsi="Times New Roman" w:eastAsia="方正仿宋_GBK" w:cs="Times New Roman"/>
          <w:sz w:val="32"/>
          <w:szCs w:val="32"/>
        </w:rPr>
        <w:t>全年水产品产量0.43万吨，增长9.2%。</w:t>
      </w:r>
    </w:p>
    <w:p>
      <w:pPr>
        <w:spacing w:after="0" w:line="560" w:lineRule="exact"/>
        <w:jc w:val="center"/>
        <w:rPr>
          <w:rFonts w:ascii="宋体" w:hAnsi="宋体" w:eastAsia="宋体" w:cs="Times New Roman"/>
          <w:sz w:val="24"/>
        </w:rPr>
      </w:pPr>
      <w:r>
        <w:rPr>
          <w:rFonts w:ascii="宋体" w:hAnsi="宋体" w:eastAsia="宋体" w:cs="Times New Roman"/>
          <w:b/>
          <w:bCs/>
          <w:sz w:val="24"/>
        </w:rPr>
        <w:t>表2  2021年主要农产品产量及其增长速度</w:t>
      </w:r>
    </w:p>
    <w:tbl>
      <w:tblPr>
        <w:tblStyle w:val="8"/>
        <w:tblW w:w="5000" w:type="pct"/>
        <w:jc w:val="center"/>
        <w:tblLayout w:type="autofit"/>
        <w:tblCellMar>
          <w:top w:w="0" w:type="dxa"/>
          <w:left w:w="108" w:type="dxa"/>
          <w:bottom w:w="0" w:type="dxa"/>
          <w:right w:w="108" w:type="dxa"/>
        </w:tblCellMar>
      </w:tblPr>
      <w:tblGrid>
        <w:gridCol w:w="3677"/>
        <w:gridCol w:w="2508"/>
        <w:gridCol w:w="2761"/>
      </w:tblGrid>
      <w:tr>
        <w:tblPrEx>
          <w:tblCellMar>
            <w:top w:w="0" w:type="dxa"/>
            <w:left w:w="108" w:type="dxa"/>
            <w:bottom w:w="0" w:type="dxa"/>
            <w:right w:w="108" w:type="dxa"/>
          </w:tblCellMar>
        </w:tblPrEx>
        <w:trPr>
          <w:trHeight w:val="454" w:hRule="exact"/>
          <w:jc w:val="center"/>
        </w:trPr>
        <w:tc>
          <w:tcPr>
            <w:tcW w:w="2055"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产品名称</w:t>
            </w:r>
          </w:p>
        </w:tc>
        <w:tc>
          <w:tcPr>
            <w:tcW w:w="1402"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产量</w:t>
            </w:r>
          </w:p>
        </w:tc>
        <w:tc>
          <w:tcPr>
            <w:tcW w:w="1543" w:type="pct"/>
            <w:tcBorders>
              <w:top w:val="single" w:color="auto" w:sz="12" w:space="0"/>
              <w:left w:val="nil"/>
              <w:bottom w:val="single" w:color="auto" w:sz="8" w:space="0"/>
              <w:righ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比上年增长（%）</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粮食（万吨）</w:t>
            </w:r>
          </w:p>
        </w:tc>
        <w:tc>
          <w:tcPr>
            <w:tcW w:w="1402"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22.35</w:t>
            </w:r>
          </w:p>
        </w:tc>
        <w:tc>
          <w:tcPr>
            <w:tcW w:w="1543" w:type="pct"/>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1.5</w:t>
            </w:r>
          </w:p>
        </w:tc>
      </w:tr>
      <w:tr>
        <w:tblPrEx>
          <w:tblCellMar>
            <w:top w:w="0" w:type="dxa"/>
            <w:left w:w="108" w:type="dxa"/>
            <w:bottom w:w="0" w:type="dxa"/>
            <w:right w:w="108" w:type="dxa"/>
          </w:tblCellMar>
        </w:tblPrEx>
        <w:trPr>
          <w:trHeight w:val="397" w:hRule="exact"/>
          <w:jc w:val="center"/>
        </w:trPr>
        <w:tc>
          <w:tcPr>
            <w:tcW w:w="205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出栏生猪（万头）</w:t>
            </w:r>
          </w:p>
        </w:tc>
        <w:tc>
          <w:tcPr>
            <w:tcW w:w="1402"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24.82</w:t>
            </w:r>
          </w:p>
        </w:tc>
        <w:tc>
          <w:tcPr>
            <w:tcW w:w="1543" w:type="pct"/>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17.7</w:t>
            </w:r>
          </w:p>
        </w:tc>
      </w:tr>
      <w:tr>
        <w:tblPrEx>
          <w:tblCellMar>
            <w:top w:w="0" w:type="dxa"/>
            <w:left w:w="108" w:type="dxa"/>
            <w:bottom w:w="0" w:type="dxa"/>
            <w:right w:w="108" w:type="dxa"/>
          </w:tblCellMar>
        </w:tblPrEx>
        <w:trPr>
          <w:trHeight w:val="397" w:hRule="exact"/>
          <w:jc w:val="center"/>
        </w:trPr>
        <w:tc>
          <w:tcPr>
            <w:tcW w:w="205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出栏牛（万头）</w:t>
            </w:r>
          </w:p>
        </w:tc>
        <w:tc>
          <w:tcPr>
            <w:tcW w:w="1402"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3.23</w:t>
            </w:r>
          </w:p>
        </w:tc>
        <w:tc>
          <w:tcPr>
            <w:tcW w:w="1543" w:type="pct"/>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5.0</w:t>
            </w:r>
          </w:p>
        </w:tc>
      </w:tr>
      <w:tr>
        <w:tblPrEx>
          <w:tblCellMar>
            <w:top w:w="0" w:type="dxa"/>
            <w:left w:w="108" w:type="dxa"/>
            <w:bottom w:w="0" w:type="dxa"/>
            <w:right w:w="108" w:type="dxa"/>
          </w:tblCellMar>
        </w:tblPrEx>
        <w:trPr>
          <w:trHeight w:val="397" w:hRule="exact"/>
          <w:jc w:val="center"/>
        </w:trPr>
        <w:tc>
          <w:tcPr>
            <w:tcW w:w="205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出栏羊（万只）</w:t>
            </w:r>
          </w:p>
        </w:tc>
        <w:tc>
          <w:tcPr>
            <w:tcW w:w="1402"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7.57</w:t>
            </w:r>
          </w:p>
        </w:tc>
        <w:tc>
          <w:tcPr>
            <w:tcW w:w="1543" w:type="pct"/>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2.6</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出栏家禽（万只）</w:t>
            </w:r>
          </w:p>
        </w:tc>
        <w:tc>
          <w:tcPr>
            <w:tcW w:w="1402"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198.33</w:t>
            </w:r>
          </w:p>
        </w:tc>
        <w:tc>
          <w:tcPr>
            <w:tcW w:w="1543" w:type="pct"/>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3.4</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猪肉（万吨）</w:t>
            </w:r>
          </w:p>
        </w:tc>
        <w:tc>
          <w:tcPr>
            <w:tcW w:w="1402"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1.96</w:t>
            </w:r>
          </w:p>
        </w:tc>
        <w:tc>
          <w:tcPr>
            <w:tcW w:w="1543" w:type="pct"/>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22.2</w:t>
            </w:r>
          </w:p>
        </w:tc>
      </w:tr>
      <w:tr>
        <w:tblPrEx>
          <w:tblCellMar>
            <w:top w:w="0" w:type="dxa"/>
            <w:left w:w="108" w:type="dxa"/>
            <w:bottom w:w="0" w:type="dxa"/>
            <w:right w:w="108" w:type="dxa"/>
          </w:tblCellMar>
        </w:tblPrEx>
        <w:trPr>
          <w:trHeight w:val="397" w:hRule="exact"/>
          <w:jc w:val="center"/>
        </w:trPr>
        <w:tc>
          <w:tcPr>
            <w:tcW w:w="2055"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hint="eastAsia" w:ascii="Times New Roman" w:hAnsi="Times New Roman" w:cs="Times New Roman" w:eastAsiaTheme="minorEastAsia"/>
                <w:sz w:val="21"/>
                <w:szCs w:val="21"/>
              </w:rPr>
              <w:t>水产品（万吨）</w:t>
            </w:r>
          </w:p>
        </w:tc>
        <w:tc>
          <w:tcPr>
            <w:tcW w:w="1402" w:type="pct"/>
            <w:tcBorders>
              <w:top w:val="nil"/>
              <w:left w:val="nil"/>
              <w:bottom w:val="single" w:color="auto" w:sz="12" w:space="0"/>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0.43</w:t>
            </w:r>
          </w:p>
        </w:tc>
        <w:tc>
          <w:tcPr>
            <w:tcW w:w="1543" w:type="pct"/>
            <w:tcBorders>
              <w:top w:val="nil"/>
              <w:left w:val="nil"/>
              <w:bottom w:val="single" w:color="auto" w:sz="12" w:space="0"/>
              <w:right w:val="nil"/>
            </w:tcBorders>
            <w:vAlign w:val="center"/>
          </w:tcPr>
          <w:p>
            <w:pPr>
              <w:spacing w:after="0" w:line="300" w:lineRule="exact"/>
              <w:jc w:val="right"/>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9.2</w:t>
            </w:r>
          </w:p>
        </w:tc>
      </w:tr>
    </w:tbl>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三、工业和建筑业</w:t>
      </w:r>
    </w:p>
    <w:p>
      <w:pPr>
        <w:spacing w:after="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全年实现</w:t>
      </w:r>
      <w:r>
        <w:rPr>
          <w:rFonts w:ascii="Times New Roman" w:hAnsi="Times New Roman" w:eastAsia="方正仿宋_GBK" w:cs="Times New Roman"/>
          <w:sz w:val="32"/>
          <w:szCs w:val="32"/>
        </w:rPr>
        <w:t>工业增加值28.00亿元，</w:t>
      </w:r>
      <w:r>
        <w:rPr>
          <w:rFonts w:hint="eastAsia" w:ascii="Times New Roman" w:hAnsi="Times New Roman" w:eastAsia="方正仿宋_GBK" w:cs="Times New Roman"/>
          <w:sz w:val="32"/>
          <w:szCs w:val="32"/>
        </w:rPr>
        <w:t>比上年</w:t>
      </w:r>
      <w:r>
        <w:rPr>
          <w:rFonts w:ascii="Times New Roman" w:hAnsi="Times New Roman" w:eastAsia="方正仿宋_GBK" w:cs="Times New Roman"/>
          <w:sz w:val="32"/>
          <w:szCs w:val="32"/>
        </w:rPr>
        <w:t>增长7.5%，工业经济比重15.0%。规模以上工业增加值比</w:t>
      </w:r>
      <w:r>
        <w:rPr>
          <w:rFonts w:hint="eastAsia" w:ascii="Times New Roman" w:hAnsi="Times New Roman" w:eastAsia="方正仿宋_GBK" w:cs="Times New Roman"/>
          <w:sz w:val="32"/>
          <w:szCs w:val="32"/>
        </w:rPr>
        <w:t>上年</w:t>
      </w:r>
      <w:r>
        <w:rPr>
          <w:rFonts w:ascii="Times New Roman" w:hAnsi="Times New Roman" w:eastAsia="方正仿宋_GBK" w:cs="Times New Roman"/>
          <w:sz w:val="32"/>
          <w:szCs w:val="32"/>
        </w:rPr>
        <w:t>增长8.4%。分门类看，采矿业</w:t>
      </w:r>
      <w:r>
        <w:rPr>
          <w:rFonts w:hint="eastAsia" w:ascii="Times New Roman" w:hAnsi="Times New Roman" w:eastAsia="方正仿宋_GBK" w:cs="Times New Roman"/>
          <w:sz w:val="32"/>
          <w:szCs w:val="32"/>
        </w:rPr>
        <w:t>下降</w:t>
      </w:r>
      <w:r>
        <w:rPr>
          <w:rFonts w:ascii="Times New Roman" w:hAnsi="Times New Roman" w:eastAsia="方正仿宋_GBK" w:cs="Times New Roman"/>
          <w:sz w:val="32"/>
          <w:szCs w:val="32"/>
        </w:rPr>
        <w:t>3.2%，制造业增长2.9%，电力、热力、燃气及水生产和供应业增长22.1%。</w:t>
      </w:r>
    </w:p>
    <w:p>
      <w:pPr>
        <w:spacing w:after="0" w:line="560" w:lineRule="exact"/>
        <w:ind w:firstLine="640" w:firstLineChars="200"/>
        <w:jc w:val="both"/>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全年规模以上工业产值75.25亿元，比上年增长16.2%。其中，轻</w:t>
      </w:r>
      <w:r>
        <w:rPr>
          <w:rFonts w:ascii="Times New Roman" w:hAnsi="Times New Roman" w:eastAsia="方正仿宋_GBK" w:cs="Times New Roman"/>
          <w:spacing w:val="-6"/>
          <w:sz w:val="32"/>
          <w:szCs w:val="32"/>
        </w:rPr>
        <w:t>工业产值28.80亿元，增长61.5%；重工业产值46.45亿元，下降1.0%。分门类看，采矿业产值0.41亿元，下降58.6%；制造业产值51.16亿元，增长9.6%；电力、热力、燃气及水生产和供应业产值23.68亿元，增长38.6%。实现工业销售产值75.08亿元，增长16.1%；工业产品出口交货值0.23亿元，下降66.8%。</w:t>
      </w:r>
    </w:p>
    <w:p>
      <w:pPr>
        <w:spacing w:after="0" w:line="560" w:lineRule="exact"/>
        <w:jc w:val="center"/>
        <w:rPr>
          <w:rFonts w:ascii="宋体" w:hAnsi="宋体" w:eastAsia="宋体" w:cs="Times New Roman"/>
          <w:sz w:val="24"/>
        </w:rPr>
      </w:pPr>
      <w:r>
        <w:rPr>
          <w:rFonts w:ascii="宋体" w:hAnsi="宋体" w:eastAsia="宋体" w:cs="Times New Roman"/>
          <w:b/>
          <w:bCs/>
          <w:sz w:val="24"/>
        </w:rPr>
        <w:t>表3  2021年规模以上工业主要产品产量及其增长速度</w:t>
      </w:r>
    </w:p>
    <w:tbl>
      <w:tblPr>
        <w:tblStyle w:val="8"/>
        <w:tblW w:w="5000" w:type="pct"/>
        <w:jc w:val="center"/>
        <w:tblLayout w:type="autofit"/>
        <w:tblCellMar>
          <w:top w:w="0" w:type="dxa"/>
          <w:left w:w="108" w:type="dxa"/>
          <w:bottom w:w="0" w:type="dxa"/>
          <w:right w:w="108" w:type="dxa"/>
        </w:tblCellMar>
      </w:tblPr>
      <w:tblGrid>
        <w:gridCol w:w="2872"/>
        <w:gridCol w:w="1959"/>
        <w:gridCol w:w="1959"/>
        <w:gridCol w:w="2156"/>
      </w:tblGrid>
      <w:tr>
        <w:tblPrEx>
          <w:tblCellMar>
            <w:top w:w="0" w:type="dxa"/>
            <w:left w:w="108" w:type="dxa"/>
            <w:bottom w:w="0" w:type="dxa"/>
            <w:right w:w="108" w:type="dxa"/>
          </w:tblCellMar>
        </w:tblPrEx>
        <w:trPr>
          <w:trHeight w:val="454" w:hRule="exact"/>
          <w:jc w:val="center"/>
        </w:trPr>
        <w:tc>
          <w:tcPr>
            <w:tcW w:w="1605"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工业品名称</w:t>
            </w:r>
          </w:p>
        </w:tc>
        <w:tc>
          <w:tcPr>
            <w:tcW w:w="1095"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单位</w:t>
            </w:r>
          </w:p>
        </w:tc>
        <w:tc>
          <w:tcPr>
            <w:tcW w:w="1095" w:type="pct"/>
            <w:tcBorders>
              <w:top w:val="single" w:color="auto" w:sz="12" w:space="0"/>
              <w:left w:val="nil"/>
              <w:bottom w:val="single" w:color="auto" w:sz="8"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产量</w:t>
            </w:r>
          </w:p>
        </w:tc>
        <w:tc>
          <w:tcPr>
            <w:tcW w:w="1205" w:type="pct"/>
            <w:tcBorders>
              <w:top w:val="single" w:color="auto" w:sz="12" w:space="0"/>
              <w:left w:val="nil"/>
              <w:bottom w:val="single" w:color="auto" w:sz="8" w:space="0"/>
              <w:righ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比上年增长（%）</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企业用电量</w:t>
            </w:r>
            <w:r>
              <w:rPr>
                <w:rFonts w:ascii="Times New Roman" w:hAnsi="Times New Roman" w:cs="Times New Roman" w:eastAsiaTheme="minorEastAsia"/>
                <w:spacing w:val="-14"/>
                <w:sz w:val="18"/>
                <w:szCs w:val="18"/>
              </w:rPr>
              <w:t>（不含电力公司）</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万度</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33382</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14.2</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发电量</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万度</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350205</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37.6</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鞋</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万双</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889</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-22.2</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ind w:firstLine="210" w:firstLineChars="100"/>
              <w:rPr>
                <w:rFonts w:ascii="Times New Roman" w:hAnsi="Times New Roman" w:cs="Times New Roman" w:eastAsiaTheme="minorEastAsia"/>
                <w:sz w:val="21"/>
                <w:szCs w:val="21"/>
              </w:rPr>
            </w:pPr>
            <w:r>
              <w:rPr>
                <w:rFonts w:ascii="Times New Roman" w:hAnsi="Times New Roman" w:eastAsia="宋体" w:cs="Times New Roman"/>
                <w:sz w:val="21"/>
                <w:szCs w:val="21"/>
              </w:rPr>
              <w:t>#皮革鞋靴</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万双</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796</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-21.7</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鲜冷藏冻肉</w:t>
            </w:r>
          </w:p>
        </w:tc>
        <w:tc>
          <w:tcPr>
            <w:tcW w:w="1095"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吨</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1040</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-9.2</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熟肉制品</w:t>
            </w:r>
          </w:p>
        </w:tc>
        <w:tc>
          <w:tcPr>
            <w:tcW w:w="1095"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吨</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121</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w:t>
            </w:r>
            <w:r>
              <w:rPr>
                <w:rFonts w:hint="eastAsia" w:ascii="Times New Roman" w:hAnsi="Times New Roman" w:eastAsia="宋体" w:cs="Times New Roman"/>
                <w:color w:val="000000"/>
                <w:sz w:val="21"/>
                <w:szCs w:val="21"/>
              </w:rPr>
              <w:t>.0</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啤酒</w:t>
            </w:r>
          </w:p>
        </w:tc>
        <w:tc>
          <w:tcPr>
            <w:tcW w:w="1095"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千升</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24112</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34.5</w:t>
            </w:r>
          </w:p>
        </w:tc>
      </w:tr>
      <w:tr>
        <w:tblPrEx>
          <w:tblCellMar>
            <w:top w:w="0" w:type="dxa"/>
            <w:left w:w="108" w:type="dxa"/>
            <w:bottom w:w="0" w:type="dxa"/>
            <w:right w:w="108" w:type="dxa"/>
          </w:tblCellMar>
        </w:tblPrEx>
        <w:trPr>
          <w:trHeight w:val="397" w:hRule="exact"/>
          <w:jc w:val="center"/>
        </w:trPr>
        <w:tc>
          <w:tcPr>
            <w:tcW w:w="1605" w:type="pct"/>
            <w:tcBorders>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自来水生产量</w:t>
            </w:r>
          </w:p>
        </w:tc>
        <w:tc>
          <w:tcPr>
            <w:tcW w:w="1095" w:type="pct"/>
            <w:tcBorders>
              <w:top w:val="nil"/>
              <w:left w:val="single" w:color="auto" w:sz="8" w:space="0"/>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万立方米</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2020</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42.8</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配混合饲料</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吨</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6198</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绒线</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吨</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138</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人造板</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立方米</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141688</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6.2</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蚕丝及交织机织物</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万米</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69</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服装</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万件</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25.4</w:t>
            </w:r>
          </w:p>
        </w:tc>
        <w:tc>
          <w:tcPr>
            <w:tcW w:w="1205" w:type="pct"/>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-24.1</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移动通信手持机</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万台</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122.02</w:t>
            </w:r>
          </w:p>
        </w:tc>
        <w:tc>
          <w:tcPr>
            <w:tcW w:w="1205" w:type="pct"/>
            <w:tcBorders>
              <w:top w:val="nil"/>
              <w:left w:val="nil"/>
              <w:bottom w:val="nil"/>
              <w:right w:val="nil"/>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33.1</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ind w:firstLine="210" w:firstLineChars="100"/>
              <w:rPr>
                <w:rFonts w:ascii="Times New Roman" w:hAnsi="Times New Roman" w:cs="Times New Roman" w:eastAsiaTheme="minorEastAsia"/>
                <w:sz w:val="21"/>
                <w:szCs w:val="21"/>
              </w:rPr>
            </w:pPr>
            <w:r>
              <w:rPr>
                <w:rFonts w:ascii="Times New Roman" w:hAnsi="Times New Roman" w:eastAsia="宋体" w:cs="Times New Roman"/>
                <w:sz w:val="21"/>
                <w:szCs w:val="21"/>
              </w:rPr>
              <w:t>#</w:t>
            </w:r>
            <w:r>
              <w:rPr>
                <w:rFonts w:ascii="Times New Roman" w:hAnsi="Times New Roman" w:cs="Times New Roman" w:eastAsiaTheme="minorEastAsia"/>
                <w:sz w:val="21"/>
                <w:szCs w:val="21"/>
              </w:rPr>
              <w:t>智能手机</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万台</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25.78</w:t>
            </w:r>
          </w:p>
        </w:tc>
        <w:tc>
          <w:tcPr>
            <w:tcW w:w="1205" w:type="pct"/>
            <w:tcBorders>
              <w:top w:val="nil"/>
              <w:left w:val="nil"/>
              <w:bottom w:val="nil"/>
              <w:right w:val="nil"/>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22.9</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锂离子电池</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万只</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1962</w:t>
            </w:r>
          </w:p>
        </w:tc>
        <w:tc>
          <w:tcPr>
            <w:tcW w:w="1205" w:type="pct"/>
            <w:tcBorders>
              <w:top w:val="nil"/>
              <w:left w:val="nil"/>
              <w:bottom w:val="nil"/>
              <w:right w:val="nil"/>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同期为137</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电子元件</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万只</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17039</w:t>
            </w:r>
          </w:p>
        </w:tc>
        <w:tc>
          <w:tcPr>
            <w:tcW w:w="1205" w:type="pct"/>
            <w:tcBorders>
              <w:top w:val="nil"/>
              <w:left w:val="nil"/>
              <w:bottom w:val="nil"/>
              <w:right w:val="nil"/>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28.4</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nil"/>
              <w:right w:val="single" w:color="auto" w:sz="8" w:space="0"/>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商品混凝土</w:t>
            </w:r>
          </w:p>
        </w:tc>
        <w:tc>
          <w:tcPr>
            <w:tcW w:w="1095" w:type="pct"/>
            <w:tcBorders>
              <w:top w:val="nil"/>
              <w:left w:val="nil"/>
              <w:bottom w:val="nil"/>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万立方米</w:t>
            </w:r>
          </w:p>
        </w:tc>
        <w:tc>
          <w:tcPr>
            <w:tcW w:w="1095" w:type="pct"/>
            <w:tcBorders>
              <w:top w:val="nil"/>
              <w:left w:val="nil"/>
              <w:bottom w:val="nil"/>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41.15</w:t>
            </w:r>
          </w:p>
        </w:tc>
        <w:tc>
          <w:tcPr>
            <w:tcW w:w="1205" w:type="pct"/>
            <w:tcBorders>
              <w:top w:val="nil"/>
              <w:left w:val="nil"/>
              <w:bottom w:val="nil"/>
              <w:right w:val="nil"/>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-22.8</w:t>
            </w:r>
          </w:p>
        </w:tc>
      </w:tr>
      <w:tr>
        <w:tblPrEx>
          <w:tblCellMar>
            <w:top w:w="0" w:type="dxa"/>
            <w:left w:w="108" w:type="dxa"/>
            <w:bottom w:w="0" w:type="dxa"/>
            <w:right w:w="108" w:type="dxa"/>
          </w:tblCellMar>
        </w:tblPrEx>
        <w:trPr>
          <w:trHeight w:val="397" w:hRule="exact"/>
          <w:jc w:val="center"/>
        </w:trPr>
        <w:tc>
          <w:tcPr>
            <w:tcW w:w="1605"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水泥</w:t>
            </w:r>
          </w:p>
        </w:tc>
        <w:tc>
          <w:tcPr>
            <w:tcW w:w="1095" w:type="pct"/>
            <w:tcBorders>
              <w:top w:val="nil"/>
              <w:left w:val="nil"/>
              <w:bottom w:val="single" w:color="auto" w:sz="12" w:space="0"/>
              <w:right w:val="single" w:color="auto" w:sz="8"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万吨</w:t>
            </w:r>
          </w:p>
        </w:tc>
        <w:tc>
          <w:tcPr>
            <w:tcW w:w="1095" w:type="pct"/>
            <w:tcBorders>
              <w:top w:val="nil"/>
              <w:left w:val="nil"/>
              <w:bottom w:val="single" w:color="auto" w:sz="12" w:space="0"/>
              <w:right w:val="single" w:color="auto" w:sz="8" w:space="0"/>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91.74</w:t>
            </w:r>
          </w:p>
        </w:tc>
        <w:tc>
          <w:tcPr>
            <w:tcW w:w="1205" w:type="pct"/>
            <w:tcBorders>
              <w:top w:val="nil"/>
              <w:left w:val="nil"/>
              <w:bottom w:val="single" w:color="auto" w:sz="12" w:space="0"/>
              <w:right w:val="nil"/>
            </w:tcBorders>
            <w:vAlign w:val="center"/>
          </w:tcPr>
          <w:p>
            <w:pPr>
              <w:spacing w:after="0" w:line="300" w:lineRule="exact"/>
              <w:jc w:val="righ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-12.8</w:t>
            </w:r>
          </w:p>
        </w:tc>
      </w:tr>
    </w:tbl>
    <w:p>
      <w:pPr>
        <w:spacing w:after="0" w:line="560" w:lineRule="exact"/>
        <w:ind w:firstLine="640" w:firstLineChars="200"/>
        <w:jc w:val="both"/>
        <w:rPr>
          <w:rFonts w:ascii="Times New Roman" w:hAnsi="Times New Roman" w:eastAsia="方正仿宋_GBK" w:cs="Times New Roman"/>
          <w:spacing w:val="-6"/>
          <w:sz w:val="32"/>
          <w:szCs w:val="32"/>
        </w:rPr>
      </w:pPr>
      <w:r>
        <w:rPr>
          <w:rFonts w:ascii="Times New Roman" w:hAnsi="Times New Roman" w:eastAsia="方正仿宋_GBK" w:cs="Times New Roman"/>
          <w:sz w:val="32"/>
          <w:szCs w:val="32"/>
        </w:rPr>
        <w:t>2021年末，全县规模以上工业企业48家，全年完成营业收入74.08亿元，增长15.5%，利润总额10.63亿元，增长192.0%。规模以上工业企业每百元营业收入中的成本为77.07元，比上年减少6.71元；营业收入利润率为13.69%，比上年提高8.25个百分点；资产利润率为7.56%，比上年末提高2.12个百分点。</w:t>
      </w:r>
    </w:p>
    <w:p>
      <w:pPr>
        <w:spacing w:after="0" w:line="600" w:lineRule="exact"/>
        <w:ind w:firstLine="624" w:firstLineChars="200"/>
        <w:jc w:val="both"/>
        <w:rPr>
          <w:rFonts w:ascii="Times New Roman" w:hAnsi="Times New Roman" w:eastAsia="方正仿宋_GBK" w:cs="Times New Roman"/>
          <w:sz w:val="32"/>
          <w:szCs w:val="32"/>
        </w:rPr>
      </w:pPr>
      <w:r>
        <w:rPr>
          <w:rFonts w:ascii="Times New Roman" w:hAnsi="Times New Roman" w:eastAsia="方正仿宋_GBK" w:cs="Times New Roman"/>
          <w:spacing w:val="-4"/>
          <w:sz w:val="32"/>
          <w:szCs w:val="32"/>
        </w:rPr>
        <w:t>全年实现建筑业增加值15.25亿元，比上年下降0.6%。年末全县注册具有资质等级的总承包和专业承包建筑业企业47家，其中资质等级一级1家、二级5家、三级41家，</w:t>
      </w:r>
      <w:r>
        <w:rPr>
          <w:rFonts w:ascii="Times New Roman" w:hAnsi="Times New Roman" w:eastAsia="方正仿宋_GBK" w:cs="Times New Roman"/>
          <w:sz w:val="32"/>
          <w:szCs w:val="32"/>
        </w:rPr>
        <w:t>年末从业人员7203人</w:t>
      </w:r>
      <w:r>
        <w:rPr>
          <w:rFonts w:ascii="Times New Roman" w:hAnsi="Times New Roman" w:eastAsia="方正仿宋_GBK" w:cs="Times New Roman"/>
          <w:spacing w:val="-4"/>
          <w:sz w:val="32"/>
          <w:szCs w:val="32"/>
        </w:rPr>
        <w:t>。注册地建筑企业全年完成建筑业总产值18.61亿元，比上年增长32.6%。</w:t>
      </w:r>
    </w:p>
    <w:p>
      <w:pPr>
        <w:pStyle w:val="2"/>
        <w:keepNext/>
        <w:spacing w:before="180" w:beforeLines="50" w:after="180" w:afterLines="50"/>
        <w:jc w:val="center"/>
        <w:rPr>
          <w:rFonts w:ascii="宋体" w:hAnsi="宋体" w:eastAsia="宋体" w:cs="Times New Roman"/>
          <w:b/>
          <w:sz w:val="24"/>
          <w:szCs w:val="24"/>
        </w:rPr>
      </w:pPr>
      <w:r>
        <w:rPr>
          <w:rFonts w:ascii="宋体" w:hAnsi="宋体" w:eastAsia="宋体" w:cs="Times New Roman"/>
          <w:b/>
          <w:sz w:val="24"/>
          <w:szCs w:val="24"/>
        </w:rPr>
        <w:t>图3  2016-2021年建筑业增加值及其增长速度</w:t>
      </w:r>
    </w:p>
    <w:p>
      <w:pPr>
        <w:spacing w:after="0"/>
        <w:jc w:val="center"/>
      </w:pPr>
      <w:r>
        <w:drawing>
          <wp:inline distT="0" distB="0" distL="0" distR="0">
            <wp:extent cx="5486400" cy="2809875"/>
            <wp:effectExtent l="0" t="0" r="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0" w:line="60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四、服务业</w:t>
      </w:r>
    </w:p>
    <w:p>
      <w:pPr>
        <w:spacing w:after="0" w:line="60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批发和零售业增加值20.86亿元，比上年增长20.3%；交通运输、仓储和邮政业增加值5.02亿元，增长2.2%；住宿和餐饮业增加值4.68亿元，增长6.3%；金融业增加值14.65亿元，增长7.1%；房地产业增加值11.26亿元，增长4.5%；其他服务业增加值52.96亿元，增长7.1%。</w:t>
      </w:r>
    </w:p>
    <w:p>
      <w:pPr>
        <w:spacing w:after="0" w:line="60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全年货物运输总量</w:t>
      </w:r>
      <w:r>
        <w:rPr>
          <w:rFonts w:hint="eastAsia" w:ascii="Times New Roman" w:hAnsi="Times New Roman" w:eastAsia="方正仿宋_GBK" w:cs="Times New Roman"/>
          <w:color w:val="0C0C0C" w:themeColor="text1" w:themeTint="F2"/>
          <w:sz w:val="32"/>
          <w:szCs w:val="32"/>
        </w:rPr>
        <w:t>723</w:t>
      </w:r>
      <w:r>
        <w:rPr>
          <w:rFonts w:ascii="Times New Roman" w:hAnsi="Times New Roman" w:eastAsia="方正仿宋_GBK" w:cs="Times New Roman"/>
          <w:color w:val="0C0C0C" w:themeColor="text1" w:themeTint="F2"/>
          <w:sz w:val="32"/>
          <w:szCs w:val="32"/>
        </w:rPr>
        <w:t>万吨，其中公路货物运输量</w:t>
      </w:r>
      <w:r>
        <w:rPr>
          <w:rFonts w:hint="eastAsia" w:ascii="Times New Roman" w:hAnsi="Times New Roman" w:eastAsia="方正仿宋_GBK" w:cs="Times New Roman"/>
          <w:color w:val="0C0C0C" w:themeColor="text1" w:themeTint="F2"/>
          <w:sz w:val="32"/>
          <w:szCs w:val="32"/>
        </w:rPr>
        <w:t>719</w:t>
      </w:r>
      <w:r>
        <w:rPr>
          <w:rFonts w:ascii="Times New Roman" w:hAnsi="Times New Roman" w:eastAsia="方正仿宋_GBK" w:cs="Times New Roman"/>
          <w:color w:val="0C0C0C" w:themeColor="text1" w:themeTint="F2"/>
          <w:sz w:val="32"/>
          <w:szCs w:val="32"/>
        </w:rPr>
        <w:t>万吨。货物运输周转量</w:t>
      </w:r>
      <w:r>
        <w:rPr>
          <w:rFonts w:hint="eastAsia" w:ascii="Times New Roman" w:hAnsi="Times New Roman" w:eastAsia="方正仿宋_GBK" w:cs="Times New Roman"/>
          <w:color w:val="0C0C0C" w:themeColor="text1" w:themeTint="F2"/>
          <w:sz w:val="32"/>
          <w:szCs w:val="32"/>
        </w:rPr>
        <w:t>67578</w:t>
      </w:r>
      <w:r>
        <w:rPr>
          <w:rFonts w:ascii="Times New Roman" w:hAnsi="Times New Roman" w:eastAsia="方正仿宋_GBK" w:cs="Times New Roman"/>
          <w:color w:val="0C0C0C" w:themeColor="text1" w:themeTint="F2"/>
          <w:sz w:val="32"/>
          <w:szCs w:val="32"/>
        </w:rPr>
        <w:t>万吨公里，</w:t>
      </w:r>
      <w:r>
        <w:rPr>
          <w:rFonts w:hint="eastAsia" w:ascii="Times New Roman" w:hAnsi="Times New Roman" w:eastAsia="方正仿宋_GBK" w:cs="Times New Roman"/>
          <w:color w:val="0C0C0C" w:themeColor="text1" w:themeTint="F2"/>
          <w:sz w:val="32"/>
          <w:szCs w:val="32"/>
        </w:rPr>
        <w:t>下降1.6</w:t>
      </w:r>
      <w:r>
        <w:rPr>
          <w:rFonts w:ascii="Times New Roman" w:hAnsi="Times New Roman" w:eastAsia="方正仿宋_GBK" w:cs="Times New Roman"/>
          <w:color w:val="0C0C0C" w:themeColor="text1" w:themeTint="F2"/>
          <w:sz w:val="32"/>
          <w:szCs w:val="32"/>
        </w:rPr>
        <w:t>%，其中公路货物运输周转量</w:t>
      </w:r>
      <w:r>
        <w:rPr>
          <w:rFonts w:hint="eastAsia" w:ascii="Times New Roman" w:hAnsi="Times New Roman" w:eastAsia="方正仿宋_GBK" w:cs="Times New Roman"/>
          <w:color w:val="0C0C0C" w:themeColor="text1" w:themeTint="F2"/>
          <w:sz w:val="32"/>
          <w:szCs w:val="32"/>
        </w:rPr>
        <w:t>67005</w:t>
      </w:r>
      <w:r>
        <w:rPr>
          <w:rFonts w:ascii="Times New Roman" w:hAnsi="Times New Roman" w:eastAsia="方正仿宋_GBK" w:cs="Times New Roman"/>
          <w:color w:val="0C0C0C" w:themeColor="text1" w:themeTint="F2"/>
          <w:sz w:val="32"/>
          <w:szCs w:val="32"/>
        </w:rPr>
        <w:t>万吨公里。</w:t>
      </w:r>
    </w:p>
    <w:p>
      <w:pPr>
        <w:spacing w:after="0" w:line="560" w:lineRule="exact"/>
        <w:jc w:val="center"/>
        <w:rPr>
          <w:rFonts w:ascii="宋体" w:hAnsi="宋体" w:eastAsia="宋体" w:cs="Times New Roman"/>
          <w:sz w:val="24"/>
        </w:rPr>
      </w:pPr>
      <w:r>
        <w:rPr>
          <w:rFonts w:ascii="宋体" w:hAnsi="宋体" w:eastAsia="宋体" w:cs="Times New Roman"/>
          <w:b/>
          <w:bCs/>
          <w:sz w:val="24"/>
        </w:rPr>
        <w:t>表</w:t>
      </w:r>
      <w:r>
        <w:rPr>
          <w:rFonts w:hint="eastAsia" w:ascii="宋体" w:hAnsi="宋体" w:eastAsia="宋体" w:cs="Times New Roman"/>
          <w:b/>
          <w:bCs/>
          <w:sz w:val="24"/>
        </w:rPr>
        <w:t>4</w:t>
      </w:r>
      <w:r>
        <w:rPr>
          <w:rFonts w:ascii="宋体" w:hAnsi="宋体" w:eastAsia="宋体" w:cs="Times New Roman"/>
          <w:b/>
          <w:bCs/>
          <w:sz w:val="24"/>
        </w:rPr>
        <w:t xml:space="preserve">  202</w:t>
      </w:r>
      <w:r>
        <w:rPr>
          <w:rFonts w:hint="eastAsia" w:ascii="宋体" w:hAnsi="宋体" w:eastAsia="宋体" w:cs="Times New Roman"/>
          <w:b/>
          <w:bCs/>
          <w:sz w:val="24"/>
        </w:rPr>
        <w:t>1</w:t>
      </w:r>
      <w:r>
        <w:rPr>
          <w:rFonts w:ascii="宋体" w:hAnsi="宋体" w:eastAsia="宋体" w:cs="Times New Roman"/>
          <w:b/>
          <w:bCs/>
          <w:sz w:val="24"/>
        </w:rPr>
        <w:t>年各种运输方式货物运输量及其增长速度</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9"/>
        <w:gridCol w:w="2984"/>
        <w:gridCol w:w="298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5"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标</w:t>
            </w:r>
          </w:p>
        </w:tc>
        <w:tc>
          <w:tcPr>
            <w:tcW w:w="1668"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绝对量</w:t>
            </w:r>
          </w:p>
        </w:tc>
        <w:tc>
          <w:tcPr>
            <w:tcW w:w="1667"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比上年增长（%）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5" w:type="pct"/>
            <w:tcBorders>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货物运输量（万吨）</w:t>
            </w:r>
          </w:p>
        </w:tc>
        <w:tc>
          <w:tcPr>
            <w:tcW w:w="1668" w:type="pct"/>
            <w:tcBorders>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723</w:t>
            </w:r>
          </w:p>
        </w:tc>
        <w:tc>
          <w:tcPr>
            <w:tcW w:w="1667" w:type="pct"/>
            <w:tcBorders>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13.1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719</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17.3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5"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货物周转量（万吨公里）</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67578</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665" w:type="pct"/>
            <w:tcBorders>
              <w:top w:val="nil"/>
              <w:bottom w:val="single" w:color="auto" w:sz="12" w:space="0"/>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single" w:color="auto" w:sz="12" w:space="0"/>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67005</w:t>
            </w:r>
          </w:p>
        </w:tc>
        <w:tc>
          <w:tcPr>
            <w:tcW w:w="1667" w:type="pct"/>
            <w:tcBorders>
              <w:top w:val="nil"/>
              <w:bottom w:val="single" w:color="auto" w:sz="12" w:space="0"/>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4.4</w:t>
            </w:r>
          </w:p>
        </w:tc>
      </w:tr>
    </w:tbl>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全年旅客运输量</w:t>
      </w:r>
      <w:r>
        <w:rPr>
          <w:rFonts w:hint="eastAsia" w:ascii="Times New Roman" w:hAnsi="Times New Roman" w:eastAsia="方正仿宋_GBK" w:cs="Times New Roman"/>
          <w:color w:val="0C0C0C" w:themeColor="text1" w:themeTint="F2"/>
          <w:sz w:val="32"/>
          <w:szCs w:val="32"/>
        </w:rPr>
        <w:t>594.19</w:t>
      </w:r>
      <w:r>
        <w:rPr>
          <w:rFonts w:ascii="Times New Roman" w:hAnsi="Times New Roman" w:eastAsia="方正仿宋_GBK" w:cs="Times New Roman"/>
          <w:color w:val="0C0C0C" w:themeColor="text1" w:themeTint="F2"/>
          <w:sz w:val="32"/>
          <w:szCs w:val="32"/>
        </w:rPr>
        <w:t>万人次，比上年下降</w:t>
      </w:r>
      <w:r>
        <w:rPr>
          <w:rFonts w:hint="eastAsia" w:ascii="Times New Roman" w:hAnsi="Times New Roman" w:eastAsia="方正仿宋_GBK" w:cs="Times New Roman"/>
          <w:color w:val="0C0C0C" w:themeColor="text1" w:themeTint="F2"/>
          <w:sz w:val="32"/>
          <w:szCs w:val="32"/>
        </w:rPr>
        <w:t>13.5</w:t>
      </w:r>
      <w:r>
        <w:rPr>
          <w:rFonts w:ascii="Times New Roman" w:hAnsi="Times New Roman" w:eastAsia="方正仿宋_GBK" w:cs="Times New Roman"/>
          <w:color w:val="0C0C0C" w:themeColor="text1" w:themeTint="F2"/>
          <w:sz w:val="32"/>
          <w:szCs w:val="32"/>
        </w:rPr>
        <w:t>%，其中铁路旅客发送量</w:t>
      </w:r>
      <w:r>
        <w:rPr>
          <w:rFonts w:hint="eastAsia" w:ascii="Times New Roman" w:hAnsi="Times New Roman" w:eastAsia="方正仿宋_GBK" w:cs="Times New Roman"/>
          <w:color w:val="0C0C0C" w:themeColor="text1" w:themeTint="F2"/>
          <w:sz w:val="32"/>
          <w:szCs w:val="32"/>
        </w:rPr>
        <w:t>109.78</w:t>
      </w:r>
      <w:r>
        <w:rPr>
          <w:rFonts w:ascii="Times New Roman" w:hAnsi="Times New Roman" w:eastAsia="方正仿宋_GBK" w:cs="Times New Roman"/>
          <w:color w:val="0C0C0C" w:themeColor="text1" w:themeTint="F2"/>
          <w:sz w:val="32"/>
          <w:szCs w:val="32"/>
        </w:rPr>
        <w:t>万人次。旅客运输周转量</w:t>
      </w:r>
      <w:r>
        <w:rPr>
          <w:rFonts w:hint="eastAsia" w:ascii="Times New Roman" w:hAnsi="Times New Roman" w:eastAsia="方正仿宋_GBK" w:cs="Times New Roman"/>
          <w:color w:val="0C0C0C" w:themeColor="text1" w:themeTint="F2"/>
          <w:sz w:val="32"/>
          <w:szCs w:val="32"/>
        </w:rPr>
        <w:t>22507</w:t>
      </w:r>
      <w:r>
        <w:rPr>
          <w:rFonts w:ascii="Times New Roman" w:hAnsi="Times New Roman" w:eastAsia="方正仿宋_GBK" w:cs="Times New Roman"/>
          <w:color w:val="0C0C0C" w:themeColor="text1" w:themeTint="F2"/>
          <w:sz w:val="32"/>
          <w:szCs w:val="32"/>
        </w:rPr>
        <w:t>万人公里（不含铁路），下降</w:t>
      </w:r>
      <w:r>
        <w:rPr>
          <w:rFonts w:hint="eastAsia" w:ascii="Times New Roman" w:hAnsi="Times New Roman" w:eastAsia="方正仿宋_GBK" w:cs="Times New Roman"/>
          <w:color w:val="0C0C0C" w:themeColor="text1" w:themeTint="F2"/>
          <w:sz w:val="32"/>
          <w:szCs w:val="32"/>
        </w:rPr>
        <w:t>13.8</w:t>
      </w:r>
      <w:r>
        <w:rPr>
          <w:rFonts w:ascii="Times New Roman" w:hAnsi="Times New Roman" w:eastAsia="方正仿宋_GBK" w:cs="Times New Roman"/>
          <w:color w:val="0C0C0C" w:themeColor="text1" w:themeTint="F2"/>
          <w:sz w:val="32"/>
          <w:szCs w:val="32"/>
        </w:rPr>
        <w:t>%。</w:t>
      </w:r>
    </w:p>
    <w:p>
      <w:pPr>
        <w:spacing w:after="0" w:line="560" w:lineRule="exact"/>
        <w:jc w:val="center"/>
        <w:rPr>
          <w:rFonts w:ascii="宋体" w:hAnsi="宋体" w:eastAsia="宋体" w:cs="Times New Roman"/>
          <w:sz w:val="24"/>
        </w:rPr>
      </w:pPr>
      <w:r>
        <w:rPr>
          <w:rFonts w:ascii="宋体" w:hAnsi="宋体" w:eastAsia="宋体" w:cs="Times New Roman"/>
          <w:b/>
          <w:bCs/>
          <w:sz w:val="24"/>
        </w:rPr>
        <w:t>表</w:t>
      </w:r>
      <w:r>
        <w:rPr>
          <w:rFonts w:hint="eastAsia" w:ascii="宋体" w:hAnsi="宋体" w:eastAsia="宋体" w:cs="Times New Roman"/>
          <w:b/>
          <w:bCs/>
          <w:sz w:val="24"/>
        </w:rPr>
        <w:t>5</w:t>
      </w:r>
      <w:r>
        <w:rPr>
          <w:rFonts w:ascii="宋体" w:hAnsi="宋体" w:eastAsia="宋体" w:cs="Times New Roman"/>
          <w:b/>
          <w:bCs/>
          <w:sz w:val="24"/>
        </w:rPr>
        <w:t xml:space="preserve">  202</w:t>
      </w:r>
      <w:r>
        <w:rPr>
          <w:rFonts w:hint="eastAsia" w:ascii="宋体" w:hAnsi="宋体" w:eastAsia="宋体" w:cs="Times New Roman"/>
          <w:b/>
          <w:bCs/>
          <w:sz w:val="24"/>
        </w:rPr>
        <w:t>1</w:t>
      </w:r>
      <w:r>
        <w:rPr>
          <w:rFonts w:ascii="宋体" w:hAnsi="宋体" w:eastAsia="宋体" w:cs="Times New Roman"/>
          <w:b/>
          <w:bCs/>
          <w:sz w:val="24"/>
        </w:rPr>
        <w:t>年各种运输方式旅客运输量及其增长速度</w:t>
      </w:r>
    </w:p>
    <w:tbl>
      <w:tblPr>
        <w:tblStyle w:val="8"/>
        <w:tblW w:w="4992"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2980"/>
        <w:gridCol w:w="29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665"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标</w:t>
            </w:r>
          </w:p>
        </w:tc>
        <w:tc>
          <w:tcPr>
            <w:tcW w:w="1668"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绝对量</w:t>
            </w:r>
          </w:p>
        </w:tc>
        <w:tc>
          <w:tcPr>
            <w:tcW w:w="1667" w:type="pct"/>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比上年增长（%）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旅客运输量（万人次）</w:t>
            </w:r>
          </w:p>
        </w:tc>
        <w:tc>
          <w:tcPr>
            <w:tcW w:w="1668" w:type="pct"/>
            <w:tcBorders>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594.19</w:t>
            </w:r>
          </w:p>
        </w:tc>
        <w:tc>
          <w:tcPr>
            <w:tcW w:w="1667" w:type="pct"/>
            <w:tcBorders>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-13.5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480.4</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水运</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4.01</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50.2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铁路</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109.78</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18.8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rPr>
                <w:rFonts w:ascii="Times New Roman" w:hAnsi="Times New Roman" w:eastAsia="宋体" w:cs="Times New Roman"/>
                <w:sz w:val="21"/>
                <w:szCs w:val="21"/>
              </w:rPr>
            </w:pPr>
            <w:r>
              <w:rPr>
                <w:rFonts w:ascii="Times New Roman" w:hAnsi="Times New Roman" w:eastAsia="宋体" w:cs="Times New Roman"/>
                <w:sz w:val="21"/>
                <w:szCs w:val="21"/>
              </w:rPr>
              <w:t>旅客周转量（万人公里）</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22507</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#公路</w:t>
            </w:r>
          </w:p>
        </w:tc>
        <w:tc>
          <w:tcPr>
            <w:tcW w:w="1668"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22474</w:t>
            </w:r>
          </w:p>
        </w:tc>
        <w:tc>
          <w:tcPr>
            <w:tcW w:w="1667" w:type="pct"/>
            <w:tcBorders>
              <w:top w:val="nil"/>
              <w:bottom w:val="nil"/>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-13.8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1665" w:type="pct"/>
            <w:tcBorders>
              <w:top w:val="nil"/>
              <w:bottom w:val="single" w:color="auto" w:sz="12" w:space="0"/>
            </w:tcBorders>
            <w:vAlign w:val="center"/>
          </w:tcPr>
          <w:p>
            <w:pPr>
              <w:spacing w:after="0" w:line="300" w:lineRule="exact"/>
              <w:ind w:firstLine="315" w:firstLineChars="150"/>
              <w:rPr>
                <w:rFonts w:ascii="Times New Roman" w:hAnsi="Times New Roman" w:eastAsia="宋体" w:cs="Times New Roman"/>
                <w:sz w:val="21"/>
                <w:szCs w:val="21"/>
              </w:rPr>
            </w:pPr>
            <w:r>
              <w:rPr>
                <w:rFonts w:ascii="Times New Roman" w:hAnsi="Times New Roman" w:eastAsia="宋体" w:cs="Times New Roman"/>
                <w:sz w:val="21"/>
                <w:szCs w:val="21"/>
              </w:rPr>
              <w:t>水运</w:t>
            </w:r>
          </w:p>
        </w:tc>
        <w:tc>
          <w:tcPr>
            <w:tcW w:w="1668" w:type="pct"/>
            <w:tcBorders>
              <w:top w:val="nil"/>
              <w:bottom w:val="single" w:color="auto" w:sz="12" w:space="0"/>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33</w:t>
            </w:r>
          </w:p>
        </w:tc>
        <w:tc>
          <w:tcPr>
            <w:tcW w:w="1667" w:type="pct"/>
            <w:tcBorders>
              <w:top w:val="nil"/>
              <w:bottom w:val="single" w:color="auto" w:sz="12" w:space="0"/>
            </w:tcBorders>
            <w:vAlign w:val="center"/>
          </w:tcPr>
          <w:p>
            <w:pPr>
              <w:spacing w:after="0" w:line="300" w:lineRule="exact"/>
              <w:ind w:firstLine="420" w:firstLineChars="200"/>
              <w:jc w:val="right"/>
              <w:rPr>
                <w:rFonts w:ascii="Times New Roman" w:hAnsi="Times New Roman" w:eastAsia="宋体" w:cs="Times New Roman"/>
                <w:sz w:val="21"/>
                <w:szCs w:val="21"/>
              </w:rPr>
            </w:pPr>
            <w:r>
              <w:rPr>
                <w:rFonts w:hint="eastAsia" w:ascii="Times New Roman" w:hAnsi="Times New Roman" w:eastAsia="宋体" w:cs="Times New Roman"/>
                <w:sz w:val="21"/>
                <w:szCs w:val="21"/>
              </w:rPr>
              <w:t>35.8</w:t>
            </w:r>
          </w:p>
        </w:tc>
      </w:tr>
    </w:tbl>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全县年末含村道路在内的公路里程</w:t>
      </w:r>
      <w:r>
        <w:rPr>
          <w:rFonts w:hint="eastAsia" w:ascii="Times New Roman" w:hAnsi="Times New Roman" w:eastAsia="方正仿宋_GBK" w:cs="Times New Roman"/>
          <w:color w:val="0C0C0C" w:themeColor="text1" w:themeTint="F2"/>
          <w:sz w:val="32"/>
          <w:szCs w:val="32"/>
        </w:rPr>
        <w:t>5557</w:t>
      </w:r>
      <w:r>
        <w:rPr>
          <w:rFonts w:ascii="Times New Roman" w:hAnsi="Times New Roman" w:eastAsia="方正仿宋_GBK" w:cs="Times New Roman"/>
          <w:color w:val="0C0C0C" w:themeColor="text1" w:themeTint="F2"/>
          <w:sz w:val="32"/>
          <w:szCs w:val="32"/>
        </w:rPr>
        <w:t>公里，年末技术等级公路里程分别是：国道</w:t>
      </w:r>
      <w:r>
        <w:rPr>
          <w:rFonts w:hint="eastAsia" w:ascii="Times New Roman" w:hAnsi="Times New Roman" w:eastAsia="方正仿宋_GBK" w:cs="Times New Roman"/>
          <w:color w:val="0C0C0C" w:themeColor="text1" w:themeTint="F2"/>
          <w:sz w:val="32"/>
          <w:szCs w:val="32"/>
        </w:rPr>
        <w:t>336</w:t>
      </w:r>
      <w:r>
        <w:rPr>
          <w:rFonts w:ascii="Times New Roman" w:hAnsi="Times New Roman" w:eastAsia="方正仿宋_GBK" w:cs="Times New Roman"/>
          <w:color w:val="0C0C0C" w:themeColor="text1" w:themeTint="F2"/>
          <w:sz w:val="32"/>
          <w:szCs w:val="32"/>
        </w:rPr>
        <w:t>公里、省道</w:t>
      </w:r>
      <w:r>
        <w:rPr>
          <w:rFonts w:hint="eastAsia" w:ascii="Times New Roman" w:hAnsi="Times New Roman" w:eastAsia="方正仿宋_GBK" w:cs="Times New Roman"/>
          <w:color w:val="0C0C0C" w:themeColor="text1" w:themeTint="F2"/>
          <w:sz w:val="32"/>
          <w:szCs w:val="32"/>
        </w:rPr>
        <w:t>255</w:t>
      </w:r>
      <w:r>
        <w:rPr>
          <w:rFonts w:ascii="Times New Roman" w:hAnsi="Times New Roman" w:eastAsia="方正仿宋_GBK" w:cs="Times New Roman"/>
          <w:color w:val="0C0C0C" w:themeColor="text1" w:themeTint="F2"/>
          <w:sz w:val="32"/>
          <w:szCs w:val="32"/>
        </w:rPr>
        <w:t>公里、县道</w:t>
      </w:r>
      <w:r>
        <w:rPr>
          <w:rFonts w:hint="eastAsia" w:ascii="Times New Roman" w:hAnsi="Times New Roman" w:eastAsia="方正仿宋_GBK" w:cs="Times New Roman"/>
          <w:color w:val="0C0C0C" w:themeColor="text1" w:themeTint="F2"/>
          <w:sz w:val="32"/>
          <w:szCs w:val="32"/>
        </w:rPr>
        <w:t>293</w:t>
      </w:r>
      <w:r>
        <w:rPr>
          <w:rFonts w:ascii="Times New Roman" w:hAnsi="Times New Roman" w:eastAsia="方正仿宋_GBK" w:cs="Times New Roman"/>
          <w:color w:val="0C0C0C" w:themeColor="text1" w:themeTint="F2"/>
          <w:sz w:val="32"/>
          <w:szCs w:val="32"/>
        </w:rPr>
        <w:t>公里、乡道</w:t>
      </w:r>
      <w:r>
        <w:rPr>
          <w:rFonts w:hint="eastAsia" w:ascii="Times New Roman" w:hAnsi="Times New Roman" w:eastAsia="方正仿宋_GBK" w:cs="Times New Roman"/>
          <w:color w:val="0C0C0C" w:themeColor="text1" w:themeTint="F2"/>
          <w:sz w:val="32"/>
          <w:szCs w:val="32"/>
        </w:rPr>
        <w:t>530</w:t>
      </w:r>
      <w:r>
        <w:rPr>
          <w:rFonts w:ascii="Times New Roman" w:hAnsi="Times New Roman" w:eastAsia="方正仿宋_GBK" w:cs="Times New Roman"/>
          <w:color w:val="0C0C0C" w:themeColor="text1" w:themeTint="F2"/>
          <w:sz w:val="32"/>
          <w:szCs w:val="32"/>
        </w:rPr>
        <w:t>公里、村道</w:t>
      </w:r>
      <w:r>
        <w:rPr>
          <w:rFonts w:hint="eastAsia" w:ascii="Times New Roman" w:hAnsi="Times New Roman" w:eastAsia="方正仿宋_GBK" w:cs="Times New Roman"/>
          <w:color w:val="0C0C0C" w:themeColor="text1" w:themeTint="F2"/>
          <w:sz w:val="32"/>
          <w:szCs w:val="32"/>
        </w:rPr>
        <w:t>4143</w:t>
      </w:r>
      <w:r>
        <w:rPr>
          <w:rFonts w:ascii="Times New Roman" w:hAnsi="Times New Roman" w:eastAsia="方正仿宋_GBK" w:cs="Times New Roman"/>
          <w:color w:val="0C0C0C" w:themeColor="text1" w:themeTint="F2"/>
          <w:sz w:val="32"/>
          <w:szCs w:val="32"/>
        </w:rPr>
        <w:t>公里。</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0C0C0C" w:themeColor="text1" w:themeTint="F2"/>
          <w:sz w:val="32"/>
          <w:szCs w:val="32"/>
        </w:rPr>
        <w:t>全年完成邮政业务总量1.17亿元，比上年增长8.4%。</w:t>
      </w:r>
      <w:r>
        <w:rPr>
          <w:rFonts w:ascii="Times New Roman" w:hAnsi="Times New Roman" w:eastAsia="方正仿宋_GBK" w:cs="Times New Roman"/>
          <w:sz w:val="32"/>
          <w:szCs w:val="32"/>
        </w:rPr>
        <w:t>邮政业全年完成邮政函件业务</w:t>
      </w:r>
      <w:r>
        <w:rPr>
          <w:rFonts w:hint="eastAsia" w:ascii="Times New Roman" w:hAnsi="Times New Roman" w:eastAsia="方正仿宋_GBK" w:cs="Times New Roman"/>
          <w:sz w:val="32"/>
          <w:szCs w:val="32"/>
        </w:rPr>
        <w:t>4.13</w:t>
      </w:r>
      <w:r>
        <w:rPr>
          <w:rFonts w:ascii="Times New Roman" w:hAnsi="Times New Roman" w:eastAsia="方正仿宋_GBK" w:cs="Times New Roman"/>
          <w:sz w:val="32"/>
          <w:szCs w:val="32"/>
        </w:rPr>
        <w:t>万件，快递业务</w:t>
      </w:r>
      <w:r>
        <w:rPr>
          <w:rFonts w:hint="eastAsia" w:ascii="Times New Roman" w:hAnsi="Times New Roman" w:eastAsia="方正仿宋_GBK" w:cs="Times New Roman"/>
          <w:sz w:val="32"/>
          <w:szCs w:val="32"/>
        </w:rPr>
        <w:t>71.42</w:t>
      </w:r>
      <w:r>
        <w:rPr>
          <w:rFonts w:ascii="Times New Roman" w:hAnsi="Times New Roman" w:eastAsia="方正仿宋_GBK" w:cs="Times New Roman"/>
          <w:sz w:val="32"/>
          <w:szCs w:val="32"/>
        </w:rPr>
        <w:t>万件，报刊业务累计完成</w:t>
      </w:r>
      <w:r>
        <w:rPr>
          <w:rFonts w:hint="eastAsia" w:ascii="Times New Roman" w:hAnsi="Times New Roman" w:eastAsia="方正仿宋_GBK" w:cs="Times New Roman"/>
          <w:sz w:val="32"/>
          <w:szCs w:val="32"/>
        </w:rPr>
        <w:t>182</w:t>
      </w:r>
      <w:r>
        <w:rPr>
          <w:rFonts w:ascii="Times New Roman" w:hAnsi="Times New Roman" w:eastAsia="方正仿宋_GBK" w:cs="Times New Roman"/>
          <w:sz w:val="32"/>
          <w:szCs w:val="32"/>
        </w:rPr>
        <w:t>万份。</w:t>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全年完成电信业务总量2.66亿元，比上年增长3.1%。年末全县电话用户48.54万户，其中移动电话用户45.83万户。互联网用户53.63万户，其中移动互联网用户35.61万户</w:t>
      </w:r>
      <w:r>
        <w:rPr>
          <w:rFonts w:hint="eastAsia" w:ascii="Times New Roman" w:hAnsi="Times New Roman" w:eastAsia="方正仿宋_GBK" w:cs="Times New Roman"/>
          <w:color w:val="0C0C0C" w:themeColor="text1" w:themeTint="F2"/>
          <w:sz w:val="32"/>
          <w:szCs w:val="32"/>
        </w:rPr>
        <w:t>，</w:t>
      </w:r>
      <w:r>
        <w:rPr>
          <w:rFonts w:ascii="Times New Roman" w:hAnsi="Times New Roman" w:eastAsia="方正仿宋_GBK" w:cs="Times New Roman"/>
          <w:color w:val="0C0C0C" w:themeColor="text1" w:themeTint="F2"/>
          <w:sz w:val="32"/>
          <w:szCs w:val="32"/>
        </w:rPr>
        <w:t>固定互联网宽带接入用户18.02万户，比上年末增加3.98万户</w:t>
      </w:r>
      <w:r>
        <w:rPr>
          <w:rFonts w:hint="eastAsia" w:ascii="Times New Roman" w:hAnsi="Times New Roman" w:eastAsia="方正仿宋_GBK" w:cs="Times New Roman"/>
          <w:color w:val="0C0C0C" w:themeColor="text1" w:themeTint="F2"/>
          <w:sz w:val="32"/>
          <w:szCs w:val="32"/>
        </w:rPr>
        <w:t>；</w:t>
      </w:r>
      <w:r>
        <w:rPr>
          <w:rFonts w:ascii="Times New Roman" w:hAnsi="Times New Roman" w:eastAsia="方正仿宋_GBK" w:cs="Times New Roman"/>
          <w:color w:val="0C0C0C" w:themeColor="text1" w:themeTint="F2"/>
          <w:sz w:val="32"/>
          <w:szCs w:val="32"/>
        </w:rPr>
        <w:t>手机上网用户35.59万户。</w:t>
      </w:r>
    </w:p>
    <w:p>
      <w:pPr>
        <w:spacing w:after="0" w:line="560" w:lineRule="exact"/>
        <w:ind w:firstLine="640" w:firstLineChars="200"/>
        <w:jc w:val="both"/>
        <w:rPr>
          <w:rFonts w:ascii="方正黑体_GBK" w:hAnsi="宋体" w:eastAsia="方正黑体_GBK" w:cs="宋体"/>
          <w:color w:val="000000"/>
          <w:sz w:val="32"/>
          <w:szCs w:val="32"/>
        </w:rPr>
      </w:pPr>
      <w:r>
        <w:rPr>
          <w:rFonts w:hint="eastAsia" w:ascii="方正黑体_GBK" w:hAnsi="宋体" w:eastAsia="方正黑体_GBK" w:cs="宋体"/>
          <w:color w:val="000000"/>
          <w:sz w:val="32"/>
          <w:szCs w:val="32"/>
        </w:rPr>
        <w:t>五、国内外贸易</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社会消费品零售总额97.38亿元，比上年增长17.7%。按经营地统计，城镇消费品零售额65.24亿元，增长17.0%；乡村消费品零售额32.14亿元，增长19.2%。按消费类型统计，批发零售业零售额81.11亿元，增长18.3%；住宿餐饮业零售额16.27亿元，增长14.9%。</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限额以上法人企业商品零售额中，粮油、食品类比上年增长60.8%，饮料类和烟酒类增长9.7%，服装、鞋帽、针纺织品类增长10.5%，化妆品类下降26.6%，日用品类增长89.4%，五金、电料类增长3.4%，体育、娱乐用品类增长30.5%，家用电器和音像器材类下降0.4%，中西药品类下降23.8%，文化办公用品类增长39.1%，家具类增长5.7%，通讯器材类下降14.8%，石油及制品类增长13.0%，建筑及装潢材料类下降5.4%，机电产品及设备类下降63.4%，汽车类下降31.8%。</w:t>
      </w:r>
    </w:p>
    <w:p>
      <w:pPr>
        <w:pStyle w:val="2"/>
        <w:keepNext/>
        <w:spacing w:before="180" w:beforeLines="50" w:after="180" w:afterLines="50"/>
        <w:jc w:val="center"/>
        <w:rPr>
          <w:rFonts w:ascii="宋体" w:hAnsi="宋体" w:eastAsia="宋体" w:cs="Times New Roman"/>
          <w:b/>
          <w:sz w:val="24"/>
          <w:szCs w:val="24"/>
        </w:rPr>
      </w:pPr>
      <w:r>
        <w:rPr>
          <w:rFonts w:ascii="宋体" w:hAnsi="宋体" w:eastAsia="宋体" w:cs="Times New Roman"/>
          <w:b/>
          <w:sz w:val="24"/>
          <w:szCs w:val="24"/>
        </w:rPr>
        <w:t>图4  2016-2021年社会消费品零售总额</w:t>
      </w:r>
    </w:p>
    <w:p>
      <w:pPr>
        <w:spacing w:after="0"/>
        <w:jc w:val="both"/>
      </w:pPr>
      <w:r>
        <w:drawing>
          <wp:inline distT="0" distB="0" distL="0" distR="0">
            <wp:extent cx="5486400" cy="238125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全年实现电商交易额达42.4亿元，比上年增长26.5%。其中实物商品网上零售额4.1亿元，增长17.1%，占全社会消费品零售总额的比重为4.2%。</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color w:val="0C0C0C" w:themeColor="text1" w:themeTint="F2"/>
          <w:sz w:val="32"/>
          <w:szCs w:val="32"/>
        </w:rPr>
        <w:t>全县有直接出口权的企业100家，</w:t>
      </w:r>
      <w:r>
        <w:rPr>
          <w:rFonts w:ascii="Times New Roman" w:hAnsi="Times New Roman" w:eastAsia="方正仿宋_GBK" w:cs="Times New Roman"/>
          <w:sz w:val="32"/>
          <w:szCs w:val="32"/>
        </w:rPr>
        <w:t>全年货物进出口总额32.43亿元，比上年增长39.6%。其中，出口0.18亿元，下降32.7%；进口32.25亿元，增长40.5%。</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六、固定资产投资和房地产业</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全年完成全社会固定资产投资</w:t>
      </w:r>
      <w:r>
        <w:rPr>
          <w:rFonts w:hint="eastAsia" w:ascii="Times New Roman" w:hAnsi="Times New Roman" w:eastAsia="方正仿宋_GBK" w:cs="Times New Roman"/>
          <w:sz w:val="32"/>
          <w:szCs w:val="32"/>
        </w:rPr>
        <w:t>总额</w:t>
      </w:r>
      <w:r>
        <w:rPr>
          <w:rFonts w:ascii="Times New Roman" w:hAnsi="Times New Roman" w:eastAsia="方正仿宋_GBK" w:cs="Times New Roman"/>
          <w:sz w:val="32"/>
          <w:szCs w:val="32"/>
        </w:rPr>
        <w:t>比上年下降18.4%</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基础设施投资下降31.9%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工业投资下降38.3%</w:t>
      </w:r>
      <w:r>
        <w:rPr>
          <w:rFonts w:hint="eastAsia" w:ascii="Times New Roman" w:hAnsi="Times New Roman" w:eastAsia="方正仿宋_GBK" w:cs="Times New Roman"/>
          <w:sz w:val="32"/>
          <w:szCs w:val="32"/>
        </w:rPr>
        <w:t>，民</w:t>
      </w:r>
      <w:r>
        <w:rPr>
          <w:rFonts w:ascii="Times New Roman" w:hAnsi="Times New Roman" w:eastAsia="方正仿宋_GBK" w:cs="Times New Roman"/>
          <w:sz w:val="32"/>
          <w:szCs w:val="32"/>
        </w:rPr>
        <w:t>间投资下降29.7%。</w:t>
      </w:r>
    </w:p>
    <w:p>
      <w:pPr>
        <w:spacing w:after="0" w:line="560" w:lineRule="exact"/>
        <w:jc w:val="center"/>
        <w:rPr>
          <w:rFonts w:ascii="宋体" w:hAnsi="宋体" w:eastAsia="宋体" w:cs="Times New Roman"/>
          <w:b/>
          <w:bCs/>
          <w:sz w:val="24"/>
        </w:rPr>
      </w:pPr>
      <w:r>
        <w:rPr>
          <w:rFonts w:ascii="宋体" w:hAnsi="宋体" w:eastAsia="宋体" w:cs="Times New Roman"/>
          <w:b/>
          <w:bCs/>
          <w:sz w:val="24"/>
        </w:rPr>
        <w:t>表6  2021年</w:t>
      </w:r>
      <w:r>
        <w:rPr>
          <w:rFonts w:hint="eastAsia" w:ascii="宋体" w:hAnsi="宋体" w:eastAsia="宋体" w:cs="Times New Roman"/>
          <w:b/>
          <w:bCs/>
          <w:sz w:val="24"/>
        </w:rPr>
        <w:t>按产业</w:t>
      </w:r>
      <w:r>
        <w:rPr>
          <w:rFonts w:ascii="宋体" w:hAnsi="宋体" w:eastAsia="宋体" w:cs="Times New Roman"/>
          <w:b/>
          <w:bCs/>
          <w:sz w:val="24"/>
        </w:rPr>
        <w:t>分固定资产投资增长速度</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9"/>
        <w:gridCol w:w="2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3593" w:type="pct"/>
            <w:tcBorders>
              <w:top w:val="single" w:color="auto" w:sz="12" w:space="0"/>
              <w:lef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指标名称</w:t>
            </w:r>
          </w:p>
        </w:tc>
        <w:tc>
          <w:tcPr>
            <w:tcW w:w="1407" w:type="pct"/>
            <w:tcBorders>
              <w:top w:val="single" w:color="auto" w:sz="12" w:space="0"/>
              <w:right w:val="nil"/>
            </w:tcBorders>
            <w:vAlign w:val="center"/>
          </w:tcPr>
          <w:p>
            <w:pPr>
              <w:spacing w:after="0" w:line="300" w:lineRule="exact"/>
              <w:jc w:val="center"/>
              <w:rPr>
                <w:rFonts w:ascii="Times New Roman" w:hAnsi="Times New Roman" w:cs="Times New Roman" w:eastAsiaTheme="minorEastAsia"/>
                <w:spacing w:val="-2"/>
                <w:sz w:val="21"/>
                <w:szCs w:val="21"/>
              </w:rPr>
            </w:pPr>
            <w:r>
              <w:rPr>
                <w:rFonts w:ascii="Times New Roman" w:hAnsi="Times New Roman" w:cs="Times New Roman" w:eastAsiaTheme="minorEastAsia"/>
                <w:spacing w:val="-2"/>
                <w:sz w:val="21"/>
                <w:szCs w:val="21"/>
              </w:rPr>
              <w:t>比</w:t>
            </w:r>
            <w:r>
              <w:rPr>
                <w:rFonts w:hint="eastAsia" w:ascii="Times New Roman" w:hAnsi="Times New Roman" w:cs="Times New Roman" w:eastAsiaTheme="minorEastAsia"/>
                <w:spacing w:val="-2"/>
                <w:sz w:val="21"/>
                <w:szCs w:val="21"/>
              </w:rPr>
              <w:t>上年</w:t>
            </w:r>
            <w:r>
              <w:rPr>
                <w:rFonts w:ascii="Times New Roman" w:hAnsi="Times New Roman" w:cs="Times New Roman" w:eastAsiaTheme="minorEastAsia"/>
                <w:spacing w:val="-2"/>
                <w:sz w:val="21"/>
                <w:szCs w:val="21"/>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left w:val="nil"/>
              <w:bottom w:val="nil"/>
            </w:tcBorders>
            <w:vAlign w:val="center"/>
          </w:tcPr>
          <w:p>
            <w:pPr>
              <w:spacing w:after="0" w:line="300" w:lineRule="exact"/>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全社会固定资产投资</w:t>
            </w:r>
          </w:p>
        </w:tc>
        <w:tc>
          <w:tcPr>
            <w:tcW w:w="1407" w:type="pct"/>
            <w:tcBorders>
              <w:bottom w:val="nil"/>
              <w:right w:val="nil"/>
            </w:tcBorders>
            <w:vAlign w:val="center"/>
          </w:tcPr>
          <w:p>
            <w:pPr>
              <w:spacing w:after="0" w:line="300" w:lineRule="exact"/>
              <w:jc w:val="right"/>
              <w:rPr>
                <w:rFonts w:ascii="Times New Roman" w:hAnsi="Times New Roman" w:cs="Times New Roman" w:eastAsiaTheme="minorEastAsia"/>
                <w:b/>
                <w:spacing w:val="-2"/>
                <w:sz w:val="21"/>
                <w:szCs w:val="21"/>
              </w:rPr>
            </w:pPr>
            <w:r>
              <w:rPr>
                <w:rFonts w:ascii="Times New Roman" w:hAnsi="Times New Roman" w:cs="Times New Roman" w:eastAsiaTheme="minorEastAsia"/>
                <w:b/>
                <w:spacing w:val="-2"/>
                <w:sz w:val="21"/>
                <w:szCs w:val="21"/>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一、项目投资</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420" w:firstLineChars="2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#农、林、牧、渔业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制造业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电力、热力、燃气及水的生产和供应业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-57.8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交通运输、仓储和邮政业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信息传输、软件和信息技术服务业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362.9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房地产业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水利、环境和公共设施管理业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教育</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卫生和社会工作</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文化、体育和娱乐业</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nil"/>
            </w:tcBorders>
            <w:vAlign w:val="center"/>
          </w:tcPr>
          <w:p>
            <w:pPr>
              <w:spacing w:after="0" w:line="300" w:lineRule="exact"/>
              <w:ind w:firstLine="525" w:firstLineChars="25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公共管理和社会组织</w:t>
            </w:r>
          </w:p>
        </w:tc>
        <w:tc>
          <w:tcPr>
            <w:tcW w:w="1407" w:type="pct"/>
            <w:tcBorders>
              <w:top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964.7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3593" w:type="pct"/>
            <w:tcBorders>
              <w:top w:val="nil"/>
              <w:left w:val="nil"/>
              <w:bottom w:val="single" w:color="auto" w:sz="12" w:space="0"/>
            </w:tcBorders>
            <w:vAlign w:val="center"/>
          </w:tcPr>
          <w:p>
            <w:pPr>
              <w:spacing w:after="0" w:line="300" w:lineRule="exact"/>
              <w:jc w:val="both"/>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二、房地产投资</w:t>
            </w:r>
          </w:p>
        </w:tc>
        <w:tc>
          <w:tcPr>
            <w:tcW w:w="1407" w:type="pct"/>
            <w:tcBorders>
              <w:top w:val="nil"/>
              <w:bottom w:val="single" w:color="auto" w:sz="12" w:space="0"/>
              <w:right w:val="nil"/>
            </w:tcBorders>
            <w:vAlign w:val="center"/>
          </w:tcPr>
          <w:p>
            <w:pPr>
              <w:spacing w:after="0" w:line="300" w:lineRule="exact"/>
              <w:jc w:val="righ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-3.6</w:t>
            </w:r>
          </w:p>
        </w:tc>
      </w:tr>
    </w:tbl>
    <w:p>
      <w:pPr>
        <w:spacing w:after="0"/>
        <w:rPr>
          <w:rFonts w:ascii="方正仿宋_GBK" w:eastAsia="方正仿宋_GBK"/>
          <w:sz w:val="20"/>
          <w:szCs w:val="20"/>
        </w:rPr>
      </w:pPr>
      <w:r>
        <w:rPr>
          <w:rFonts w:hint="eastAsia" w:ascii="方正仿宋_GBK" w:eastAsia="方正仿宋_GBK"/>
          <w:sz w:val="20"/>
          <w:szCs w:val="20"/>
        </w:rPr>
        <w:t>注：全社会固定资产投资总额增速不含跨区和农户数据。</w:t>
      </w:r>
    </w:p>
    <w:p>
      <w:pPr>
        <w:spacing w:after="0" w:line="560" w:lineRule="exact"/>
        <w:ind w:firstLine="632" w:firstLineChars="200"/>
        <w:jc w:val="both"/>
        <w:rPr>
          <w:rFonts w:ascii="Times New Roman" w:hAnsi="Times New Roman" w:eastAsia="方正仿宋_GBK" w:cs="Times New Roman"/>
          <w:color w:val="FF0000"/>
          <w:spacing w:val="-2"/>
          <w:sz w:val="32"/>
          <w:szCs w:val="32"/>
        </w:rPr>
      </w:pPr>
      <w:r>
        <w:rPr>
          <w:rFonts w:ascii="Times New Roman" w:hAnsi="Times New Roman" w:eastAsia="方正仿宋_GBK" w:cs="Times New Roman"/>
          <w:spacing w:val="-2"/>
          <w:sz w:val="32"/>
          <w:szCs w:val="32"/>
        </w:rPr>
        <w:t>全年房地产开发投资27.57亿元，比上年下降3.6%。其中，住宅投资23.52亿元，增长1.3%；办公楼投资0.02亿元；商业营业用房投资1.83亿元，下降29.0%；其他类房屋投资2.21亿元，下降14.4%。年末商品房待售面积20.87万平方米，比上年末增加10.88万平方米，其中商品住宅待售面积1.34万平方米，减少1.21万平方米。</w:t>
      </w:r>
    </w:p>
    <w:p>
      <w:pPr>
        <w:spacing w:after="0" w:line="560" w:lineRule="exact"/>
        <w:jc w:val="center"/>
        <w:rPr>
          <w:rFonts w:ascii="宋体" w:hAnsi="宋体" w:eastAsia="宋体" w:cs="Times New Roman"/>
          <w:b/>
          <w:sz w:val="24"/>
        </w:rPr>
      </w:pPr>
      <w:r>
        <w:rPr>
          <w:rFonts w:ascii="宋体" w:hAnsi="宋体" w:eastAsia="宋体" w:cs="Times New Roman"/>
          <w:b/>
          <w:sz w:val="24"/>
        </w:rPr>
        <w:t>表</w:t>
      </w:r>
      <w:r>
        <w:rPr>
          <w:rFonts w:hint="eastAsia" w:ascii="宋体" w:hAnsi="宋体" w:eastAsia="宋体" w:cs="Times New Roman"/>
          <w:b/>
          <w:sz w:val="24"/>
        </w:rPr>
        <w:t>7</w:t>
      </w:r>
      <w:r>
        <w:rPr>
          <w:rFonts w:ascii="宋体" w:hAnsi="宋体" w:eastAsia="宋体" w:cs="Times New Roman"/>
          <w:b/>
          <w:sz w:val="24"/>
        </w:rPr>
        <w:t xml:space="preserve">  2021年房地产开发和销售主要指标及其增长速度</w:t>
      </w:r>
    </w:p>
    <w:tbl>
      <w:tblPr>
        <w:tblStyle w:val="8"/>
        <w:tblW w:w="5000" w:type="pct"/>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autofit"/>
        <w:tblCellMar>
          <w:top w:w="0" w:type="dxa"/>
          <w:left w:w="108" w:type="dxa"/>
          <w:bottom w:w="0" w:type="dxa"/>
          <w:right w:w="108" w:type="dxa"/>
        </w:tblCellMar>
      </w:tblPr>
      <w:tblGrid>
        <w:gridCol w:w="2865"/>
        <w:gridCol w:w="1702"/>
        <w:gridCol w:w="2296"/>
        <w:gridCol w:w="2083"/>
      </w:tblGrid>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454" w:hRule="exact"/>
          <w:jc w:val="center"/>
        </w:trPr>
        <w:tc>
          <w:tcPr>
            <w:tcW w:w="1601" w:type="pct"/>
            <w:tcBorders>
              <w:top w:val="single" w:color="auto" w:sz="12" w:space="0"/>
              <w:left w:val="nil"/>
              <w:bottom w:val="single" w:color="auto" w:sz="4"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指</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标</w:t>
            </w:r>
          </w:p>
        </w:tc>
        <w:tc>
          <w:tcPr>
            <w:tcW w:w="951" w:type="pct"/>
            <w:tcBorders>
              <w:top w:val="single" w:color="auto" w:sz="12" w:space="0"/>
              <w:bottom w:val="single" w:color="auto" w:sz="4"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单位</w:t>
            </w:r>
          </w:p>
        </w:tc>
        <w:tc>
          <w:tcPr>
            <w:tcW w:w="1283" w:type="pct"/>
            <w:tcBorders>
              <w:top w:val="single" w:color="auto" w:sz="12" w:space="0"/>
              <w:bottom w:val="single" w:color="auto" w:sz="4"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绝对</w:t>
            </w:r>
            <w:r>
              <w:rPr>
                <w:rFonts w:hint="eastAsia" w:ascii="Times New Roman" w:hAnsi="Times New Roman" w:cs="Times New Roman" w:eastAsiaTheme="minorEastAsia"/>
                <w:sz w:val="21"/>
                <w:szCs w:val="21"/>
              </w:rPr>
              <w:t>量</w:t>
            </w:r>
          </w:p>
        </w:tc>
        <w:tc>
          <w:tcPr>
            <w:tcW w:w="1164" w:type="pct"/>
            <w:tcBorders>
              <w:top w:val="single" w:color="auto" w:sz="12" w:space="0"/>
              <w:bottom w:val="single" w:color="auto" w:sz="4" w:space="0"/>
              <w:right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比上年增长（%）</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single" w:color="auto" w:sz="4" w:space="0"/>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投资总额</w:t>
            </w:r>
          </w:p>
        </w:tc>
        <w:tc>
          <w:tcPr>
            <w:tcW w:w="951" w:type="pct"/>
            <w:tcBorders>
              <w:top w:val="single" w:color="auto" w:sz="4" w:space="0"/>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3" w:type="pct"/>
            <w:tcBorders>
              <w:top w:val="single" w:color="auto" w:sz="4" w:space="0"/>
              <w:bottom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27.57</w:t>
            </w:r>
          </w:p>
        </w:tc>
        <w:tc>
          <w:tcPr>
            <w:tcW w:w="1164" w:type="pct"/>
            <w:tcBorders>
              <w:top w:val="single" w:color="auto" w:sz="4" w:space="0"/>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23.52</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房屋施工面积</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224.79</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17.6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155.54</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13.6</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房屋新开工面积</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107.84</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178.4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75.44</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162.0</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房屋竣工面积</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43.80</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-13.3</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31.41</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-13.4</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商品房销售面积</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54.54</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3.2</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万平方米</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46.49</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5.5</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商品房销售金额</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28.24</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-0.8</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其中：住宅</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24.41</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3.1</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nil"/>
            </w:tcBorders>
            <w:vAlign w:val="center"/>
          </w:tcPr>
          <w:p>
            <w:pPr>
              <w:spacing w:after="0" w:line="300" w:lineRule="exact"/>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本年到位资金</w:t>
            </w:r>
          </w:p>
        </w:tc>
        <w:tc>
          <w:tcPr>
            <w:tcW w:w="951" w:type="pct"/>
            <w:tcBorders>
              <w:top w:val="nil"/>
              <w:bottom w:val="nil"/>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3" w:type="pct"/>
            <w:tcBorders>
              <w:top w:val="nil"/>
              <w:bottom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33.21</w:t>
            </w:r>
          </w:p>
        </w:tc>
        <w:tc>
          <w:tcPr>
            <w:tcW w:w="1164" w:type="pct"/>
            <w:tcBorders>
              <w:top w:val="nil"/>
              <w:bottom w:val="nil"/>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10.7</w:t>
            </w:r>
          </w:p>
        </w:tc>
      </w:tr>
      <w:tr>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97" w:hRule="exact"/>
          <w:jc w:val="center"/>
        </w:trPr>
        <w:tc>
          <w:tcPr>
            <w:tcW w:w="1601" w:type="pct"/>
            <w:tcBorders>
              <w:top w:val="nil"/>
              <w:left w:val="nil"/>
              <w:bottom w:val="single" w:color="auto" w:sz="12" w:space="0"/>
            </w:tcBorders>
            <w:vAlign w:val="center"/>
          </w:tcPr>
          <w:p>
            <w:pPr>
              <w:spacing w:after="0" w:line="300" w:lineRule="exact"/>
              <w:ind w:firstLine="210" w:firstLineChars="100"/>
              <w:jc w:val="both"/>
              <w:rPr>
                <w:rFonts w:ascii="Times New Roman" w:hAnsi="Times New Roman" w:cs="Times New Roman" w:eastAsiaTheme="minorEastAsia"/>
                <w:sz w:val="21"/>
                <w:szCs w:val="21"/>
              </w:rPr>
            </w:pPr>
            <w:r>
              <w:rPr>
                <w:rFonts w:ascii="Times New Roman" w:hAnsi="Times New Roman" w:cs="Times New Roman" w:eastAsiaTheme="minorEastAsia"/>
                <w:sz w:val="21"/>
                <w:szCs w:val="21"/>
              </w:rPr>
              <w:t>其中：个人按揭贷款</w:t>
            </w:r>
          </w:p>
        </w:tc>
        <w:tc>
          <w:tcPr>
            <w:tcW w:w="951" w:type="pct"/>
            <w:tcBorders>
              <w:top w:val="nil"/>
              <w:bottom w:val="single" w:color="auto" w:sz="12" w:space="0"/>
            </w:tcBorders>
            <w:vAlign w:val="center"/>
          </w:tcPr>
          <w:p>
            <w:pPr>
              <w:spacing w:after="0" w:line="300" w:lineRule="exact"/>
              <w:jc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亿元</w:t>
            </w:r>
          </w:p>
        </w:tc>
        <w:tc>
          <w:tcPr>
            <w:tcW w:w="1283" w:type="pct"/>
            <w:tcBorders>
              <w:top w:val="nil"/>
              <w:bottom w:val="single" w:color="auto" w:sz="12" w:space="0"/>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9.10</w:t>
            </w:r>
          </w:p>
        </w:tc>
        <w:tc>
          <w:tcPr>
            <w:tcW w:w="1164" w:type="pct"/>
            <w:tcBorders>
              <w:top w:val="nil"/>
              <w:bottom w:val="single" w:color="auto" w:sz="12" w:space="0"/>
              <w:right w:val="nil"/>
            </w:tcBorders>
            <w:vAlign w:val="center"/>
          </w:tcPr>
          <w:p>
            <w:pPr>
              <w:spacing w:after="0" w:line="300" w:lineRule="exact"/>
              <w:jc w:val="right"/>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111.8</w:t>
            </w:r>
          </w:p>
        </w:tc>
      </w:tr>
    </w:tbl>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七、财政金融</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辖区内财政总收入24.57亿元，比上年下降1.9%；地方财政收入16.61亿元，下降12.6%；一般公共预算收入10.83亿元，增长5.9%，其中税收收入7.78亿元，增长3.7%。在税收收入中，增值税3.09亿元，增长5.9%；企业所得税1.54亿元，增长37.8%。全年地方财政支出58.84亿元，比上年下降18.1%，其中一般公共预算支出45.91亿元，下降15.7%；一般公共服务、教育、社会保障和就业、卫生健康分别支出4.56亿元、11.08亿元、4.30亿元、3.22亿元，分别增长-11.3%、0.3%、-7.3%、-55.7%。</w:t>
      </w:r>
    </w:p>
    <w:p>
      <w:pPr>
        <w:spacing w:after="0" w:line="560" w:lineRule="exact"/>
        <w:jc w:val="center"/>
        <w:rPr>
          <w:rFonts w:ascii="宋体" w:hAnsi="宋体" w:eastAsia="宋体" w:cs="Times New Roman"/>
          <w:sz w:val="24"/>
          <w:szCs w:val="24"/>
        </w:rPr>
      </w:pPr>
      <w:r>
        <w:rPr>
          <w:rFonts w:ascii="宋体" w:hAnsi="宋体" w:eastAsia="宋体" w:cs="Times New Roman"/>
          <w:b/>
          <w:sz w:val="24"/>
          <w:szCs w:val="24"/>
        </w:rPr>
        <w:t>图5  2016-2021年全县一般公共预算收入及其增长速度</w:t>
      </w:r>
    </w:p>
    <w:p>
      <w:pPr>
        <w:spacing w:after="0"/>
        <w:jc w:val="center"/>
      </w:pPr>
      <w:r>
        <w:drawing>
          <wp:inline distT="0" distB="0" distL="0" distR="0">
            <wp:extent cx="5638800" cy="26670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rPr>
          <w:rFonts w:ascii="方正仿宋_GBK" w:eastAsia="方正仿宋_GBK"/>
          <w:spacing w:val="-10"/>
          <w:sz w:val="20"/>
          <w:szCs w:val="20"/>
        </w:rPr>
      </w:pPr>
      <w:r>
        <w:rPr>
          <w:rFonts w:hint="eastAsia" w:ascii="方正仿宋_GBK" w:eastAsia="方正仿宋_GBK"/>
          <w:spacing w:val="-10"/>
          <w:sz w:val="20"/>
          <w:szCs w:val="20"/>
        </w:rPr>
        <w:t>注：2016-2019年为同口径增速。</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全县辖区税收收入累计完成14.53亿元，比上年增长9.1%。其中民营经济税收收入9.22亿元，占全县税收比重为63.4%。</w:t>
      </w:r>
    </w:p>
    <w:p>
      <w:pPr>
        <w:spacing w:after="0" w:line="560" w:lineRule="exact"/>
        <w:jc w:val="center"/>
        <w:rPr>
          <w:rFonts w:ascii="宋体" w:hAnsi="宋体" w:eastAsia="宋体" w:cs="宋体"/>
          <w:b/>
          <w:bCs/>
          <w:sz w:val="24"/>
        </w:rPr>
      </w:pPr>
      <w:r>
        <w:rPr>
          <w:rFonts w:hint="eastAsia" w:ascii="宋体" w:hAnsi="宋体" w:eastAsia="宋体" w:cs="宋体"/>
          <w:b/>
          <w:bCs/>
          <w:sz w:val="24"/>
        </w:rPr>
        <w:t>表8</w:t>
      </w:r>
      <w:r>
        <w:rPr>
          <w:rFonts w:ascii="宋体" w:hAnsi="宋体" w:eastAsia="宋体" w:cs="宋体"/>
          <w:b/>
          <w:bCs/>
          <w:sz w:val="24"/>
        </w:rPr>
        <w:t xml:space="preserve">  20</w:t>
      </w:r>
      <w:r>
        <w:rPr>
          <w:rFonts w:hint="eastAsia" w:ascii="宋体" w:hAnsi="宋体" w:eastAsia="宋体" w:cs="宋体"/>
          <w:b/>
          <w:bCs/>
          <w:sz w:val="24"/>
        </w:rPr>
        <w:t>21年末金融机构各项存贷款余额及其增长速度</w:t>
      </w:r>
    </w:p>
    <w:tbl>
      <w:tblPr>
        <w:tblStyle w:val="8"/>
        <w:tblW w:w="5000" w:type="pct"/>
        <w:jc w:val="center"/>
        <w:tblLayout w:type="autofit"/>
        <w:tblCellMar>
          <w:top w:w="0" w:type="dxa"/>
          <w:left w:w="108" w:type="dxa"/>
          <w:bottom w:w="0" w:type="dxa"/>
          <w:right w:w="108" w:type="dxa"/>
        </w:tblCellMar>
      </w:tblPr>
      <w:tblGrid>
        <w:gridCol w:w="3609"/>
        <w:gridCol w:w="2689"/>
        <w:gridCol w:w="2648"/>
      </w:tblGrid>
      <w:tr>
        <w:tblPrEx>
          <w:tblCellMar>
            <w:top w:w="0" w:type="dxa"/>
            <w:left w:w="108" w:type="dxa"/>
            <w:bottom w:w="0" w:type="dxa"/>
            <w:right w:w="108" w:type="dxa"/>
          </w:tblCellMar>
        </w:tblPrEx>
        <w:trPr>
          <w:trHeight w:val="475" w:hRule="exact"/>
          <w:jc w:val="center"/>
        </w:trPr>
        <w:tc>
          <w:tcPr>
            <w:tcW w:w="2017" w:type="pct"/>
            <w:tcBorders>
              <w:top w:val="single" w:color="auto" w:sz="12"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标</w:t>
            </w:r>
          </w:p>
        </w:tc>
        <w:tc>
          <w:tcPr>
            <w:tcW w:w="1503" w:type="pct"/>
            <w:tcBorders>
              <w:top w:val="single" w:color="auto" w:sz="12" w:space="0"/>
              <w:left w:val="nil"/>
              <w:bottom w:val="single" w:color="auto" w:sz="8" w:space="0"/>
              <w:right w:val="single" w:color="auto" w:sz="8" w:space="0"/>
            </w:tcBorders>
            <w:vAlign w:val="center"/>
          </w:tcPr>
          <w:p>
            <w:pPr>
              <w:spacing w:before="100" w:beforeAutospacing="1" w:after="100" w:afterAutospacing="1"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2021年末（亿元）</w:t>
            </w:r>
          </w:p>
        </w:tc>
        <w:tc>
          <w:tcPr>
            <w:tcW w:w="1480" w:type="pct"/>
            <w:tcBorders>
              <w:top w:val="single" w:color="auto" w:sz="12" w:space="0"/>
              <w:left w:val="nil"/>
              <w:bottom w:val="single" w:color="auto" w:sz="8" w:space="0"/>
              <w:right w:val="nil"/>
            </w:tcBorders>
            <w:vAlign w:val="center"/>
          </w:tcPr>
          <w:p>
            <w:pPr>
              <w:spacing w:before="100" w:beforeAutospacing="1" w:after="100" w:afterAutospacing="1"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比上年末增长（%）</w:t>
            </w:r>
          </w:p>
        </w:tc>
      </w:tr>
      <w:tr>
        <w:tblPrEx>
          <w:tblCellMar>
            <w:top w:w="0" w:type="dxa"/>
            <w:left w:w="108" w:type="dxa"/>
            <w:bottom w:w="0" w:type="dxa"/>
            <w:right w:w="108" w:type="dxa"/>
          </w:tblCellMar>
        </w:tblPrEx>
        <w:trPr>
          <w:trHeight w:val="408" w:hRule="exact"/>
          <w:jc w:val="center"/>
        </w:trPr>
        <w:tc>
          <w:tcPr>
            <w:tcW w:w="2017" w:type="pct"/>
            <w:tcBorders>
              <w:top w:val="single" w:color="auto" w:sz="8" w:space="0"/>
              <w:left w:val="nil"/>
              <w:bottom w:val="nil"/>
              <w:right w:val="single" w:color="auto" w:sz="8" w:space="0"/>
            </w:tcBorders>
            <w:vAlign w:val="center"/>
          </w:tcPr>
          <w:p>
            <w:pPr>
              <w:spacing w:after="0" w:line="300" w:lineRule="exac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 xml:space="preserve">各项存款余额 </w:t>
            </w:r>
          </w:p>
        </w:tc>
        <w:tc>
          <w:tcPr>
            <w:tcW w:w="1503" w:type="pct"/>
            <w:tcBorders>
              <w:top w:val="single" w:color="auto" w:sz="8" w:space="0"/>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284.88</w:t>
            </w:r>
          </w:p>
        </w:tc>
        <w:tc>
          <w:tcPr>
            <w:tcW w:w="1480" w:type="pct"/>
            <w:tcBorders>
              <w:top w:val="single" w:color="auto" w:sz="8" w:space="0"/>
              <w:left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3.8</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住户存款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233.88</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9.9</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非金融企业存款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21.11</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-28.7</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广义政府存款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29.87</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-6.6</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#财政性存款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0.65</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-44.4</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b/>
                <w:sz w:val="21"/>
                <w:szCs w:val="21"/>
              </w:rPr>
            </w:pPr>
            <w:r>
              <w:rPr>
                <w:rFonts w:ascii="Times New Roman" w:hAnsi="Times New Roman" w:cs="Times New Roman" w:eastAsiaTheme="minorEastAsia"/>
                <w:b/>
                <w:sz w:val="21"/>
                <w:szCs w:val="21"/>
              </w:rPr>
              <w:t>各项贷款余额</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263.22</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28.2</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住户贷款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135.05</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43.3</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 xml:space="preserve"> #短期贷款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29.94</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29.5</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中长期贷款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105.11</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47.8</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非金融企业及机关团体贷款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128.17</w:t>
            </w:r>
          </w:p>
        </w:tc>
        <w:tc>
          <w:tcPr>
            <w:tcW w:w="1480" w:type="pct"/>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15.4</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nil"/>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#短期贷款</w:t>
            </w:r>
          </w:p>
        </w:tc>
        <w:tc>
          <w:tcPr>
            <w:tcW w:w="1503" w:type="pct"/>
            <w:tcBorders>
              <w:top w:val="nil"/>
              <w:left w:val="nil"/>
              <w:bottom w:val="nil"/>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14.71</w:t>
            </w:r>
          </w:p>
        </w:tc>
        <w:tc>
          <w:tcPr>
            <w:tcW w:w="1480" w:type="pct"/>
            <w:tcBorders>
              <w:top w:val="nil"/>
              <w:left w:val="nil"/>
              <w:bottom w:val="nil"/>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18.4</w:t>
            </w:r>
          </w:p>
        </w:tc>
      </w:tr>
      <w:tr>
        <w:tblPrEx>
          <w:tblCellMar>
            <w:top w:w="0" w:type="dxa"/>
            <w:left w:w="108" w:type="dxa"/>
            <w:bottom w:w="0" w:type="dxa"/>
            <w:right w:w="108" w:type="dxa"/>
          </w:tblCellMar>
        </w:tblPrEx>
        <w:trPr>
          <w:trHeight w:val="408" w:hRule="exact"/>
          <w:jc w:val="center"/>
        </w:trPr>
        <w:tc>
          <w:tcPr>
            <w:tcW w:w="2017" w:type="pct"/>
            <w:tcBorders>
              <w:top w:val="nil"/>
              <w:left w:val="nil"/>
              <w:bottom w:val="single" w:color="auto" w:sz="12" w:space="0"/>
              <w:right w:val="single" w:color="auto" w:sz="8" w:space="0"/>
            </w:tcBorders>
            <w:vAlign w:val="center"/>
          </w:tcPr>
          <w:p>
            <w:pPr>
              <w:spacing w:after="0" w:line="300" w:lineRule="exact"/>
              <w:rPr>
                <w:rFonts w:ascii="Times New Roman" w:hAnsi="Times New Roman" w:cs="Times New Roman" w:eastAsiaTheme="minorEastAsia"/>
                <w:sz w:val="21"/>
                <w:szCs w:val="21"/>
              </w:rPr>
            </w:pPr>
            <w:r>
              <w:rPr>
                <w:rFonts w:ascii="Times New Roman" w:hAnsi="Times New Roman" w:cs="Times New Roman" w:eastAsiaTheme="minorEastAsia"/>
                <w:sz w:val="21"/>
                <w:szCs w:val="21"/>
              </w:rPr>
              <w:t xml:space="preserve">        </w:t>
            </w:r>
            <w:r>
              <w:rPr>
                <w:rFonts w:hint="eastAsia" w:ascii="Times New Roman" w:hAnsi="Times New Roman" w:cs="Times New Roman" w:eastAsiaTheme="minorEastAsia"/>
                <w:sz w:val="21"/>
                <w:szCs w:val="21"/>
              </w:rPr>
              <w:t xml:space="preserve">  </w:t>
            </w:r>
            <w:r>
              <w:rPr>
                <w:rFonts w:ascii="Times New Roman" w:hAnsi="Times New Roman" w:cs="Times New Roman" w:eastAsiaTheme="minorEastAsia"/>
                <w:sz w:val="21"/>
                <w:szCs w:val="21"/>
              </w:rPr>
              <w:t>中长期贷款</w:t>
            </w:r>
          </w:p>
        </w:tc>
        <w:tc>
          <w:tcPr>
            <w:tcW w:w="1503" w:type="pct"/>
            <w:tcBorders>
              <w:top w:val="nil"/>
              <w:left w:val="nil"/>
              <w:bottom w:val="single" w:color="auto" w:sz="12" w:space="0"/>
              <w:right w:val="single" w:color="auto" w:sz="8" w:space="0"/>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112.79</w:t>
            </w:r>
          </w:p>
        </w:tc>
        <w:tc>
          <w:tcPr>
            <w:tcW w:w="1480" w:type="pct"/>
            <w:tcBorders>
              <w:top w:val="nil"/>
              <w:left w:val="nil"/>
              <w:bottom w:val="single" w:color="auto" w:sz="12" w:space="0"/>
              <w:right w:val="nil"/>
            </w:tcBorders>
            <w:vAlign w:val="center"/>
          </w:tcPr>
          <w:p>
            <w:pPr>
              <w:spacing w:after="0" w:line="300" w:lineRule="exact"/>
              <w:jc w:val="right"/>
              <w:rPr>
                <w:rFonts w:ascii="Times New Roman" w:hAnsi="Times New Roman" w:cs="Times New Roman" w:eastAsiaTheme="minorEastAsia"/>
                <w:sz w:val="21"/>
                <w:szCs w:val="21"/>
              </w:rPr>
            </w:pPr>
            <w:r>
              <w:rPr>
                <w:rFonts w:ascii="Times New Roman" w:hAnsi="Times New Roman" w:cs="Times New Roman" w:eastAsiaTheme="minorEastAsia"/>
                <w:sz w:val="21"/>
                <w:szCs w:val="21"/>
              </w:rPr>
              <w:t>14.6</w:t>
            </w:r>
          </w:p>
        </w:tc>
      </w:tr>
    </w:tbl>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年末全县金融机构各项存款余额284.88亿元，比年初增加10.43亿元，其中住户存款233.88亿元，增加21.03亿元；金融机构各项贷款余额263.22亿元，比年初增加57.88亿元。年末金融机构不良贷款余额1.24亿元，不良贷款率为0.47%，比上年下降0.33个百分点。</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2021年末，全县共有保险机构16家，全年完成保费总收入4.77亿元。全县理赔各类保险金1.57亿元。</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八、居民收入消费和社会保障</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全年全</w:t>
      </w:r>
      <w:r>
        <w:rPr>
          <w:rFonts w:ascii="Times New Roman" w:hAnsi="Times New Roman" w:eastAsia="方正仿宋_GBK" w:cs="Times New Roman"/>
          <w:spacing w:val="-4"/>
          <w:sz w:val="32"/>
          <w:szCs w:val="32"/>
        </w:rPr>
        <w:t>县常住居民人均可支配收入27735元，比上年增长9.5%。按常住地分，城镇居民人均可支配收入40467元，增长8.8%；农村居民人均可支配收入17156元，增长11.0%。城乡收入比由上年</w:t>
      </w:r>
      <w:r>
        <w:rPr>
          <w:rFonts w:ascii="Times New Roman" w:hAnsi="Times New Roman" w:eastAsia="方正仿宋_GBK" w:cs="Times New Roman"/>
          <w:sz w:val="32"/>
          <w:szCs w:val="32"/>
        </w:rPr>
        <w:t>的2.41:1调整优化为2.36:1。年末城镇居民和农村居民人均住宅建筑面积分别为51.4平方米、56.7平方米。</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县居民人均消费支出16320元，比上年增长13.4%。按常住地分，城镇居民人均消费支出20529元，增长12.8%；农村居民人均消费支出12823元，增长14.1%。全县居民恩格尔系数为33.7%，比上年下降0.1个百分点。其中城镇为32.8%，农村为34.8%。</w:t>
      </w:r>
    </w:p>
    <w:p>
      <w:pPr>
        <w:spacing w:after="0" w:line="560" w:lineRule="exact"/>
        <w:jc w:val="center"/>
        <w:rPr>
          <w:rFonts w:ascii="宋体" w:hAnsi="宋体" w:eastAsia="宋体" w:cs="宋体"/>
          <w:sz w:val="24"/>
        </w:rPr>
      </w:pPr>
      <w:r>
        <w:rPr>
          <w:rFonts w:hint="eastAsia" w:ascii="宋体" w:hAnsi="宋体" w:eastAsia="宋体" w:cs="宋体"/>
          <w:b/>
          <w:bCs/>
          <w:sz w:val="24"/>
        </w:rPr>
        <w:t>表9</w:t>
      </w:r>
      <w:r>
        <w:rPr>
          <w:rFonts w:ascii="宋体" w:hAnsi="宋体" w:eastAsia="宋体" w:cs="宋体"/>
          <w:b/>
          <w:bCs/>
          <w:sz w:val="24"/>
        </w:rPr>
        <w:t xml:space="preserve"> </w:t>
      </w:r>
      <w:r>
        <w:rPr>
          <w:rFonts w:hint="eastAsia" w:ascii="宋体" w:hAnsi="宋体" w:eastAsia="宋体" w:cs="宋体"/>
          <w:b/>
          <w:bCs/>
          <w:sz w:val="24"/>
        </w:rPr>
        <w:t xml:space="preserve"> </w:t>
      </w:r>
      <w:r>
        <w:rPr>
          <w:rFonts w:ascii="宋体" w:hAnsi="宋体" w:eastAsia="宋体" w:cs="宋体"/>
          <w:b/>
          <w:bCs/>
          <w:sz w:val="24"/>
        </w:rPr>
        <w:t>20</w:t>
      </w:r>
      <w:r>
        <w:rPr>
          <w:rFonts w:hint="eastAsia" w:ascii="宋体" w:hAnsi="宋体" w:eastAsia="宋体" w:cs="宋体"/>
          <w:b/>
          <w:bCs/>
          <w:sz w:val="24"/>
        </w:rPr>
        <w:t>21年居民人均可支配收入及其增长速度</w:t>
      </w:r>
    </w:p>
    <w:tbl>
      <w:tblPr>
        <w:tblStyle w:val="8"/>
        <w:tblW w:w="5000" w:type="pct"/>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134"/>
        <w:gridCol w:w="1276"/>
        <w:gridCol w:w="1134"/>
        <w:gridCol w:w="1276"/>
        <w:gridCol w:w="1134"/>
        <w:gridCol w:w="1324"/>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vMerge w:val="restart"/>
            <w:tcBorders>
              <w:top w:val="single" w:color="auto" w:sz="12" w:space="0"/>
            </w:tcBorders>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指</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标</w:t>
            </w:r>
          </w:p>
        </w:tc>
        <w:tc>
          <w:tcPr>
            <w:tcW w:w="1347" w:type="pct"/>
            <w:gridSpan w:val="2"/>
            <w:tcBorders>
              <w:top w:val="single" w:color="auto" w:sz="12" w:space="0"/>
            </w:tcBorders>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全县居民</w:t>
            </w:r>
          </w:p>
        </w:tc>
        <w:tc>
          <w:tcPr>
            <w:tcW w:w="1347" w:type="pct"/>
            <w:gridSpan w:val="2"/>
            <w:tcBorders>
              <w:top w:val="single" w:color="auto" w:sz="12" w:space="0"/>
            </w:tcBorders>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城镇常住居民</w:t>
            </w:r>
          </w:p>
        </w:tc>
        <w:tc>
          <w:tcPr>
            <w:tcW w:w="1374" w:type="pct"/>
            <w:gridSpan w:val="2"/>
            <w:tcBorders>
              <w:top w:val="single" w:color="auto" w:sz="12" w:space="0"/>
            </w:tcBorders>
            <w:vAlign w:val="center"/>
          </w:tcPr>
          <w:p>
            <w:pPr>
              <w:spacing w:after="0" w:line="300" w:lineRule="exact"/>
              <w:ind w:firstLine="420" w:firstLineChars="200"/>
              <w:jc w:val="center"/>
              <w:rPr>
                <w:rFonts w:ascii="Times New Roman" w:hAnsi="Times New Roman" w:eastAsia="宋体" w:cs="Times New Roman"/>
                <w:sz w:val="21"/>
                <w:szCs w:val="21"/>
              </w:rPr>
            </w:pPr>
            <w:r>
              <w:rPr>
                <w:rFonts w:ascii="Times New Roman" w:hAnsi="Times New Roman" w:eastAsia="宋体" w:cs="Times New Roman"/>
                <w:sz w:val="21"/>
                <w:szCs w:val="21"/>
              </w:rPr>
              <w:t>农村常住居民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49" w:hRule="exact"/>
        </w:trPr>
        <w:tc>
          <w:tcPr>
            <w:tcW w:w="932" w:type="pct"/>
            <w:vMerge w:val="continue"/>
            <w:vAlign w:val="center"/>
          </w:tcPr>
          <w:p>
            <w:pPr>
              <w:spacing w:after="0" w:line="300" w:lineRule="exact"/>
              <w:ind w:firstLine="400" w:firstLineChars="200"/>
              <w:jc w:val="center"/>
              <w:rPr>
                <w:rFonts w:ascii="Times New Roman" w:hAnsi="Times New Roman" w:eastAsia="宋体" w:cs="Times New Roman"/>
                <w:sz w:val="20"/>
                <w:szCs w:val="20"/>
              </w:rPr>
            </w:pPr>
          </w:p>
        </w:tc>
        <w:tc>
          <w:tcPr>
            <w:tcW w:w="634" w:type="pct"/>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绝对量</w:t>
            </w:r>
          </w:p>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713" w:type="pct"/>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比上年增长</w:t>
            </w:r>
          </w:p>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634" w:type="pct"/>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绝对量</w:t>
            </w:r>
          </w:p>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713" w:type="pct"/>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比上年增长</w:t>
            </w:r>
          </w:p>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c>
          <w:tcPr>
            <w:tcW w:w="634" w:type="pct"/>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绝对量</w:t>
            </w:r>
          </w:p>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（元）</w:t>
            </w:r>
          </w:p>
        </w:tc>
        <w:tc>
          <w:tcPr>
            <w:tcW w:w="740" w:type="pct"/>
            <w:vAlign w:val="center"/>
          </w:tcPr>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比上年增长</w:t>
            </w:r>
          </w:p>
          <w:p>
            <w:pPr>
              <w:spacing w:after="0" w:line="3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bottom w:val="nil"/>
            </w:tcBorders>
            <w:vAlign w:val="center"/>
          </w:tcPr>
          <w:p>
            <w:pPr>
              <w:spacing w:after="0" w:line="300" w:lineRule="exact"/>
              <w:rPr>
                <w:rFonts w:ascii="Times New Roman" w:hAnsi="Times New Roman" w:eastAsia="宋体" w:cs="Times New Roman"/>
                <w:spacing w:val="-20"/>
                <w:sz w:val="21"/>
                <w:szCs w:val="21"/>
              </w:rPr>
            </w:pPr>
            <w:r>
              <w:rPr>
                <w:rFonts w:ascii="Times New Roman" w:hAnsi="Times New Roman" w:eastAsia="宋体" w:cs="Times New Roman"/>
                <w:spacing w:val="-20"/>
                <w:sz w:val="21"/>
                <w:szCs w:val="21"/>
              </w:rPr>
              <w:t>人均可支配收入</w:t>
            </w:r>
          </w:p>
        </w:tc>
        <w:tc>
          <w:tcPr>
            <w:tcW w:w="634" w:type="pct"/>
            <w:tcBorders>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27735</w:t>
            </w:r>
          </w:p>
        </w:tc>
        <w:tc>
          <w:tcPr>
            <w:tcW w:w="713" w:type="pct"/>
            <w:tcBorders>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9.5</w:t>
            </w:r>
          </w:p>
        </w:tc>
        <w:tc>
          <w:tcPr>
            <w:tcW w:w="634" w:type="pct"/>
            <w:tcBorders>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40467</w:t>
            </w:r>
          </w:p>
        </w:tc>
        <w:tc>
          <w:tcPr>
            <w:tcW w:w="713" w:type="pct"/>
            <w:tcBorders>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8.8</w:t>
            </w:r>
          </w:p>
        </w:tc>
        <w:tc>
          <w:tcPr>
            <w:tcW w:w="634" w:type="pct"/>
            <w:tcBorders>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17156</w:t>
            </w:r>
          </w:p>
        </w:tc>
        <w:tc>
          <w:tcPr>
            <w:tcW w:w="740" w:type="pct"/>
            <w:tcBorders>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工资性收入</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12626</w:t>
            </w:r>
          </w:p>
        </w:tc>
        <w:tc>
          <w:tcPr>
            <w:tcW w:w="713"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10.8</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19994</w:t>
            </w:r>
          </w:p>
        </w:tc>
        <w:tc>
          <w:tcPr>
            <w:tcW w:w="713"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10.8</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6505</w:t>
            </w:r>
          </w:p>
        </w:tc>
        <w:tc>
          <w:tcPr>
            <w:tcW w:w="740"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12.6</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经营净收入</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8431</w:t>
            </w:r>
          </w:p>
        </w:tc>
        <w:tc>
          <w:tcPr>
            <w:tcW w:w="713"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9.2</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9692</w:t>
            </w:r>
          </w:p>
        </w:tc>
        <w:tc>
          <w:tcPr>
            <w:tcW w:w="713"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8.5</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7383</w:t>
            </w:r>
          </w:p>
        </w:tc>
        <w:tc>
          <w:tcPr>
            <w:tcW w:w="740"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nil"/>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财产净收入</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1378</w:t>
            </w:r>
          </w:p>
        </w:tc>
        <w:tc>
          <w:tcPr>
            <w:tcW w:w="713"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7.9</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1993</w:t>
            </w:r>
          </w:p>
        </w:tc>
        <w:tc>
          <w:tcPr>
            <w:tcW w:w="713"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8.4</w:t>
            </w:r>
          </w:p>
        </w:tc>
        <w:tc>
          <w:tcPr>
            <w:tcW w:w="634"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867</w:t>
            </w:r>
          </w:p>
        </w:tc>
        <w:tc>
          <w:tcPr>
            <w:tcW w:w="740" w:type="pct"/>
            <w:tcBorders>
              <w:top w:val="nil"/>
              <w:bottom w:val="nil"/>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932" w:type="pct"/>
            <w:tcBorders>
              <w:top w:val="nil"/>
              <w:bottom w:val="single" w:color="auto" w:sz="12" w:space="0"/>
            </w:tcBorders>
            <w:vAlign w:val="center"/>
          </w:tcPr>
          <w:p>
            <w:pPr>
              <w:spacing w:after="0" w:line="300" w:lineRule="exact"/>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转移净收入</w:t>
            </w:r>
          </w:p>
        </w:tc>
        <w:tc>
          <w:tcPr>
            <w:tcW w:w="634" w:type="pct"/>
            <w:tcBorders>
              <w:top w:val="nil"/>
              <w:bottom w:val="single" w:color="auto" w:sz="12" w:space="0"/>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5300</w:t>
            </w:r>
          </w:p>
        </w:tc>
        <w:tc>
          <w:tcPr>
            <w:tcW w:w="713" w:type="pct"/>
            <w:tcBorders>
              <w:top w:val="nil"/>
              <w:bottom w:val="single" w:color="auto" w:sz="12" w:space="0"/>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7.6</w:t>
            </w:r>
          </w:p>
        </w:tc>
        <w:tc>
          <w:tcPr>
            <w:tcW w:w="634" w:type="pct"/>
            <w:tcBorders>
              <w:top w:val="nil"/>
              <w:bottom w:val="single" w:color="auto" w:sz="12" w:space="0"/>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8788</w:t>
            </w:r>
          </w:p>
        </w:tc>
        <w:tc>
          <w:tcPr>
            <w:tcW w:w="713" w:type="pct"/>
            <w:tcBorders>
              <w:top w:val="nil"/>
              <w:bottom w:val="single" w:color="auto" w:sz="12" w:space="0"/>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6.4</w:t>
            </w:r>
          </w:p>
        </w:tc>
        <w:tc>
          <w:tcPr>
            <w:tcW w:w="634" w:type="pct"/>
            <w:tcBorders>
              <w:top w:val="nil"/>
              <w:bottom w:val="single" w:color="auto" w:sz="12" w:space="0"/>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2401</w:t>
            </w:r>
          </w:p>
        </w:tc>
        <w:tc>
          <w:tcPr>
            <w:tcW w:w="740" w:type="pct"/>
            <w:tcBorders>
              <w:top w:val="nil"/>
              <w:bottom w:val="single" w:color="auto" w:sz="12" w:space="0"/>
            </w:tcBorders>
            <w:vAlign w:val="center"/>
          </w:tcPr>
          <w:p>
            <w:pPr>
              <w:spacing w:after="0" w:line="300" w:lineRule="exact"/>
              <w:ind w:firstLine="400" w:firstLineChars="200"/>
              <w:jc w:val="right"/>
              <w:rPr>
                <w:rFonts w:ascii="Times New Roman" w:hAnsi="Times New Roman" w:eastAsia="宋体" w:cs="Times New Roman"/>
                <w:sz w:val="20"/>
                <w:szCs w:val="20"/>
              </w:rPr>
            </w:pPr>
            <w:r>
              <w:rPr>
                <w:rFonts w:ascii="Times New Roman" w:hAnsi="Times New Roman" w:eastAsia="宋体" w:cs="Times New Roman"/>
                <w:sz w:val="20"/>
                <w:szCs w:val="20"/>
              </w:rPr>
              <w:t>11.3</w:t>
            </w:r>
          </w:p>
        </w:tc>
      </w:tr>
    </w:tbl>
    <w:p>
      <w:pPr>
        <w:spacing w:after="0" w:line="560" w:lineRule="exact"/>
        <w:ind w:firstLine="640" w:firstLineChars="200"/>
        <w:jc w:val="both"/>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年末全县参加城镇企业职工基本养老保险人数5.37万人，比上年末下降3.9%。参加城乡居民基本养老保险人数23.12万人，下降1.5%。参加基本医疗保险人数44.61万人，下降1.7%。其中，参加城镇职工基本医疗保险人数4.63万人，增长3.7%。参加工伤保险人数5.33万人，增长8.5% 。参加生育保险人数3.08万人，增长4.0%。参加失业保险人数2.94万人，增长0.2%。</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县享受城市居民最低生活保障3667人，比上年下降5.8%，最低生活保障支出2221.1万元，下降9.7%；享受农村居民最低生活保障14974人，比上年下降1.8%，最低生活保障支出7085.9万元，下降0.2%。年末各类养老福利机构105个，床位1095张，在院人数291人。全年临时救助468户次。</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九、市政、环境与应急管理</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县城建成区面积12.2平方公里。车行道面积93.3万平方米，人行道面积63.2万平方米。全县共有停车场（点）96个，停车位2.03万个，其中室内停车场74个，停车位1.89万个。年末功能性照明路灯数量12516盏，道路照明总长度83.42公里。全县环卫直管固定公厕50座，垃圾处理站9座，垃圾运输车31辆，扫地车5辆，洁洗车17辆，环卫工人655人，道路清扫保洁面积134万平方米。</w:t>
      </w:r>
    </w:p>
    <w:p>
      <w:pPr>
        <w:spacing w:after="0" w:line="560" w:lineRule="exact"/>
        <w:ind w:firstLine="640" w:firstLineChars="200"/>
        <w:jc w:val="both"/>
        <w:rPr>
          <w:rFonts w:ascii="Times New Roman" w:hAnsi="Times New Roman" w:cs="Times New Roman"/>
          <w:sz w:val="32"/>
          <w:szCs w:val="32"/>
        </w:rPr>
      </w:pPr>
      <w:r>
        <w:rPr>
          <w:rFonts w:ascii="Times New Roman" w:hAnsi="Times New Roman" w:eastAsia="方正仿宋_GBK" w:cs="Times New Roman"/>
          <w:sz w:val="32"/>
          <w:szCs w:val="32"/>
        </w:rPr>
        <w:t>全年总用水量7784万立方米，比上年增长0.6%。全县规模以上工业企业综合能源消耗量11.53万吨标煤（不含大唐火电），同口径同比下降9.4%。</w:t>
      </w:r>
    </w:p>
    <w:p>
      <w:pPr>
        <w:spacing w:after="0"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全年</w:t>
      </w:r>
      <w:r>
        <w:rPr>
          <w:rFonts w:ascii="Times New Roman" w:hAnsi="Times New Roman" w:eastAsia="方正仿宋_GBK" w:cs="Times New Roman"/>
          <w:sz w:val="32"/>
          <w:szCs w:val="32"/>
        </w:rPr>
        <w:t>完成营造林面积</w:t>
      </w:r>
      <w:r>
        <w:rPr>
          <w:rFonts w:hint="eastAsia" w:ascii="Times New Roman" w:hAnsi="Times New Roman" w:eastAsia="方正仿宋_GBK" w:cs="Times New Roman"/>
          <w:sz w:val="32"/>
          <w:szCs w:val="32"/>
        </w:rPr>
        <w:t>15.7万亩</w:t>
      </w:r>
      <w:r>
        <w:rPr>
          <w:rFonts w:ascii="Times New Roman" w:hAnsi="Times New Roman" w:eastAsia="方正仿宋_GBK" w:cs="Times New Roman"/>
          <w:sz w:val="32"/>
          <w:szCs w:val="32"/>
        </w:rPr>
        <w:t>，森林覆盖率62.56%（含四旁树）。治理水土流失面积39.8平方公里。空气质量优良天数344天。县城垃圾处理量</w:t>
      </w:r>
      <w:r>
        <w:rPr>
          <w:rFonts w:hint="eastAsia" w:ascii="Times New Roman" w:hAnsi="Times New Roman" w:eastAsia="方正仿宋_GBK" w:cs="Times New Roman"/>
          <w:sz w:val="32"/>
          <w:szCs w:val="32"/>
        </w:rPr>
        <w:t>4.85</w:t>
      </w:r>
      <w:r>
        <w:rPr>
          <w:rFonts w:ascii="Times New Roman" w:hAnsi="Times New Roman" w:eastAsia="方正仿宋_GBK" w:cs="Times New Roman"/>
          <w:sz w:val="32"/>
          <w:szCs w:val="32"/>
        </w:rPr>
        <w:t>万吨。城镇污水集中处理率98%。县城区域环境噪声平均等效声级为52.6分贝。</w:t>
      </w:r>
    </w:p>
    <w:p>
      <w:pPr>
        <w:spacing w:after="0" w:line="560" w:lineRule="exact"/>
        <w:ind w:left="110" w:leftChars="50"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共发生火灾以外的各类生产经营性安全伤亡事故11起，死亡11人，均与上年持平。其中，道路交通安全事故5起，死亡5人，均与上年持平；建筑施工事故5起，死亡5人，分别比上年增加2起和2人；工矿商贸及其他事故1起，死亡1人，分别比上年较少2起和2人。全年火灾事故</w:t>
      </w:r>
      <w:r>
        <w:rPr>
          <w:rFonts w:hint="eastAsia" w:ascii="Times New Roman" w:hAnsi="Times New Roman" w:eastAsia="方正仿宋_GBK" w:cs="Times New Roman"/>
          <w:sz w:val="32"/>
          <w:szCs w:val="32"/>
        </w:rPr>
        <w:t>130</w:t>
      </w:r>
      <w:r>
        <w:rPr>
          <w:rFonts w:ascii="Times New Roman" w:hAnsi="Times New Roman" w:eastAsia="方正仿宋_GBK" w:cs="Times New Roman"/>
          <w:sz w:val="32"/>
          <w:szCs w:val="32"/>
        </w:rPr>
        <w:t>起，死亡</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人，分别比上年</w:t>
      </w:r>
      <w:r>
        <w:rPr>
          <w:rFonts w:hint="eastAsia" w:ascii="Times New Roman" w:hAnsi="Times New Roman" w:eastAsia="方正仿宋_GBK" w:cs="Times New Roman"/>
          <w:sz w:val="32"/>
          <w:szCs w:val="32"/>
        </w:rPr>
        <w:t>减少17</w:t>
      </w:r>
      <w:r>
        <w:rPr>
          <w:rFonts w:ascii="Times New Roman" w:hAnsi="Times New Roman" w:eastAsia="方正仿宋_GBK" w:cs="Times New Roman"/>
          <w:sz w:val="32"/>
          <w:szCs w:val="32"/>
        </w:rPr>
        <w:t>起和1人，火灾直接经济损失</w:t>
      </w:r>
      <w:r>
        <w:rPr>
          <w:rFonts w:hint="eastAsia" w:ascii="Times New Roman" w:hAnsi="Times New Roman" w:eastAsia="方正仿宋_GBK" w:cs="Times New Roman"/>
          <w:sz w:val="32"/>
          <w:szCs w:val="32"/>
        </w:rPr>
        <w:t>698</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增加573</w:t>
      </w:r>
      <w:r>
        <w:rPr>
          <w:rFonts w:ascii="Times New Roman" w:hAnsi="Times New Roman" w:eastAsia="方正仿宋_GBK" w:cs="Times New Roman"/>
          <w:sz w:val="32"/>
          <w:szCs w:val="32"/>
        </w:rPr>
        <w:t>万元。</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十、乡村振兴和扶贫</w:t>
      </w:r>
    </w:p>
    <w:p>
      <w:pPr>
        <w:spacing w:after="0" w:line="560" w:lineRule="exact"/>
        <w:ind w:firstLine="640" w:firstLineChars="200"/>
        <w:jc w:val="both"/>
        <w:rPr>
          <w:rFonts w:ascii="Times New Roman" w:hAnsi="Times New Roman" w:eastAsia="方正仿宋_GBK" w:cs="Times New Roman"/>
          <w:color w:val="000000"/>
          <w:kern w:val="2"/>
          <w:sz w:val="32"/>
          <w:szCs w:val="32"/>
        </w:rPr>
      </w:pPr>
      <w:r>
        <w:rPr>
          <w:rFonts w:ascii="Times New Roman" w:hAnsi="Times New Roman" w:eastAsia="方正仿宋_GBK" w:cs="Times New Roman"/>
          <w:color w:val="000000"/>
          <w:kern w:val="2"/>
          <w:sz w:val="32"/>
          <w:szCs w:val="32"/>
        </w:rPr>
        <w:t>建成“四好农村路”235公里，改造农村电网10千伏线路61.5千米、低压线路31.31千米，新建及改扩建4G基站186个、5G基站244个，新建燃气管网75公里、惠及居民用户2155户</w:t>
      </w:r>
      <w:r>
        <w:rPr>
          <w:rFonts w:hint="eastAsia" w:ascii="Times New Roman" w:hAnsi="Times New Roman" w:eastAsia="方正仿宋_GBK" w:cs="Times New Roman"/>
          <w:color w:val="000000"/>
          <w:kern w:val="2"/>
          <w:sz w:val="32"/>
          <w:szCs w:val="32"/>
        </w:rPr>
        <w:t>。</w:t>
      </w:r>
      <w:r>
        <w:rPr>
          <w:rFonts w:ascii="Times New Roman" w:hAnsi="Times New Roman" w:eastAsia="方正仿宋_GBK" w:cs="Times New Roman"/>
          <w:color w:val="000000"/>
          <w:kern w:val="2"/>
          <w:sz w:val="32"/>
          <w:szCs w:val="32"/>
        </w:rPr>
        <w:t>建成高标准农田2.74万亩</w:t>
      </w:r>
      <w:r>
        <w:rPr>
          <w:rFonts w:hint="eastAsia" w:ascii="Times New Roman" w:hAnsi="Times New Roman" w:eastAsia="方正仿宋_GBK" w:cs="Times New Roman"/>
          <w:color w:val="000000"/>
          <w:kern w:val="2"/>
          <w:sz w:val="32"/>
          <w:szCs w:val="32"/>
        </w:rPr>
        <w:t>及</w:t>
      </w:r>
      <w:r>
        <w:rPr>
          <w:rFonts w:ascii="Times New Roman" w:hAnsi="Times New Roman" w:eastAsia="方正仿宋_GBK" w:cs="Times New Roman"/>
          <w:snapToGrid w:val="0"/>
          <w:color w:val="000000"/>
          <w:kern w:val="2"/>
          <w:sz w:val="32"/>
          <w:szCs w:val="32"/>
        </w:rPr>
        <w:t>13个中蜂标准化示范场，新（续）建有机农业示范基地41个，新培育绿色、有机农产品19个，新评定市级名牌农产品9个，认定</w:t>
      </w:r>
      <w:r>
        <w:rPr>
          <w:rFonts w:ascii="Times New Roman" w:hAnsi="Times New Roman" w:eastAsia="方正仿宋_GBK" w:cs="Times New Roman"/>
          <w:kern w:val="2"/>
          <w:sz w:val="32"/>
          <w:szCs w:val="20"/>
        </w:rPr>
        <w:t>市级“一村一品”示范村镇15个</w:t>
      </w:r>
      <w:r>
        <w:rPr>
          <w:rFonts w:ascii="Times New Roman" w:hAnsi="Times New Roman" w:eastAsia="方正仿宋_GBK" w:cs="Times New Roman"/>
          <w:snapToGrid w:val="0"/>
          <w:color w:val="000000"/>
          <w:kern w:val="2"/>
          <w:sz w:val="32"/>
          <w:szCs w:val="32"/>
        </w:rPr>
        <w:t>；巩固提升长效增收产业27.4万亩，新种植黄精、前胡等草本中药材3.05万亩，水果在地13.1万亩。</w:t>
      </w:r>
      <w:r>
        <w:rPr>
          <w:rFonts w:ascii="Times New Roman" w:hAnsi="Times New Roman" w:eastAsia="方正仿宋_GBK" w:cs="Times New Roman"/>
          <w:bCs/>
          <w:snapToGrid w:val="0"/>
          <w:color w:val="000000"/>
          <w:kern w:val="2"/>
          <w:sz w:val="32"/>
          <w:szCs w:val="32"/>
        </w:rPr>
        <w:t>选派3个乡村振兴专家服务团队、87名科技特派员服务基层</w:t>
      </w:r>
      <w:r>
        <w:rPr>
          <w:rFonts w:hint="eastAsia" w:ascii="Times New Roman" w:hAnsi="Times New Roman" w:eastAsia="方正仿宋_GBK" w:cs="Times New Roman"/>
          <w:bCs/>
          <w:snapToGrid w:val="0"/>
          <w:color w:val="000000"/>
          <w:kern w:val="2"/>
          <w:sz w:val="32"/>
          <w:szCs w:val="32"/>
        </w:rPr>
        <w:t>，</w:t>
      </w:r>
      <w:r>
        <w:rPr>
          <w:rFonts w:ascii="Times New Roman" w:hAnsi="Times New Roman" w:eastAsia="方正仿宋_GBK" w:cs="Times New Roman"/>
          <w:bCs/>
          <w:snapToGrid w:val="0"/>
          <w:color w:val="000000"/>
          <w:kern w:val="2"/>
          <w:sz w:val="32"/>
          <w:szCs w:val="32"/>
        </w:rPr>
        <w:t>新招募“三支一扶”大学生22名，回引本土人才369名。开展技能培训254人次，高素质农民培训500人，</w:t>
      </w:r>
      <w:r>
        <w:rPr>
          <w:rFonts w:ascii="Times New Roman" w:hAnsi="Times New Roman" w:eastAsia="方正仿宋_GBK" w:cs="Times New Roman"/>
          <w:bCs/>
          <w:snapToGrid w:val="0"/>
          <w:kern w:val="2"/>
          <w:sz w:val="32"/>
          <w:szCs w:val="32"/>
        </w:rPr>
        <w:t>致</w:t>
      </w:r>
      <w:r>
        <w:rPr>
          <w:rFonts w:ascii="Times New Roman" w:hAnsi="Times New Roman" w:eastAsia="方正仿宋_GBK" w:cs="Times New Roman"/>
          <w:bCs/>
          <w:snapToGrid w:val="0"/>
          <w:color w:val="000000"/>
          <w:kern w:val="2"/>
          <w:sz w:val="32"/>
          <w:szCs w:val="32"/>
        </w:rPr>
        <w:t>富带头人培训200人次，培育扶持青年农场主10人。建设乡情陈列馆5个，培育群众文化活动品牌3个，创作乡村文艺作品500余件，开展惠民电影放映3448场次。</w:t>
      </w:r>
      <w:r>
        <w:rPr>
          <w:rFonts w:ascii="Times New Roman" w:hAnsi="Times New Roman" w:eastAsia="方正仿宋_GBK" w:cs="Times New Roman"/>
          <w:snapToGrid w:val="0"/>
          <w:color w:val="000000"/>
          <w:kern w:val="2"/>
          <w:sz w:val="32"/>
          <w:szCs w:val="32"/>
        </w:rPr>
        <w:t>畜禽粪污综合利用率达</w:t>
      </w:r>
      <w:r>
        <w:rPr>
          <w:rFonts w:hint="eastAsia" w:ascii="Times New Roman" w:hAnsi="Times New Roman" w:eastAsia="方正仿宋_GBK" w:cs="Times New Roman"/>
          <w:snapToGrid w:val="0"/>
          <w:color w:val="000000"/>
          <w:kern w:val="2"/>
          <w:sz w:val="32"/>
          <w:szCs w:val="32"/>
        </w:rPr>
        <w:t>83</w:t>
      </w:r>
      <w:r>
        <w:rPr>
          <w:rFonts w:ascii="Times New Roman" w:hAnsi="Times New Roman" w:eastAsia="方正仿宋_GBK" w:cs="Times New Roman"/>
          <w:snapToGrid w:val="0"/>
          <w:color w:val="000000"/>
          <w:kern w:val="2"/>
          <w:sz w:val="32"/>
          <w:szCs w:val="32"/>
        </w:rPr>
        <w:t>.</w:t>
      </w:r>
      <w:r>
        <w:rPr>
          <w:rFonts w:hint="eastAsia" w:ascii="Times New Roman" w:hAnsi="Times New Roman" w:eastAsia="方正仿宋_GBK" w:cs="Times New Roman"/>
          <w:snapToGrid w:val="0"/>
          <w:color w:val="000000"/>
          <w:kern w:val="2"/>
          <w:sz w:val="32"/>
          <w:szCs w:val="32"/>
        </w:rPr>
        <w:t>54</w:t>
      </w:r>
      <w:r>
        <w:rPr>
          <w:rFonts w:ascii="Times New Roman" w:hAnsi="Times New Roman" w:eastAsia="方正仿宋_GBK" w:cs="Times New Roman"/>
          <w:snapToGrid w:val="0"/>
          <w:color w:val="000000"/>
          <w:kern w:val="2"/>
          <w:sz w:val="32"/>
          <w:szCs w:val="32"/>
        </w:rPr>
        <w:t>%</w:t>
      </w:r>
      <w:r>
        <w:rPr>
          <w:rFonts w:hint="eastAsia" w:ascii="Times New Roman" w:hAnsi="Times New Roman" w:eastAsia="方正仿宋_GBK" w:cs="Times New Roman"/>
          <w:snapToGrid w:val="0"/>
          <w:color w:val="000000"/>
          <w:kern w:val="2"/>
          <w:sz w:val="32"/>
          <w:szCs w:val="32"/>
        </w:rPr>
        <w:t>，</w:t>
      </w:r>
      <w:r>
        <w:rPr>
          <w:rFonts w:ascii="Times New Roman" w:hAnsi="Times New Roman" w:eastAsia="方正仿宋_GBK" w:cs="Times New Roman"/>
          <w:snapToGrid w:val="0"/>
          <w:color w:val="000000"/>
          <w:kern w:val="2"/>
          <w:sz w:val="32"/>
          <w:szCs w:val="32"/>
        </w:rPr>
        <w:t>秸秆综合利用率稳定在</w:t>
      </w:r>
      <w:r>
        <w:rPr>
          <w:rFonts w:hint="eastAsia" w:ascii="Times New Roman" w:hAnsi="Times New Roman" w:eastAsia="方正仿宋_GBK" w:cs="Times New Roman"/>
          <w:snapToGrid w:val="0"/>
          <w:color w:val="000000"/>
          <w:kern w:val="2"/>
          <w:sz w:val="32"/>
          <w:szCs w:val="32"/>
        </w:rPr>
        <w:t>90</w:t>
      </w:r>
      <w:r>
        <w:rPr>
          <w:rFonts w:ascii="Times New Roman" w:hAnsi="Times New Roman" w:eastAsia="方正仿宋_GBK" w:cs="Times New Roman"/>
          <w:snapToGrid w:val="0"/>
          <w:color w:val="000000"/>
          <w:kern w:val="2"/>
          <w:sz w:val="32"/>
          <w:szCs w:val="32"/>
        </w:rPr>
        <w:t>%</w:t>
      </w:r>
      <w:r>
        <w:rPr>
          <w:rFonts w:hint="eastAsia" w:ascii="Times New Roman" w:hAnsi="Times New Roman" w:eastAsia="方正仿宋_GBK" w:cs="Times New Roman"/>
          <w:snapToGrid w:val="0"/>
          <w:color w:val="000000"/>
          <w:kern w:val="2"/>
          <w:sz w:val="32"/>
          <w:szCs w:val="32"/>
        </w:rPr>
        <w:t>，</w:t>
      </w:r>
      <w:r>
        <w:rPr>
          <w:rFonts w:ascii="Times New Roman" w:hAnsi="Times New Roman" w:eastAsia="方正仿宋_GBK" w:cs="Times New Roman"/>
          <w:snapToGrid w:val="0"/>
          <w:color w:val="000000"/>
          <w:kern w:val="2"/>
          <w:sz w:val="32"/>
          <w:szCs w:val="32"/>
        </w:rPr>
        <w:t>实施有机肥替代化肥示范</w:t>
      </w:r>
      <w:r>
        <w:rPr>
          <w:rFonts w:hint="eastAsia" w:ascii="Times New Roman" w:hAnsi="Times New Roman" w:eastAsia="方正仿宋_GBK" w:cs="Times New Roman"/>
          <w:snapToGrid w:val="0"/>
          <w:color w:val="000000"/>
          <w:kern w:val="2"/>
          <w:sz w:val="32"/>
          <w:szCs w:val="32"/>
        </w:rPr>
        <w:t>20000</w:t>
      </w:r>
      <w:r>
        <w:rPr>
          <w:rFonts w:ascii="Times New Roman" w:hAnsi="Times New Roman" w:eastAsia="方正仿宋_GBK" w:cs="Times New Roman"/>
          <w:snapToGrid w:val="0"/>
          <w:color w:val="000000"/>
          <w:kern w:val="2"/>
          <w:sz w:val="32"/>
          <w:szCs w:val="32"/>
        </w:rPr>
        <w:t>亩</w:t>
      </w:r>
      <w:r>
        <w:rPr>
          <w:rFonts w:hint="eastAsia" w:ascii="Times New Roman" w:hAnsi="Times New Roman" w:eastAsia="方正仿宋_GBK" w:cs="Times New Roman"/>
          <w:snapToGrid w:val="0"/>
          <w:color w:val="000000"/>
          <w:kern w:val="2"/>
          <w:sz w:val="32"/>
          <w:szCs w:val="32"/>
        </w:rPr>
        <w:t>，</w:t>
      </w:r>
      <w:r>
        <w:rPr>
          <w:rFonts w:hint="eastAsia" w:ascii="Times New Roman" w:hAnsi="Times New Roman" w:eastAsia="方正仿宋_GBK" w:cs="Times New Roman"/>
          <w:color w:val="000000"/>
          <w:kern w:val="2"/>
          <w:sz w:val="32"/>
          <w:szCs w:val="32"/>
        </w:rPr>
        <w:t>推广测土配方施肥技术覆盖率达93.5%、化肥利用率达40.3%、病虫害统防统治覆盖率达40%。回收废弃农膜181.19吨、农用包装物26.12吨</w:t>
      </w:r>
      <w:r>
        <w:rPr>
          <w:rFonts w:ascii="Times New Roman" w:hAnsi="Times New Roman" w:eastAsia="方正仿宋_GBK" w:cs="Times New Roman"/>
          <w:snapToGrid w:val="0"/>
          <w:color w:val="000000"/>
          <w:kern w:val="2"/>
          <w:sz w:val="32"/>
          <w:szCs w:val="32"/>
        </w:rPr>
        <w:t>。</w:t>
      </w:r>
      <w:r>
        <w:rPr>
          <w:rFonts w:hint="eastAsia" w:ascii="Times New Roman" w:hAnsi="Times New Roman" w:eastAsia="方正仿宋_GBK" w:cs="Times New Roman"/>
          <w:color w:val="000000"/>
          <w:kern w:val="2"/>
          <w:sz w:val="32"/>
          <w:szCs w:val="32"/>
        </w:rPr>
        <w:t>成功创建重庆市生态文明建设示范乡镇23个、美丽庭院250余个。</w:t>
      </w:r>
    </w:p>
    <w:p>
      <w:pPr>
        <w:spacing w:after="0" w:line="560" w:lineRule="exact"/>
        <w:ind w:firstLine="640" w:firstLineChars="200"/>
        <w:jc w:val="both"/>
        <w:rPr>
          <w:rFonts w:ascii="Times New Roman" w:hAnsi="Times New Roman" w:eastAsia="方正仿宋_GBK" w:cs="Times New Roman"/>
          <w:kern w:val="2"/>
          <w:sz w:val="32"/>
          <w:szCs w:val="32"/>
        </w:rPr>
      </w:pPr>
      <w:r>
        <w:rPr>
          <w:rFonts w:hint="eastAsia" w:ascii="Times New Roman" w:hAnsi="Times New Roman" w:eastAsia="方正仿宋_GBK" w:cs="Times New Roman"/>
          <w:snapToGrid w:val="0"/>
          <w:color w:val="000000"/>
          <w:kern w:val="2"/>
          <w:sz w:val="32"/>
          <w:szCs w:val="32"/>
        </w:rPr>
        <w:t>全年资助脱贫家庭学生8.3万人次5226万元；医疗救助脱贫人口、农村低保对象7.67万人次2601万元；实施农村危房改造100户，</w:t>
      </w:r>
      <w:r>
        <w:rPr>
          <w:rFonts w:ascii="Times New Roman" w:hAnsi="Times New Roman" w:eastAsia="方正仿宋_GBK" w:cs="Times New Roman"/>
          <w:snapToGrid w:val="0"/>
          <w:color w:val="000000"/>
          <w:kern w:val="2"/>
          <w:sz w:val="32"/>
          <w:szCs w:val="32"/>
        </w:rPr>
        <w:t>完成改造农村户厕2568户；</w:t>
      </w:r>
      <w:r>
        <w:rPr>
          <w:rFonts w:hint="eastAsia" w:ascii="Times New Roman" w:hAnsi="Times New Roman" w:eastAsia="方正仿宋_GBK" w:cs="Times New Roman"/>
          <w:snapToGrid w:val="0"/>
          <w:color w:val="000000"/>
          <w:kern w:val="2"/>
          <w:sz w:val="32"/>
          <w:szCs w:val="32"/>
        </w:rPr>
        <w:t>实施农村饮水安全巩固提升工程53处，农村集中供水率达到89.5%；实施临时困难救助385人次。公益性岗位安置就业3741人，脱贫人口实现转移就业25371人。兑现脱贫人口交通补贴14630人次283.13万元、一次求职创业补助2458人123.65万元。带动搬迁户发展特色种植7037亩、养殖生猪、家禽、中蜂等19611头（群、只），促进2993名有就业意愿的劳动力全部就业。全年分别安排财政衔接资金、财政涉农统筹整合资金3.42亿元、6.13亿元。</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十一、科学技术、教育和文化旅游</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全年共受理专利申请149件，其中发明专利申请36件。获得专利授权342件，其中发明专利授权7件。截</w:t>
      </w:r>
      <w:r>
        <w:rPr>
          <w:rFonts w:ascii="Times New Roman" w:hAnsi="Times New Roman" w:eastAsia="方正仿宋_GBK" w:cs="Times New Roman"/>
          <w:color w:val="000000"/>
          <w:sz w:val="32"/>
          <w:szCs w:val="32"/>
        </w:rPr>
        <w:t>至年底，</w:t>
      </w:r>
      <w:r>
        <w:rPr>
          <w:rFonts w:ascii="Times New Roman" w:hAnsi="Times New Roman" w:eastAsia="方正仿宋_GBK" w:cs="Times New Roman"/>
          <w:color w:val="0C0C0C" w:themeColor="text1" w:themeTint="F2"/>
          <w:sz w:val="32"/>
          <w:szCs w:val="32"/>
        </w:rPr>
        <w:t>全县市级研发机构</w:t>
      </w:r>
      <w:r>
        <w:rPr>
          <w:rFonts w:hint="eastAsia" w:ascii="Times New Roman" w:hAnsi="Times New Roman" w:eastAsia="方正仿宋_GBK" w:cs="Times New Roman"/>
          <w:color w:val="0C0C0C" w:themeColor="text1" w:themeTint="F2"/>
          <w:sz w:val="32"/>
          <w:szCs w:val="32"/>
        </w:rPr>
        <w:t>5</w:t>
      </w:r>
      <w:r>
        <w:rPr>
          <w:rFonts w:ascii="Times New Roman" w:hAnsi="Times New Roman" w:eastAsia="方正仿宋_GBK" w:cs="Times New Roman"/>
          <w:color w:val="0C0C0C" w:themeColor="text1" w:themeTint="F2"/>
          <w:sz w:val="32"/>
          <w:szCs w:val="32"/>
        </w:rPr>
        <w:t>家，</w:t>
      </w:r>
      <w:r>
        <w:rPr>
          <w:rFonts w:ascii="Times New Roman" w:hAnsi="Times New Roman" w:eastAsia="方正仿宋_GBK" w:cs="Times New Roman"/>
          <w:color w:val="000000"/>
          <w:sz w:val="32"/>
          <w:szCs w:val="32"/>
        </w:rPr>
        <w:t>国家高新技术企业</w:t>
      </w:r>
      <w:r>
        <w:rPr>
          <w:rFonts w:hint="eastAsia" w:ascii="Times New Roman" w:hAnsi="Times New Roman" w:eastAsia="方正仿宋_GBK" w:cs="Times New Roman"/>
          <w:color w:val="000000"/>
          <w:sz w:val="32"/>
          <w:szCs w:val="32"/>
        </w:rPr>
        <w:t>11</w:t>
      </w:r>
      <w:r>
        <w:rPr>
          <w:rFonts w:ascii="Times New Roman" w:hAnsi="Times New Roman" w:eastAsia="方正仿宋_GBK" w:cs="Times New Roman"/>
          <w:color w:val="000000"/>
          <w:sz w:val="32"/>
          <w:szCs w:val="32"/>
        </w:rPr>
        <w:t>家，科技型企业</w:t>
      </w:r>
      <w:r>
        <w:rPr>
          <w:rFonts w:hint="eastAsia" w:ascii="Times New Roman" w:hAnsi="Times New Roman" w:eastAsia="方正仿宋_GBK" w:cs="Times New Roman"/>
          <w:color w:val="000000"/>
          <w:sz w:val="32"/>
          <w:szCs w:val="32"/>
        </w:rPr>
        <w:t>220</w:t>
      </w:r>
      <w:r>
        <w:rPr>
          <w:rFonts w:ascii="Times New Roman" w:hAnsi="Times New Roman" w:eastAsia="方正仿宋_GBK" w:cs="Times New Roman"/>
          <w:color w:val="000000"/>
          <w:sz w:val="32"/>
          <w:szCs w:val="32"/>
        </w:rPr>
        <w:t>家。全年</w:t>
      </w:r>
      <w:r>
        <w:rPr>
          <w:rFonts w:ascii="Times New Roman" w:hAnsi="Times New Roman" w:eastAsia="方正仿宋_GBK" w:cs="Times New Roman"/>
          <w:kern w:val="2"/>
          <w:sz w:val="32"/>
          <w:szCs w:val="32"/>
        </w:rPr>
        <w:t>实现战略性新兴产业产值</w:t>
      </w:r>
      <w:r>
        <w:rPr>
          <w:rFonts w:hint="eastAsia" w:ascii="Times New Roman" w:hAnsi="Times New Roman" w:eastAsia="方正仿宋_GBK" w:cs="Times New Roman"/>
          <w:kern w:val="2"/>
          <w:sz w:val="32"/>
          <w:szCs w:val="32"/>
        </w:rPr>
        <w:t>23.54</w:t>
      </w:r>
      <w:r>
        <w:rPr>
          <w:rFonts w:ascii="Times New Roman" w:hAnsi="Times New Roman" w:eastAsia="方正仿宋_GBK" w:cs="Times New Roman"/>
          <w:kern w:val="2"/>
          <w:sz w:val="32"/>
          <w:szCs w:val="32"/>
        </w:rPr>
        <w:t>亿元。</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全县共有学校</w:t>
      </w:r>
      <w:r>
        <w:rPr>
          <w:rFonts w:hint="eastAsia" w:ascii="Times New Roman" w:hAnsi="Times New Roman" w:eastAsia="方正仿宋_GBK" w:cs="Times New Roman"/>
          <w:sz w:val="32"/>
          <w:szCs w:val="32"/>
        </w:rPr>
        <w:t>151</w:t>
      </w:r>
      <w:r>
        <w:rPr>
          <w:rFonts w:ascii="Times New Roman" w:hAnsi="Times New Roman" w:eastAsia="方正仿宋_GBK" w:cs="Times New Roman"/>
          <w:sz w:val="32"/>
          <w:szCs w:val="32"/>
        </w:rPr>
        <w:t>所。其中，中等职业学校2所，普通中学20所，普通小学</w:t>
      </w:r>
      <w:r>
        <w:rPr>
          <w:rFonts w:hint="eastAsia" w:ascii="Times New Roman" w:hAnsi="Times New Roman" w:eastAsia="方正仿宋_GBK" w:cs="Times New Roman"/>
          <w:sz w:val="32"/>
          <w:szCs w:val="32"/>
        </w:rPr>
        <w:t>47</w:t>
      </w:r>
      <w:r>
        <w:rPr>
          <w:rFonts w:ascii="Times New Roman" w:hAnsi="Times New Roman" w:eastAsia="方正仿宋_GBK" w:cs="Times New Roman"/>
          <w:sz w:val="32"/>
          <w:szCs w:val="32"/>
        </w:rPr>
        <w:t>所，幼儿园</w:t>
      </w:r>
      <w:r>
        <w:rPr>
          <w:rFonts w:hint="eastAsia" w:ascii="Times New Roman" w:hAnsi="Times New Roman" w:eastAsia="方正仿宋_GBK" w:cs="Times New Roman"/>
          <w:sz w:val="32"/>
          <w:szCs w:val="32"/>
        </w:rPr>
        <w:t>81</w:t>
      </w:r>
      <w:r>
        <w:rPr>
          <w:rFonts w:ascii="Times New Roman" w:hAnsi="Times New Roman" w:eastAsia="方正仿宋_GBK" w:cs="Times New Roman"/>
          <w:sz w:val="32"/>
          <w:szCs w:val="32"/>
        </w:rPr>
        <w:t>所，特殊教育学校1所。普通高中招生</w:t>
      </w:r>
      <w:r>
        <w:rPr>
          <w:rFonts w:hint="eastAsia" w:ascii="Times New Roman" w:hAnsi="Times New Roman" w:eastAsia="方正仿宋_GBK" w:cs="Times New Roman"/>
          <w:sz w:val="32"/>
          <w:szCs w:val="32"/>
        </w:rPr>
        <w:t>4687</w:t>
      </w:r>
      <w:r>
        <w:rPr>
          <w:rFonts w:ascii="Times New Roman" w:hAnsi="Times New Roman" w:eastAsia="方正仿宋_GBK" w:cs="Times New Roman"/>
          <w:sz w:val="32"/>
          <w:szCs w:val="32"/>
        </w:rPr>
        <w:t>人，在校生</w:t>
      </w:r>
      <w:r>
        <w:rPr>
          <w:rFonts w:hint="eastAsia" w:ascii="Times New Roman" w:hAnsi="Times New Roman" w:eastAsia="方正仿宋_GBK" w:cs="Times New Roman"/>
          <w:sz w:val="32"/>
          <w:szCs w:val="32"/>
        </w:rPr>
        <w:t>13483</w:t>
      </w:r>
      <w:r>
        <w:rPr>
          <w:rFonts w:ascii="Times New Roman" w:hAnsi="Times New Roman" w:eastAsia="方正仿宋_GBK" w:cs="Times New Roman"/>
          <w:sz w:val="32"/>
          <w:szCs w:val="32"/>
        </w:rPr>
        <w:t>人，毕业生</w:t>
      </w:r>
      <w:r>
        <w:rPr>
          <w:rFonts w:hint="eastAsia" w:ascii="Times New Roman" w:hAnsi="Times New Roman" w:eastAsia="方正仿宋_GBK" w:cs="Times New Roman"/>
          <w:sz w:val="32"/>
          <w:szCs w:val="32"/>
        </w:rPr>
        <w:t>3749</w:t>
      </w:r>
      <w:r>
        <w:rPr>
          <w:rFonts w:ascii="Times New Roman" w:hAnsi="Times New Roman" w:eastAsia="方正仿宋_GBK" w:cs="Times New Roman"/>
          <w:sz w:val="32"/>
          <w:szCs w:val="32"/>
        </w:rPr>
        <w:t>人，专任教师</w:t>
      </w:r>
      <w:r>
        <w:rPr>
          <w:rFonts w:hint="eastAsia" w:ascii="Times New Roman" w:hAnsi="Times New Roman" w:eastAsia="方正仿宋_GBK" w:cs="Times New Roman"/>
          <w:sz w:val="32"/>
          <w:szCs w:val="32"/>
        </w:rPr>
        <w:t>847</w:t>
      </w:r>
      <w:r>
        <w:rPr>
          <w:rFonts w:ascii="Times New Roman" w:hAnsi="Times New Roman" w:eastAsia="方正仿宋_GBK" w:cs="Times New Roman"/>
          <w:sz w:val="32"/>
          <w:szCs w:val="32"/>
        </w:rPr>
        <w:t>人；普通初中招生</w:t>
      </w:r>
      <w:r>
        <w:rPr>
          <w:rFonts w:hint="eastAsia" w:ascii="Times New Roman" w:hAnsi="Times New Roman" w:eastAsia="方正仿宋_GBK" w:cs="Times New Roman"/>
          <w:sz w:val="32"/>
          <w:szCs w:val="32"/>
        </w:rPr>
        <w:t>5177</w:t>
      </w:r>
      <w:r>
        <w:rPr>
          <w:rFonts w:ascii="Times New Roman" w:hAnsi="Times New Roman" w:eastAsia="方正仿宋_GBK" w:cs="Times New Roman"/>
          <w:sz w:val="32"/>
          <w:szCs w:val="32"/>
        </w:rPr>
        <w:t>人，在校生</w:t>
      </w:r>
      <w:r>
        <w:rPr>
          <w:rFonts w:hint="eastAsia" w:ascii="Times New Roman" w:hAnsi="Times New Roman" w:eastAsia="方正仿宋_GBK" w:cs="Times New Roman"/>
          <w:sz w:val="32"/>
          <w:szCs w:val="32"/>
        </w:rPr>
        <w:t>17021</w:t>
      </w:r>
      <w:r>
        <w:rPr>
          <w:rFonts w:ascii="Times New Roman" w:hAnsi="Times New Roman" w:eastAsia="方正仿宋_GBK" w:cs="Times New Roman"/>
          <w:sz w:val="32"/>
          <w:szCs w:val="32"/>
        </w:rPr>
        <w:t>人，毕业生</w:t>
      </w:r>
      <w:r>
        <w:rPr>
          <w:rFonts w:hint="eastAsia" w:ascii="Times New Roman" w:hAnsi="Times New Roman" w:eastAsia="方正仿宋_GBK" w:cs="Times New Roman"/>
          <w:sz w:val="32"/>
          <w:szCs w:val="32"/>
        </w:rPr>
        <w:t>6396</w:t>
      </w:r>
      <w:r>
        <w:rPr>
          <w:rFonts w:ascii="Times New Roman" w:hAnsi="Times New Roman" w:eastAsia="方正仿宋_GBK" w:cs="Times New Roman"/>
          <w:sz w:val="32"/>
          <w:szCs w:val="32"/>
        </w:rPr>
        <w:t>人，专任教师</w:t>
      </w:r>
      <w:r>
        <w:rPr>
          <w:rFonts w:hint="eastAsia" w:ascii="Times New Roman" w:hAnsi="Times New Roman" w:eastAsia="方正仿宋_GBK" w:cs="Times New Roman"/>
          <w:sz w:val="32"/>
          <w:szCs w:val="32"/>
        </w:rPr>
        <w:t>1503</w:t>
      </w:r>
      <w:r>
        <w:rPr>
          <w:rFonts w:ascii="Times New Roman" w:hAnsi="Times New Roman" w:eastAsia="方正仿宋_GBK" w:cs="Times New Roman"/>
          <w:sz w:val="32"/>
          <w:szCs w:val="32"/>
        </w:rPr>
        <w:t>人；普通小学招生</w:t>
      </w:r>
      <w:r>
        <w:rPr>
          <w:rFonts w:hint="eastAsia" w:ascii="Times New Roman" w:hAnsi="Times New Roman" w:eastAsia="方正仿宋_GBK" w:cs="Times New Roman"/>
          <w:sz w:val="32"/>
          <w:szCs w:val="32"/>
        </w:rPr>
        <w:t>4082</w:t>
      </w:r>
      <w:r>
        <w:rPr>
          <w:rFonts w:ascii="Times New Roman" w:hAnsi="Times New Roman" w:eastAsia="方正仿宋_GBK" w:cs="Times New Roman"/>
          <w:sz w:val="32"/>
          <w:szCs w:val="32"/>
        </w:rPr>
        <w:t>人，在校生</w:t>
      </w:r>
      <w:r>
        <w:rPr>
          <w:rFonts w:hint="eastAsia" w:ascii="Times New Roman" w:hAnsi="Times New Roman" w:eastAsia="方正仿宋_GBK" w:cs="Times New Roman"/>
          <w:sz w:val="32"/>
          <w:szCs w:val="32"/>
        </w:rPr>
        <w:t>27219</w:t>
      </w:r>
      <w:r>
        <w:rPr>
          <w:rFonts w:ascii="Times New Roman" w:hAnsi="Times New Roman" w:eastAsia="方正仿宋_GBK" w:cs="Times New Roman"/>
          <w:sz w:val="32"/>
          <w:szCs w:val="32"/>
        </w:rPr>
        <w:t>人，毕业生</w:t>
      </w:r>
      <w:r>
        <w:rPr>
          <w:rFonts w:hint="eastAsia" w:ascii="Times New Roman" w:hAnsi="Times New Roman" w:eastAsia="方正仿宋_GBK" w:cs="Times New Roman"/>
          <w:sz w:val="32"/>
          <w:szCs w:val="32"/>
        </w:rPr>
        <w:t>5122</w:t>
      </w:r>
      <w:r>
        <w:rPr>
          <w:rFonts w:ascii="Times New Roman" w:hAnsi="Times New Roman" w:eastAsia="方正仿宋_GBK" w:cs="Times New Roman"/>
          <w:sz w:val="32"/>
          <w:szCs w:val="32"/>
        </w:rPr>
        <w:t>人，专任教师</w:t>
      </w:r>
      <w:r>
        <w:rPr>
          <w:rFonts w:hint="eastAsia" w:ascii="Times New Roman" w:hAnsi="Times New Roman" w:eastAsia="方正仿宋_GBK" w:cs="Times New Roman"/>
          <w:sz w:val="32"/>
          <w:szCs w:val="32"/>
        </w:rPr>
        <w:t>2317</w:t>
      </w:r>
      <w:r>
        <w:rPr>
          <w:rFonts w:ascii="Times New Roman" w:hAnsi="Times New Roman" w:eastAsia="方正仿宋_GBK" w:cs="Times New Roman"/>
          <w:sz w:val="32"/>
          <w:szCs w:val="32"/>
        </w:rPr>
        <w:t>人。</w:t>
      </w:r>
    </w:p>
    <w:p>
      <w:pPr>
        <w:spacing w:after="0" w:line="560" w:lineRule="exact"/>
        <w:ind w:firstLine="640" w:firstLineChars="200"/>
        <w:jc w:val="both"/>
        <w:rPr>
          <w:rFonts w:ascii="Times New Roman" w:hAnsi="Times New Roman" w:eastAsia="方正仿宋_GBK" w:cs="Times New Roman"/>
          <w:color w:val="0C0C0C" w:themeColor="text1" w:themeTint="F2"/>
          <w:kern w:val="2"/>
          <w:sz w:val="32"/>
          <w:szCs w:val="32"/>
        </w:rPr>
      </w:pPr>
      <w:r>
        <w:rPr>
          <w:rFonts w:ascii="Times New Roman" w:hAnsi="Times New Roman" w:eastAsia="方正仿宋_GBK" w:cs="Times New Roman"/>
          <w:color w:val="0C0C0C" w:themeColor="text1" w:themeTint="F2"/>
          <w:sz w:val="32"/>
          <w:szCs w:val="32"/>
        </w:rPr>
        <w:t>全年全县</w:t>
      </w:r>
      <w:r>
        <w:rPr>
          <w:rFonts w:ascii="Times New Roman" w:hAnsi="Times New Roman" w:eastAsia="方正仿宋_GBK" w:cs="Times New Roman"/>
          <w:color w:val="0C0C0C" w:themeColor="text1" w:themeTint="F2"/>
          <w:kern w:val="2"/>
          <w:sz w:val="32"/>
          <w:szCs w:val="32"/>
        </w:rPr>
        <w:t>文化旅游招商项目完成合同引资33.5亿元，完成旅游投资25.62亿元。</w:t>
      </w:r>
      <w:r>
        <w:rPr>
          <w:rFonts w:ascii="Times New Roman" w:hAnsi="Times New Roman" w:eastAsia="方正仿宋_GBK" w:cs="Times New Roman"/>
          <w:color w:val="0C0C0C" w:themeColor="text1" w:themeTint="F2"/>
          <w:sz w:val="32"/>
          <w:szCs w:val="32"/>
        </w:rPr>
        <w:t>万</w:t>
      </w:r>
      <w:r>
        <w:rPr>
          <w:rFonts w:ascii="Times New Roman" w:hAnsi="Times New Roman" w:eastAsia="方正仿宋_GBK" w:cs="Times New Roman"/>
          <w:color w:val="0C0C0C" w:themeColor="text1" w:themeTint="F2"/>
          <w:kern w:val="2"/>
          <w:sz w:val="32"/>
          <w:szCs w:val="32"/>
        </w:rPr>
        <w:t>人拥有“三馆一中心”建筑面积达663.66㎡/万人，实施流动文化服务进村1000场。有线电视及IPTV覆盖率达70%，广播电视综合覆盖率达到100%。康养民宿达47家，“黄水人家”社员增至1220家。</w:t>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年末全县拥有国家A级景区8个，其中4A级景区5个。全年共接待游客1715万人次，比上年增长6.1%，其中过夜游客976万人次、增长1.9%；实现旅游综合收入127.8亿元，比上年增长6.7%。</w:t>
      </w:r>
    </w:p>
    <w:p>
      <w:pPr>
        <w:spacing w:after="0" w:line="560" w:lineRule="exact"/>
        <w:ind w:firstLine="640" w:firstLineChars="200"/>
        <w:jc w:val="both"/>
        <w:rPr>
          <w:rFonts w:ascii="Times New Roman" w:hAnsi="Times New Roman" w:eastAsia="方正仿宋_GBK" w:cs="Times New Roman"/>
          <w:color w:val="0C0C0C" w:themeColor="text1" w:themeTint="F2"/>
          <w:sz w:val="32"/>
          <w:szCs w:val="32"/>
        </w:rPr>
      </w:pPr>
      <w:r>
        <w:rPr>
          <w:rFonts w:ascii="Times New Roman" w:hAnsi="Times New Roman" w:eastAsia="方正仿宋_GBK" w:cs="Times New Roman"/>
          <w:color w:val="0C0C0C" w:themeColor="text1" w:themeTint="F2"/>
          <w:sz w:val="32"/>
          <w:szCs w:val="32"/>
        </w:rPr>
        <w:t>全年</w:t>
      </w:r>
      <w:r>
        <w:rPr>
          <w:rFonts w:ascii="Times New Roman" w:hAnsi="Times New Roman" w:eastAsia="方正仿宋_GBK" w:cs="Times New Roman"/>
          <w:color w:val="0C0C0C" w:themeColor="text1" w:themeTint="F2"/>
          <w:kern w:val="2"/>
          <w:sz w:val="32"/>
          <w:szCs w:val="32"/>
        </w:rPr>
        <w:t>新增2家规模以上文化企业、1家规模以上旅游企业。全县旅游及相关产业实现增加值8.57亿元，比上年现价增长12.3%，占地区生产总值比重为4.6%。</w:t>
      </w:r>
    </w:p>
    <w:p>
      <w:pPr>
        <w:spacing w:after="0" w:line="560" w:lineRule="exact"/>
        <w:ind w:firstLine="640" w:firstLineChars="200"/>
        <w:jc w:val="both"/>
        <w:rPr>
          <w:rFonts w:ascii="方正黑体_GBK" w:hAnsi="宋体" w:eastAsia="方正黑体_GBK" w:cs="宋体"/>
          <w:sz w:val="32"/>
          <w:szCs w:val="32"/>
        </w:rPr>
      </w:pPr>
      <w:r>
        <w:rPr>
          <w:rFonts w:hint="eastAsia" w:ascii="方正黑体_GBK" w:hAnsi="宋体" w:eastAsia="方正黑体_GBK" w:cs="宋体"/>
          <w:sz w:val="32"/>
          <w:szCs w:val="32"/>
        </w:rPr>
        <w:t>十二、卫生健康和体育</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卫生系统全年实现总收入12.02亿元。年末全县共有各级各类医疗卫生机构351个。其中，医院9个，社区卫生服务中心（站）5个，乡镇卫生院30个，村卫生室213个。医疗卫生机构实有床位数3955张。其中，医院床位2560张，乡镇卫生院床位1197张。全县共有卫生技术人员2765人。其中，执业医师818人，执业助理医师232人，注册护士1233人。</w:t>
      </w:r>
      <w:r>
        <w:rPr>
          <w:rFonts w:hint="eastAsia" w:ascii="Times New Roman" w:hAnsi="Times New Roman" w:eastAsia="方正仿宋_GBK" w:cs="Times New Roman"/>
          <w:sz w:val="32"/>
          <w:szCs w:val="32"/>
        </w:rPr>
        <w:t>常住人口中</w:t>
      </w:r>
      <w:r>
        <w:rPr>
          <w:rFonts w:ascii="Times New Roman" w:hAnsi="Times New Roman" w:eastAsia="方正仿宋_GBK" w:cs="Times New Roman"/>
          <w:sz w:val="32"/>
          <w:szCs w:val="32"/>
        </w:rPr>
        <w:t>每千人拥有卫生技术人员</w:t>
      </w:r>
      <w:r>
        <w:rPr>
          <w:rFonts w:hint="eastAsia" w:ascii="Times New Roman" w:hAnsi="Times New Roman" w:eastAsia="方正仿宋_GBK" w:cs="Times New Roman"/>
          <w:sz w:val="32"/>
          <w:szCs w:val="32"/>
        </w:rPr>
        <w:t>7.13</w:t>
      </w:r>
      <w:r>
        <w:rPr>
          <w:rFonts w:ascii="Times New Roman" w:hAnsi="Times New Roman" w:eastAsia="方正仿宋_GBK" w:cs="Times New Roman"/>
          <w:sz w:val="32"/>
          <w:szCs w:val="32"/>
        </w:rPr>
        <w:t>人。</w:t>
      </w:r>
    </w:p>
    <w:p>
      <w:pPr>
        <w:spacing w:after="0"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全年新增公共体育面积37843平方米，人均公共体育设施面积达2.19平方米。举办市级以上品牌赛事3项次、县级全民健身赛事活动37场次。中国</w:t>
      </w:r>
      <w:r>
        <w:rPr>
          <w:rFonts w:ascii="Times New Roman" w:hAnsi="Times New Roman" w:cs="Times New Roman"/>
          <w:sz w:val="32"/>
          <w:szCs w:val="32"/>
        </w:rPr>
        <w:t>•</w:t>
      </w:r>
      <w:r>
        <w:rPr>
          <w:rFonts w:ascii="Times New Roman" w:hAnsi="Times New Roman" w:eastAsia="方正仿宋_GBK" w:cs="Times New Roman"/>
          <w:sz w:val="32"/>
          <w:szCs w:val="32"/>
        </w:rPr>
        <w:t>石柱成渝双城铁人三项赛已升级为国家A级赛事。</w:t>
      </w:r>
      <w:r>
        <w:rPr>
          <w:rFonts w:hint="eastAsia" w:ascii="Times New Roman" w:hAnsi="Times New Roman" w:eastAsia="方正仿宋_GBK" w:cs="Times New Roman"/>
          <w:sz w:val="32"/>
          <w:szCs w:val="32"/>
        </w:rPr>
        <w:t>全年</w:t>
      </w:r>
      <w:r>
        <w:rPr>
          <w:rFonts w:ascii="Times New Roman" w:hAnsi="Times New Roman" w:eastAsia="方正仿宋_GBK" w:cs="Times New Roman"/>
          <w:sz w:val="32"/>
          <w:szCs w:val="32"/>
        </w:rPr>
        <w:t>新增体育企业4家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体育社会组织2个，培训社会体育指导员200人。在重庆市第六届运动会上，我县代表团共摘得4金2银4铜。全年体育彩票销售额达1.74亿元，募集体彩公益金超过1800万元。</w:t>
      </w:r>
    </w:p>
    <w:p>
      <w:pPr>
        <w:spacing w:after="0" w:line="560" w:lineRule="exact"/>
        <w:ind w:firstLine="640" w:firstLineChars="200"/>
        <w:jc w:val="both"/>
        <w:rPr>
          <w:rFonts w:ascii="Times New Roman" w:hAnsi="Times New Roman" w:eastAsia="方正仿宋_GBK" w:cs="Times New Roman"/>
          <w:sz w:val="32"/>
          <w:szCs w:val="32"/>
        </w:rPr>
      </w:pPr>
    </w:p>
    <w:p>
      <w:pPr>
        <w:spacing w:after="0" w:line="560" w:lineRule="exact"/>
        <w:ind w:firstLine="640" w:firstLineChars="200"/>
        <w:jc w:val="both"/>
        <w:rPr>
          <w:rFonts w:ascii="Times New Roman" w:hAnsi="Times New Roman" w:eastAsia="方正仿宋_GBK" w:cs="Times New Roman"/>
          <w:sz w:val="32"/>
          <w:szCs w:val="32"/>
        </w:rPr>
      </w:pPr>
    </w:p>
    <w:p>
      <w:pPr>
        <w:spacing w:after="0" w:line="560" w:lineRule="exact"/>
        <w:ind w:firstLine="640" w:firstLineChars="200"/>
        <w:jc w:val="both"/>
        <w:rPr>
          <w:rFonts w:ascii="Times New Roman" w:hAnsi="Times New Roman" w:eastAsia="方正仿宋_GBK" w:cs="Times New Roman"/>
          <w:sz w:val="32"/>
          <w:szCs w:val="32"/>
        </w:rPr>
      </w:pPr>
    </w:p>
    <w:p>
      <w:pPr>
        <w:spacing w:after="0" w:line="560" w:lineRule="exact"/>
        <w:ind w:firstLine="640" w:firstLineChars="200"/>
        <w:jc w:val="both"/>
        <w:rPr>
          <w:rFonts w:ascii="Times New Roman" w:hAnsi="Times New Roman" w:eastAsia="方正仿宋_GBK" w:cs="Times New Roman"/>
          <w:sz w:val="32"/>
          <w:szCs w:val="32"/>
        </w:rPr>
      </w:pPr>
    </w:p>
    <w:p>
      <w:pPr>
        <w:spacing w:after="0" w:line="560" w:lineRule="exact"/>
        <w:ind w:firstLine="640" w:firstLineChars="200"/>
        <w:jc w:val="both"/>
        <w:rPr>
          <w:rFonts w:ascii="Times New Roman" w:hAnsi="Times New Roman" w:eastAsia="方正仿宋_GBK" w:cs="Times New Roman"/>
          <w:sz w:val="32"/>
          <w:szCs w:val="32"/>
        </w:rPr>
      </w:pPr>
    </w:p>
    <w:p>
      <w:pPr>
        <w:spacing w:after="0" w:line="560" w:lineRule="exact"/>
        <w:ind w:firstLine="640" w:firstLineChars="200"/>
        <w:jc w:val="both"/>
        <w:rPr>
          <w:rFonts w:ascii="Times New Roman" w:hAnsi="Times New Roman" w:eastAsia="方正仿宋_GBK" w:cs="Times New Roman"/>
          <w:sz w:val="32"/>
          <w:szCs w:val="32"/>
        </w:rPr>
      </w:pPr>
    </w:p>
    <w:p>
      <w:pPr>
        <w:spacing w:line="260" w:lineRule="exact"/>
        <w:ind w:firstLine="482" w:firstLineChars="200"/>
        <w:rPr>
          <w:rFonts w:ascii="方正楷体_GBK" w:hAnsi="宋体" w:eastAsia="方正楷体_GBK" w:cs="宋体"/>
          <w:b/>
          <w:bCs/>
          <w:color w:val="000000"/>
          <w:sz w:val="24"/>
        </w:rPr>
      </w:pPr>
    </w:p>
    <w:p>
      <w:pPr>
        <w:spacing w:after="0" w:line="360" w:lineRule="exact"/>
        <w:ind w:firstLine="422" w:firstLineChars="200"/>
        <w:rPr>
          <w:rFonts w:ascii="方正仿宋_GBK" w:hAnsi="Calibri" w:eastAsia="方正仿宋_GBK" w:cs="Times New Roman"/>
          <w:b/>
          <w:kern w:val="2"/>
          <w:sz w:val="21"/>
          <w:szCs w:val="21"/>
        </w:rPr>
      </w:pPr>
      <w:r>
        <w:rPr>
          <w:rFonts w:hint="eastAsia" w:ascii="方正仿宋_GBK" w:hAnsi="Calibri" w:eastAsia="方正仿宋_GBK" w:cs="Times New Roman"/>
          <w:b/>
          <w:kern w:val="2"/>
          <w:sz w:val="21"/>
          <w:szCs w:val="21"/>
        </w:rPr>
        <w:t>注：1.本公报数据为初步统计数，最终数据以《石柱统计年鉴》为准；</w:t>
      </w:r>
    </w:p>
    <w:p>
      <w:pPr>
        <w:pStyle w:val="18"/>
        <w:spacing w:after="0" w:line="360" w:lineRule="exact"/>
        <w:ind w:left="360" w:firstLine="527" w:firstLineChars="250"/>
        <w:rPr>
          <w:rFonts w:ascii="方正仿宋_GBK" w:hAnsi="Calibri" w:eastAsia="方正仿宋_GBK" w:cs="Times New Roman"/>
          <w:b/>
          <w:kern w:val="2"/>
          <w:sz w:val="21"/>
          <w:szCs w:val="21"/>
        </w:rPr>
      </w:pPr>
      <w:r>
        <w:rPr>
          <w:rFonts w:hint="eastAsia" w:ascii="方正仿宋_GBK" w:hAnsi="Calibri" w:eastAsia="方正仿宋_GBK" w:cs="Times New Roman"/>
          <w:b/>
          <w:kern w:val="2"/>
          <w:sz w:val="21"/>
          <w:szCs w:val="21"/>
        </w:rPr>
        <w:t>2.公报中地区生产总值、三次产业及相关行业增加值、人均地区生产总值绝对数按现价计算，增长速度按可比价计算；</w:t>
      </w:r>
    </w:p>
    <w:p>
      <w:pPr>
        <w:pStyle w:val="18"/>
        <w:spacing w:after="0" w:line="360" w:lineRule="exact"/>
        <w:ind w:left="440" w:leftChars="200" w:firstLine="422"/>
        <w:rPr>
          <w:rFonts w:ascii="方正仿宋_GBK" w:hAnsi="Calibri" w:eastAsia="方正仿宋_GBK" w:cs="Times New Roman"/>
          <w:b/>
          <w:kern w:val="2"/>
          <w:sz w:val="21"/>
          <w:szCs w:val="21"/>
        </w:rPr>
      </w:pPr>
      <w:r>
        <w:rPr>
          <w:rFonts w:hint="eastAsia" w:ascii="方正仿宋_GBK" w:hAnsi="Calibri" w:eastAsia="方正仿宋_GBK" w:cs="Times New Roman"/>
          <w:b/>
          <w:kern w:val="2"/>
          <w:sz w:val="21"/>
          <w:szCs w:val="21"/>
        </w:rPr>
        <w:t>3.公报中GDP及分行业增加值，2016-2018年为经普调整后数据，2019-2020年为年报数据，2021年为快报数据。</w:t>
      </w:r>
    </w:p>
    <w:sectPr>
      <w:footerReference r:id="rId5" w:type="default"/>
      <w:pgSz w:w="11906" w:h="16838"/>
      <w:pgMar w:top="1304" w:right="1588" w:bottom="1304" w:left="1588" w:header="709" w:footer="709"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隶书_GBK">
    <w:altName w:val="宋体"/>
    <w:panose1 w:val="00000000000000000000"/>
    <w:charset w:val="86"/>
    <w:family w:val="script"/>
    <w:pitch w:val="default"/>
    <w:sig w:usb0="00000000" w:usb1="00000000" w:usb2="00000010" w:usb3="00000000" w:csb0="00040000" w:csb1="00000000"/>
  </w:font>
  <w:font w:name="华文隶书">
    <w:altName w:val="微软雅黑"/>
    <w:panose1 w:val="02010800040101010101"/>
    <w:charset w:val="86"/>
    <w:family w:val="auto"/>
    <w:pitch w:val="default"/>
    <w:sig w:usb0="00000000" w:usb1="00000000" w:usb2="00000010" w:usb3="00000000" w:csb0="00040000" w:csb1="00000000"/>
  </w:font>
  <w:font w:name="华文楷体">
    <w:altName w:val="楷体_GB2312"/>
    <w:panose1 w:val="02010600040101010101"/>
    <w:charset w:val="86"/>
    <w:family w:val="auto"/>
    <w:pitch w:val="default"/>
    <w:sig w:usb0="00000000" w:usb1="00000000" w:usb2="00000010" w:usb3="00000000" w:csb0="0004009F" w:csb1="00000000"/>
  </w:font>
  <w:font w:name="楷体_GB2312">
    <w:panose1 w:val="02010609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17</w:t>
    </w:r>
    <w:r>
      <w:rPr>
        <w:lang w:val="zh-CN"/>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kOWNjZDc4NTUwMGQzYmM4NGIzOGMyODg3ZDc3ZWMifQ=="/>
  </w:docVars>
  <w:rsids>
    <w:rsidRoot w:val="00D31D50"/>
    <w:rsid w:val="00000596"/>
    <w:rsid w:val="00000B20"/>
    <w:rsid w:val="00000DB9"/>
    <w:rsid w:val="00001FD6"/>
    <w:rsid w:val="00004267"/>
    <w:rsid w:val="000053C5"/>
    <w:rsid w:val="00006969"/>
    <w:rsid w:val="00010C1F"/>
    <w:rsid w:val="0001105E"/>
    <w:rsid w:val="00016F97"/>
    <w:rsid w:val="00017CB6"/>
    <w:rsid w:val="00022265"/>
    <w:rsid w:val="0002343F"/>
    <w:rsid w:val="000239A2"/>
    <w:rsid w:val="0002559F"/>
    <w:rsid w:val="0002678F"/>
    <w:rsid w:val="000269A0"/>
    <w:rsid w:val="00026D09"/>
    <w:rsid w:val="000301C9"/>
    <w:rsid w:val="000309DB"/>
    <w:rsid w:val="0003189C"/>
    <w:rsid w:val="00031A0C"/>
    <w:rsid w:val="00031DA9"/>
    <w:rsid w:val="00032998"/>
    <w:rsid w:val="00032F70"/>
    <w:rsid w:val="0003672D"/>
    <w:rsid w:val="000434CB"/>
    <w:rsid w:val="000467BA"/>
    <w:rsid w:val="000507BF"/>
    <w:rsid w:val="00050992"/>
    <w:rsid w:val="0005209A"/>
    <w:rsid w:val="00052129"/>
    <w:rsid w:val="00053390"/>
    <w:rsid w:val="0005370A"/>
    <w:rsid w:val="00054F01"/>
    <w:rsid w:val="00056C3A"/>
    <w:rsid w:val="00057AB3"/>
    <w:rsid w:val="00060AA3"/>
    <w:rsid w:val="00060CFC"/>
    <w:rsid w:val="00062389"/>
    <w:rsid w:val="00065773"/>
    <w:rsid w:val="00072BDE"/>
    <w:rsid w:val="00074170"/>
    <w:rsid w:val="00075172"/>
    <w:rsid w:val="0007728C"/>
    <w:rsid w:val="000806C1"/>
    <w:rsid w:val="000818F5"/>
    <w:rsid w:val="00084914"/>
    <w:rsid w:val="00085377"/>
    <w:rsid w:val="00093F61"/>
    <w:rsid w:val="000941F1"/>
    <w:rsid w:val="000958E3"/>
    <w:rsid w:val="00096922"/>
    <w:rsid w:val="00097C05"/>
    <w:rsid w:val="000A2A88"/>
    <w:rsid w:val="000A3506"/>
    <w:rsid w:val="000A73E4"/>
    <w:rsid w:val="000A7C02"/>
    <w:rsid w:val="000B3CC9"/>
    <w:rsid w:val="000B3E5B"/>
    <w:rsid w:val="000B4BC5"/>
    <w:rsid w:val="000B50B0"/>
    <w:rsid w:val="000B6884"/>
    <w:rsid w:val="000B7FE9"/>
    <w:rsid w:val="000C0A02"/>
    <w:rsid w:val="000C31C5"/>
    <w:rsid w:val="000C7AA5"/>
    <w:rsid w:val="000C7DE3"/>
    <w:rsid w:val="000D34A7"/>
    <w:rsid w:val="000D5527"/>
    <w:rsid w:val="000D5DC6"/>
    <w:rsid w:val="000D5FD6"/>
    <w:rsid w:val="000D6070"/>
    <w:rsid w:val="000E060C"/>
    <w:rsid w:val="000E1F15"/>
    <w:rsid w:val="000E261A"/>
    <w:rsid w:val="000E451A"/>
    <w:rsid w:val="000E628C"/>
    <w:rsid w:val="000E6D61"/>
    <w:rsid w:val="000E77C6"/>
    <w:rsid w:val="000F05D3"/>
    <w:rsid w:val="000F2174"/>
    <w:rsid w:val="000F276F"/>
    <w:rsid w:val="000F408B"/>
    <w:rsid w:val="00100A1D"/>
    <w:rsid w:val="001021B7"/>
    <w:rsid w:val="001025A6"/>
    <w:rsid w:val="0010338E"/>
    <w:rsid w:val="0010463A"/>
    <w:rsid w:val="00106222"/>
    <w:rsid w:val="001064AD"/>
    <w:rsid w:val="00107011"/>
    <w:rsid w:val="0011016F"/>
    <w:rsid w:val="00110EC8"/>
    <w:rsid w:val="0011100E"/>
    <w:rsid w:val="001110F2"/>
    <w:rsid w:val="00111B18"/>
    <w:rsid w:val="00112829"/>
    <w:rsid w:val="001130D5"/>
    <w:rsid w:val="00113795"/>
    <w:rsid w:val="00117E11"/>
    <w:rsid w:val="001268DA"/>
    <w:rsid w:val="00127437"/>
    <w:rsid w:val="00131505"/>
    <w:rsid w:val="00131702"/>
    <w:rsid w:val="00133964"/>
    <w:rsid w:val="001364F2"/>
    <w:rsid w:val="00136AE7"/>
    <w:rsid w:val="001409FD"/>
    <w:rsid w:val="0014171A"/>
    <w:rsid w:val="00141C67"/>
    <w:rsid w:val="00141EBB"/>
    <w:rsid w:val="00143D59"/>
    <w:rsid w:val="00143E49"/>
    <w:rsid w:val="0014589A"/>
    <w:rsid w:val="00147B6A"/>
    <w:rsid w:val="0015029F"/>
    <w:rsid w:val="00150C9D"/>
    <w:rsid w:val="001517D4"/>
    <w:rsid w:val="00151CF4"/>
    <w:rsid w:val="00152B5F"/>
    <w:rsid w:val="00154F7D"/>
    <w:rsid w:val="00160D79"/>
    <w:rsid w:val="001637C8"/>
    <w:rsid w:val="00163A28"/>
    <w:rsid w:val="0016400D"/>
    <w:rsid w:val="001654DA"/>
    <w:rsid w:val="001678A1"/>
    <w:rsid w:val="00167E3C"/>
    <w:rsid w:val="00171C26"/>
    <w:rsid w:val="0017225D"/>
    <w:rsid w:val="001738E5"/>
    <w:rsid w:val="00176886"/>
    <w:rsid w:val="00177681"/>
    <w:rsid w:val="00181AAD"/>
    <w:rsid w:val="00183F8F"/>
    <w:rsid w:val="00184C1E"/>
    <w:rsid w:val="00187C02"/>
    <w:rsid w:val="001900F6"/>
    <w:rsid w:val="001917A7"/>
    <w:rsid w:val="00193F18"/>
    <w:rsid w:val="00194794"/>
    <w:rsid w:val="001960AF"/>
    <w:rsid w:val="00197DE4"/>
    <w:rsid w:val="001A3078"/>
    <w:rsid w:val="001A701C"/>
    <w:rsid w:val="001A76D0"/>
    <w:rsid w:val="001B25FA"/>
    <w:rsid w:val="001B2FD9"/>
    <w:rsid w:val="001B3685"/>
    <w:rsid w:val="001B7DF7"/>
    <w:rsid w:val="001B7F9C"/>
    <w:rsid w:val="001C239E"/>
    <w:rsid w:val="001C26BA"/>
    <w:rsid w:val="001C3D07"/>
    <w:rsid w:val="001C5339"/>
    <w:rsid w:val="001C6213"/>
    <w:rsid w:val="001C6657"/>
    <w:rsid w:val="001C68ED"/>
    <w:rsid w:val="001D053E"/>
    <w:rsid w:val="001D1A7A"/>
    <w:rsid w:val="001D1B87"/>
    <w:rsid w:val="001D4EDC"/>
    <w:rsid w:val="001D5369"/>
    <w:rsid w:val="001E0194"/>
    <w:rsid w:val="001E3D31"/>
    <w:rsid w:val="001E472B"/>
    <w:rsid w:val="001E4780"/>
    <w:rsid w:val="001E5047"/>
    <w:rsid w:val="001E51C5"/>
    <w:rsid w:val="001E6474"/>
    <w:rsid w:val="001E6FA2"/>
    <w:rsid w:val="001F2C5C"/>
    <w:rsid w:val="001F3D46"/>
    <w:rsid w:val="001F6ABE"/>
    <w:rsid w:val="001F767D"/>
    <w:rsid w:val="00200DAE"/>
    <w:rsid w:val="002019C5"/>
    <w:rsid w:val="002026C3"/>
    <w:rsid w:val="002037BC"/>
    <w:rsid w:val="00204D3E"/>
    <w:rsid w:val="002051B2"/>
    <w:rsid w:val="002077BE"/>
    <w:rsid w:val="00213458"/>
    <w:rsid w:val="00214D43"/>
    <w:rsid w:val="00214DFE"/>
    <w:rsid w:val="002208DA"/>
    <w:rsid w:val="0022306C"/>
    <w:rsid w:val="00223F5A"/>
    <w:rsid w:val="00224FCD"/>
    <w:rsid w:val="002256E0"/>
    <w:rsid w:val="002267B9"/>
    <w:rsid w:val="0022796E"/>
    <w:rsid w:val="00227A92"/>
    <w:rsid w:val="00231929"/>
    <w:rsid w:val="00235B43"/>
    <w:rsid w:val="00236B00"/>
    <w:rsid w:val="0023725E"/>
    <w:rsid w:val="00237C4B"/>
    <w:rsid w:val="00240979"/>
    <w:rsid w:val="00243E04"/>
    <w:rsid w:val="002450C9"/>
    <w:rsid w:val="002466D2"/>
    <w:rsid w:val="00247DD9"/>
    <w:rsid w:val="002537B6"/>
    <w:rsid w:val="00256163"/>
    <w:rsid w:val="002570D0"/>
    <w:rsid w:val="00257862"/>
    <w:rsid w:val="00262EB6"/>
    <w:rsid w:val="00265769"/>
    <w:rsid w:val="002657EB"/>
    <w:rsid w:val="00271953"/>
    <w:rsid w:val="0027321E"/>
    <w:rsid w:val="002737F6"/>
    <w:rsid w:val="00273899"/>
    <w:rsid w:val="002747C0"/>
    <w:rsid w:val="00275CC1"/>
    <w:rsid w:val="00275F57"/>
    <w:rsid w:val="00281DBB"/>
    <w:rsid w:val="002837C3"/>
    <w:rsid w:val="00284E16"/>
    <w:rsid w:val="00286540"/>
    <w:rsid w:val="00286950"/>
    <w:rsid w:val="00287A6A"/>
    <w:rsid w:val="002901C9"/>
    <w:rsid w:val="00290979"/>
    <w:rsid w:val="00293419"/>
    <w:rsid w:val="00295222"/>
    <w:rsid w:val="002A21CE"/>
    <w:rsid w:val="002A3B20"/>
    <w:rsid w:val="002A46CF"/>
    <w:rsid w:val="002A5145"/>
    <w:rsid w:val="002A5F0D"/>
    <w:rsid w:val="002A6AA2"/>
    <w:rsid w:val="002B5596"/>
    <w:rsid w:val="002B5D20"/>
    <w:rsid w:val="002B708C"/>
    <w:rsid w:val="002C06B4"/>
    <w:rsid w:val="002C262D"/>
    <w:rsid w:val="002C3069"/>
    <w:rsid w:val="002C63F4"/>
    <w:rsid w:val="002C73D0"/>
    <w:rsid w:val="002C7427"/>
    <w:rsid w:val="002D49FD"/>
    <w:rsid w:val="002D7807"/>
    <w:rsid w:val="002E2A9C"/>
    <w:rsid w:val="002E5233"/>
    <w:rsid w:val="002E527F"/>
    <w:rsid w:val="002E60A2"/>
    <w:rsid w:val="002E72E3"/>
    <w:rsid w:val="002F06FE"/>
    <w:rsid w:val="002F0CB9"/>
    <w:rsid w:val="002F3708"/>
    <w:rsid w:val="002F78B4"/>
    <w:rsid w:val="003021C1"/>
    <w:rsid w:val="00304134"/>
    <w:rsid w:val="00307BA7"/>
    <w:rsid w:val="003109B1"/>
    <w:rsid w:val="00310A88"/>
    <w:rsid w:val="00311C86"/>
    <w:rsid w:val="0031584F"/>
    <w:rsid w:val="0031742A"/>
    <w:rsid w:val="00317544"/>
    <w:rsid w:val="003179F4"/>
    <w:rsid w:val="00323B43"/>
    <w:rsid w:val="00324E5B"/>
    <w:rsid w:val="00327FBB"/>
    <w:rsid w:val="00330DA6"/>
    <w:rsid w:val="003335EC"/>
    <w:rsid w:val="00336D1B"/>
    <w:rsid w:val="003400FE"/>
    <w:rsid w:val="0034386D"/>
    <w:rsid w:val="0034497C"/>
    <w:rsid w:val="0034626B"/>
    <w:rsid w:val="003518C0"/>
    <w:rsid w:val="00352820"/>
    <w:rsid w:val="003531F1"/>
    <w:rsid w:val="00353CDB"/>
    <w:rsid w:val="00357819"/>
    <w:rsid w:val="003608A7"/>
    <w:rsid w:val="00365C18"/>
    <w:rsid w:val="003672E7"/>
    <w:rsid w:val="00370336"/>
    <w:rsid w:val="00372B10"/>
    <w:rsid w:val="00372F21"/>
    <w:rsid w:val="00373D1E"/>
    <w:rsid w:val="0037494C"/>
    <w:rsid w:val="00374D03"/>
    <w:rsid w:val="003809C2"/>
    <w:rsid w:val="00380F55"/>
    <w:rsid w:val="00382216"/>
    <w:rsid w:val="00383F28"/>
    <w:rsid w:val="0038690D"/>
    <w:rsid w:val="00387727"/>
    <w:rsid w:val="003954B3"/>
    <w:rsid w:val="003957DE"/>
    <w:rsid w:val="003A513E"/>
    <w:rsid w:val="003A537E"/>
    <w:rsid w:val="003B351D"/>
    <w:rsid w:val="003B62E2"/>
    <w:rsid w:val="003B641A"/>
    <w:rsid w:val="003B65C4"/>
    <w:rsid w:val="003C13D5"/>
    <w:rsid w:val="003C262F"/>
    <w:rsid w:val="003C2CCF"/>
    <w:rsid w:val="003C3103"/>
    <w:rsid w:val="003C6DDB"/>
    <w:rsid w:val="003D2A01"/>
    <w:rsid w:val="003D37D8"/>
    <w:rsid w:val="003D4AC8"/>
    <w:rsid w:val="003E153B"/>
    <w:rsid w:val="003E64FD"/>
    <w:rsid w:val="003F0563"/>
    <w:rsid w:val="003F13FC"/>
    <w:rsid w:val="003F14F7"/>
    <w:rsid w:val="003F174F"/>
    <w:rsid w:val="003F2EAA"/>
    <w:rsid w:val="003F39E8"/>
    <w:rsid w:val="003F59CB"/>
    <w:rsid w:val="003F620A"/>
    <w:rsid w:val="0040396E"/>
    <w:rsid w:val="00403DFF"/>
    <w:rsid w:val="004040C9"/>
    <w:rsid w:val="00406876"/>
    <w:rsid w:val="00410DA2"/>
    <w:rsid w:val="0041125E"/>
    <w:rsid w:val="00411DEE"/>
    <w:rsid w:val="004163FB"/>
    <w:rsid w:val="0042003C"/>
    <w:rsid w:val="00420B1E"/>
    <w:rsid w:val="0042154B"/>
    <w:rsid w:val="00423622"/>
    <w:rsid w:val="00426133"/>
    <w:rsid w:val="00433B00"/>
    <w:rsid w:val="00434208"/>
    <w:rsid w:val="004358AB"/>
    <w:rsid w:val="00436CAF"/>
    <w:rsid w:val="004435C6"/>
    <w:rsid w:val="004458AB"/>
    <w:rsid w:val="004468C6"/>
    <w:rsid w:val="00446F2D"/>
    <w:rsid w:val="00451316"/>
    <w:rsid w:val="004519F7"/>
    <w:rsid w:val="00451FB1"/>
    <w:rsid w:val="00453CF7"/>
    <w:rsid w:val="004542B0"/>
    <w:rsid w:val="004547D1"/>
    <w:rsid w:val="004563E0"/>
    <w:rsid w:val="004644E3"/>
    <w:rsid w:val="0046482F"/>
    <w:rsid w:val="00465D5C"/>
    <w:rsid w:val="00465DB8"/>
    <w:rsid w:val="00472006"/>
    <w:rsid w:val="0047250A"/>
    <w:rsid w:val="00473F32"/>
    <w:rsid w:val="00475EF6"/>
    <w:rsid w:val="00476477"/>
    <w:rsid w:val="00480CD6"/>
    <w:rsid w:val="004818E1"/>
    <w:rsid w:val="00481F86"/>
    <w:rsid w:val="004824D6"/>
    <w:rsid w:val="004835D7"/>
    <w:rsid w:val="00487158"/>
    <w:rsid w:val="00487613"/>
    <w:rsid w:val="004876C5"/>
    <w:rsid w:val="00487987"/>
    <w:rsid w:val="00487D60"/>
    <w:rsid w:val="004907E2"/>
    <w:rsid w:val="004920FB"/>
    <w:rsid w:val="0049276F"/>
    <w:rsid w:val="004941C0"/>
    <w:rsid w:val="0049566E"/>
    <w:rsid w:val="00496232"/>
    <w:rsid w:val="004A2019"/>
    <w:rsid w:val="004A28A8"/>
    <w:rsid w:val="004A7414"/>
    <w:rsid w:val="004B02ED"/>
    <w:rsid w:val="004B1339"/>
    <w:rsid w:val="004B3BFC"/>
    <w:rsid w:val="004B4746"/>
    <w:rsid w:val="004B4EFD"/>
    <w:rsid w:val="004B6C4F"/>
    <w:rsid w:val="004C0B2C"/>
    <w:rsid w:val="004C30FB"/>
    <w:rsid w:val="004C4178"/>
    <w:rsid w:val="004C4929"/>
    <w:rsid w:val="004C5696"/>
    <w:rsid w:val="004C64B5"/>
    <w:rsid w:val="004C6EBB"/>
    <w:rsid w:val="004C6F2F"/>
    <w:rsid w:val="004D08FF"/>
    <w:rsid w:val="004D400B"/>
    <w:rsid w:val="004E1617"/>
    <w:rsid w:val="004E4737"/>
    <w:rsid w:val="004E4994"/>
    <w:rsid w:val="004E7369"/>
    <w:rsid w:val="004E7A19"/>
    <w:rsid w:val="004F166B"/>
    <w:rsid w:val="004F5BCF"/>
    <w:rsid w:val="004F6571"/>
    <w:rsid w:val="005000D6"/>
    <w:rsid w:val="00502949"/>
    <w:rsid w:val="00504475"/>
    <w:rsid w:val="005051CC"/>
    <w:rsid w:val="00507D03"/>
    <w:rsid w:val="00507E72"/>
    <w:rsid w:val="00511540"/>
    <w:rsid w:val="0051741F"/>
    <w:rsid w:val="00517551"/>
    <w:rsid w:val="0051755F"/>
    <w:rsid w:val="00517F46"/>
    <w:rsid w:val="005221F8"/>
    <w:rsid w:val="00524F9E"/>
    <w:rsid w:val="005267F6"/>
    <w:rsid w:val="005305E9"/>
    <w:rsid w:val="005315E2"/>
    <w:rsid w:val="00531616"/>
    <w:rsid w:val="00533D1D"/>
    <w:rsid w:val="00535A26"/>
    <w:rsid w:val="005451C9"/>
    <w:rsid w:val="00547B55"/>
    <w:rsid w:val="005501D3"/>
    <w:rsid w:val="005509D2"/>
    <w:rsid w:val="00553D05"/>
    <w:rsid w:val="005552AE"/>
    <w:rsid w:val="00556141"/>
    <w:rsid w:val="00560AF8"/>
    <w:rsid w:val="00560B06"/>
    <w:rsid w:val="005628F0"/>
    <w:rsid w:val="00564B94"/>
    <w:rsid w:val="005653D1"/>
    <w:rsid w:val="00566220"/>
    <w:rsid w:val="00566399"/>
    <w:rsid w:val="00570317"/>
    <w:rsid w:val="005715C4"/>
    <w:rsid w:val="00571E72"/>
    <w:rsid w:val="00573164"/>
    <w:rsid w:val="0057485F"/>
    <w:rsid w:val="005748BE"/>
    <w:rsid w:val="005748D4"/>
    <w:rsid w:val="005764AD"/>
    <w:rsid w:val="00576F06"/>
    <w:rsid w:val="00577575"/>
    <w:rsid w:val="00577B2F"/>
    <w:rsid w:val="00577D1D"/>
    <w:rsid w:val="00580A83"/>
    <w:rsid w:val="005818E2"/>
    <w:rsid w:val="00582AF8"/>
    <w:rsid w:val="00586EFC"/>
    <w:rsid w:val="00586F68"/>
    <w:rsid w:val="0059128B"/>
    <w:rsid w:val="00591494"/>
    <w:rsid w:val="00594AC4"/>
    <w:rsid w:val="00595643"/>
    <w:rsid w:val="00597964"/>
    <w:rsid w:val="005A0CA4"/>
    <w:rsid w:val="005A0D1F"/>
    <w:rsid w:val="005A0EF0"/>
    <w:rsid w:val="005A189E"/>
    <w:rsid w:val="005A38D8"/>
    <w:rsid w:val="005A3BD2"/>
    <w:rsid w:val="005A4814"/>
    <w:rsid w:val="005A4BC7"/>
    <w:rsid w:val="005A55C0"/>
    <w:rsid w:val="005A59E6"/>
    <w:rsid w:val="005A645C"/>
    <w:rsid w:val="005B0C5C"/>
    <w:rsid w:val="005B0D3B"/>
    <w:rsid w:val="005B1BCC"/>
    <w:rsid w:val="005B5BA7"/>
    <w:rsid w:val="005B7BFD"/>
    <w:rsid w:val="005C2317"/>
    <w:rsid w:val="005C3DD0"/>
    <w:rsid w:val="005C5115"/>
    <w:rsid w:val="005C778A"/>
    <w:rsid w:val="005C7F4A"/>
    <w:rsid w:val="005D0901"/>
    <w:rsid w:val="005D269D"/>
    <w:rsid w:val="005D2BA2"/>
    <w:rsid w:val="005D38A9"/>
    <w:rsid w:val="005D3A88"/>
    <w:rsid w:val="005E02F6"/>
    <w:rsid w:val="005E1BC8"/>
    <w:rsid w:val="005E25AD"/>
    <w:rsid w:val="005E29EE"/>
    <w:rsid w:val="005E3A27"/>
    <w:rsid w:val="005E4AEF"/>
    <w:rsid w:val="005E5DD9"/>
    <w:rsid w:val="005E64C3"/>
    <w:rsid w:val="005F3759"/>
    <w:rsid w:val="005F3D8F"/>
    <w:rsid w:val="0060390C"/>
    <w:rsid w:val="00603DE1"/>
    <w:rsid w:val="00605628"/>
    <w:rsid w:val="006063D1"/>
    <w:rsid w:val="0060653A"/>
    <w:rsid w:val="00607F24"/>
    <w:rsid w:val="0061020E"/>
    <w:rsid w:val="0061095E"/>
    <w:rsid w:val="00610E6A"/>
    <w:rsid w:val="00613086"/>
    <w:rsid w:val="0061518E"/>
    <w:rsid w:val="00616F23"/>
    <w:rsid w:val="00617ADD"/>
    <w:rsid w:val="00621FF1"/>
    <w:rsid w:val="00622677"/>
    <w:rsid w:val="006239B4"/>
    <w:rsid w:val="00625476"/>
    <w:rsid w:val="00626344"/>
    <w:rsid w:val="00627535"/>
    <w:rsid w:val="006277A5"/>
    <w:rsid w:val="00633AEF"/>
    <w:rsid w:val="0064089C"/>
    <w:rsid w:val="00641EB3"/>
    <w:rsid w:val="00643129"/>
    <w:rsid w:val="0064328D"/>
    <w:rsid w:val="006439F4"/>
    <w:rsid w:val="006462F9"/>
    <w:rsid w:val="00647401"/>
    <w:rsid w:val="006533B1"/>
    <w:rsid w:val="00654CC5"/>
    <w:rsid w:val="006559CA"/>
    <w:rsid w:val="00657442"/>
    <w:rsid w:val="00660191"/>
    <w:rsid w:val="00671CBE"/>
    <w:rsid w:val="006728F5"/>
    <w:rsid w:val="0067325E"/>
    <w:rsid w:val="006732FD"/>
    <w:rsid w:val="006740B0"/>
    <w:rsid w:val="00674BAE"/>
    <w:rsid w:val="00675DDF"/>
    <w:rsid w:val="00677444"/>
    <w:rsid w:val="00681778"/>
    <w:rsid w:val="00681D0D"/>
    <w:rsid w:val="0068278C"/>
    <w:rsid w:val="00682FFE"/>
    <w:rsid w:val="006868F2"/>
    <w:rsid w:val="0069073B"/>
    <w:rsid w:val="00691777"/>
    <w:rsid w:val="00693A6F"/>
    <w:rsid w:val="00694599"/>
    <w:rsid w:val="006947D8"/>
    <w:rsid w:val="006955BF"/>
    <w:rsid w:val="00695A64"/>
    <w:rsid w:val="00695BEA"/>
    <w:rsid w:val="00695BED"/>
    <w:rsid w:val="00695E15"/>
    <w:rsid w:val="00696D9E"/>
    <w:rsid w:val="006A0B76"/>
    <w:rsid w:val="006A131E"/>
    <w:rsid w:val="006A16B3"/>
    <w:rsid w:val="006A40FB"/>
    <w:rsid w:val="006A4982"/>
    <w:rsid w:val="006A4A53"/>
    <w:rsid w:val="006A4ADA"/>
    <w:rsid w:val="006A4D11"/>
    <w:rsid w:val="006A543C"/>
    <w:rsid w:val="006A5A34"/>
    <w:rsid w:val="006A678D"/>
    <w:rsid w:val="006A7B87"/>
    <w:rsid w:val="006B1AAF"/>
    <w:rsid w:val="006B2651"/>
    <w:rsid w:val="006B2A3F"/>
    <w:rsid w:val="006B3DA6"/>
    <w:rsid w:val="006C189E"/>
    <w:rsid w:val="006C4332"/>
    <w:rsid w:val="006C5653"/>
    <w:rsid w:val="006D0DB1"/>
    <w:rsid w:val="006D182C"/>
    <w:rsid w:val="006D2882"/>
    <w:rsid w:val="006D4214"/>
    <w:rsid w:val="006D4F7F"/>
    <w:rsid w:val="006E1007"/>
    <w:rsid w:val="006E3D80"/>
    <w:rsid w:val="006E49CD"/>
    <w:rsid w:val="006E6669"/>
    <w:rsid w:val="006E6A29"/>
    <w:rsid w:val="006F356C"/>
    <w:rsid w:val="006F6249"/>
    <w:rsid w:val="006F6478"/>
    <w:rsid w:val="00700591"/>
    <w:rsid w:val="007005DD"/>
    <w:rsid w:val="0070147F"/>
    <w:rsid w:val="00702691"/>
    <w:rsid w:val="00702BAE"/>
    <w:rsid w:val="00705AC5"/>
    <w:rsid w:val="00705E80"/>
    <w:rsid w:val="00706EE5"/>
    <w:rsid w:val="00710608"/>
    <w:rsid w:val="0071060B"/>
    <w:rsid w:val="0071105F"/>
    <w:rsid w:val="00712D76"/>
    <w:rsid w:val="00713F22"/>
    <w:rsid w:val="0071703A"/>
    <w:rsid w:val="00720202"/>
    <w:rsid w:val="00721C1E"/>
    <w:rsid w:val="00724AE5"/>
    <w:rsid w:val="00726509"/>
    <w:rsid w:val="00727EE4"/>
    <w:rsid w:val="0073168C"/>
    <w:rsid w:val="007319DA"/>
    <w:rsid w:val="00732263"/>
    <w:rsid w:val="00732B69"/>
    <w:rsid w:val="007338D5"/>
    <w:rsid w:val="00735B03"/>
    <w:rsid w:val="00737C5C"/>
    <w:rsid w:val="00740338"/>
    <w:rsid w:val="007422E4"/>
    <w:rsid w:val="00744C42"/>
    <w:rsid w:val="00744EF7"/>
    <w:rsid w:val="00746A42"/>
    <w:rsid w:val="00747018"/>
    <w:rsid w:val="0075158C"/>
    <w:rsid w:val="00752EB3"/>
    <w:rsid w:val="0075348C"/>
    <w:rsid w:val="00756345"/>
    <w:rsid w:val="00761968"/>
    <w:rsid w:val="00764654"/>
    <w:rsid w:val="00764FF0"/>
    <w:rsid w:val="00765255"/>
    <w:rsid w:val="007700D5"/>
    <w:rsid w:val="00772FE5"/>
    <w:rsid w:val="00773512"/>
    <w:rsid w:val="007745A5"/>
    <w:rsid w:val="00774F56"/>
    <w:rsid w:val="00775984"/>
    <w:rsid w:val="00776ABB"/>
    <w:rsid w:val="00780D32"/>
    <w:rsid w:val="00781C2F"/>
    <w:rsid w:val="00782982"/>
    <w:rsid w:val="00782E95"/>
    <w:rsid w:val="00784CF8"/>
    <w:rsid w:val="007912AB"/>
    <w:rsid w:val="00791AA1"/>
    <w:rsid w:val="00792891"/>
    <w:rsid w:val="007946CE"/>
    <w:rsid w:val="00796159"/>
    <w:rsid w:val="00797945"/>
    <w:rsid w:val="007A1E4E"/>
    <w:rsid w:val="007A1E7F"/>
    <w:rsid w:val="007A3BD6"/>
    <w:rsid w:val="007A5CAE"/>
    <w:rsid w:val="007A5D89"/>
    <w:rsid w:val="007A6B38"/>
    <w:rsid w:val="007B02C4"/>
    <w:rsid w:val="007B42A1"/>
    <w:rsid w:val="007B52DB"/>
    <w:rsid w:val="007B6F12"/>
    <w:rsid w:val="007B7033"/>
    <w:rsid w:val="007C16E6"/>
    <w:rsid w:val="007C23E9"/>
    <w:rsid w:val="007C5995"/>
    <w:rsid w:val="007C5B84"/>
    <w:rsid w:val="007C6D39"/>
    <w:rsid w:val="007C7CCA"/>
    <w:rsid w:val="007D1527"/>
    <w:rsid w:val="007D1E62"/>
    <w:rsid w:val="007D2D15"/>
    <w:rsid w:val="007D2D3F"/>
    <w:rsid w:val="007D38D1"/>
    <w:rsid w:val="007D3CF8"/>
    <w:rsid w:val="007D5862"/>
    <w:rsid w:val="007D5BEB"/>
    <w:rsid w:val="007E1049"/>
    <w:rsid w:val="007E1308"/>
    <w:rsid w:val="007E168D"/>
    <w:rsid w:val="007E2E60"/>
    <w:rsid w:val="007E40C1"/>
    <w:rsid w:val="007E4179"/>
    <w:rsid w:val="007E6D8B"/>
    <w:rsid w:val="007F0F45"/>
    <w:rsid w:val="007F3013"/>
    <w:rsid w:val="007F356D"/>
    <w:rsid w:val="007F5E8D"/>
    <w:rsid w:val="007F774E"/>
    <w:rsid w:val="0080285C"/>
    <w:rsid w:val="008044FF"/>
    <w:rsid w:val="00804B9C"/>
    <w:rsid w:val="00804BBC"/>
    <w:rsid w:val="008134A4"/>
    <w:rsid w:val="00821A97"/>
    <w:rsid w:val="00823004"/>
    <w:rsid w:val="008237E3"/>
    <w:rsid w:val="008243C9"/>
    <w:rsid w:val="00830CBD"/>
    <w:rsid w:val="00832475"/>
    <w:rsid w:val="00832E73"/>
    <w:rsid w:val="00837165"/>
    <w:rsid w:val="00837B85"/>
    <w:rsid w:val="00840B35"/>
    <w:rsid w:val="00841010"/>
    <w:rsid w:val="00845EC6"/>
    <w:rsid w:val="0084769F"/>
    <w:rsid w:val="008520E3"/>
    <w:rsid w:val="0085231A"/>
    <w:rsid w:val="00852335"/>
    <w:rsid w:val="00854DCA"/>
    <w:rsid w:val="0086297A"/>
    <w:rsid w:val="008636CD"/>
    <w:rsid w:val="00863BC5"/>
    <w:rsid w:val="00864B5A"/>
    <w:rsid w:val="00866445"/>
    <w:rsid w:val="008665B7"/>
    <w:rsid w:val="00866C84"/>
    <w:rsid w:val="00866FD4"/>
    <w:rsid w:val="008708A1"/>
    <w:rsid w:val="00871DB5"/>
    <w:rsid w:val="00872488"/>
    <w:rsid w:val="0087425C"/>
    <w:rsid w:val="00874C0E"/>
    <w:rsid w:val="00876019"/>
    <w:rsid w:val="00876329"/>
    <w:rsid w:val="00880FA5"/>
    <w:rsid w:val="00885368"/>
    <w:rsid w:val="0088620C"/>
    <w:rsid w:val="00893DE3"/>
    <w:rsid w:val="00895331"/>
    <w:rsid w:val="00896190"/>
    <w:rsid w:val="00897CC1"/>
    <w:rsid w:val="008A70EE"/>
    <w:rsid w:val="008B2AA8"/>
    <w:rsid w:val="008B39DB"/>
    <w:rsid w:val="008B7726"/>
    <w:rsid w:val="008C0170"/>
    <w:rsid w:val="008C03BD"/>
    <w:rsid w:val="008C43EB"/>
    <w:rsid w:val="008C4AB8"/>
    <w:rsid w:val="008C4EA2"/>
    <w:rsid w:val="008C6AEB"/>
    <w:rsid w:val="008D2754"/>
    <w:rsid w:val="008D3FD5"/>
    <w:rsid w:val="008E08DE"/>
    <w:rsid w:val="008E16DC"/>
    <w:rsid w:val="008E2596"/>
    <w:rsid w:val="008E36EF"/>
    <w:rsid w:val="008E57B9"/>
    <w:rsid w:val="008E6066"/>
    <w:rsid w:val="008E74F6"/>
    <w:rsid w:val="008F08D9"/>
    <w:rsid w:val="008F2707"/>
    <w:rsid w:val="008F2ABF"/>
    <w:rsid w:val="008F397E"/>
    <w:rsid w:val="008F508E"/>
    <w:rsid w:val="008F6700"/>
    <w:rsid w:val="00900D31"/>
    <w:rsid w:val="00903E6A"/>
    <w:rsid w:val="009055A8"/>
    <w:rsid w:val="00913064"/>
    <w:rsid w:val="00913CD5"/>
    <w:rsid w:val="00914BB2"/>
    <w:rsid w:val="00917AED"/>
    <w:rsid w:val="00917DCC"/>
    <w:rsid w:val="00917EDF"/>
    <w:rsid w:val="00917F19"/>
    <w:rsid w:val="009207C0"/>
    <w:rsid w:val="0092118E"/>
    <w:rsid w:val="00925703"/>
    <w:rsid w:val="0092587F"/>
    <w:rsid w:val="00925A78"/>
    <w:rsid w:val="00927BDC"/>
    <w:rsid w:val="00930277"/>
    <w:rsid w:val="00930B69"/>
    <w:rsid w:val="00930D48"/>
    <w:rsid w:val="00942429"/>
    <w:rsid w:val="00943927"/>
    <w:rsid w:val="00943ABF"/>
    <w:rsid w:val="00943B0E"/>
    <w:rsid w:val="00943F6D"/>
    <w:rsid w:val="00944DD9"/>
    <w:rsid w:val="00950C40"/>
    <w:rsid w:val="00952891"/>
    <w:rsid w:val="0095372E"/>
    <w:rsid w:val="00954E66"/>
    <w:rsid w:val="009556E6"/>
    <w:rsid w:val="00956E3E"/>
    <w:rsid w:val="00961758"/>
    <w:rsid w:val="00962C9F"/>
    <w:rsid w:val="00963E72"/>
    <w:rsid w:val="00964E67"/>
    <w:rsid w:val="00966045"/>
    <w:rsid w:val="00974D20"/>
    <w:rsid w:val="00974F9E"/>
    <w:rsid w:val="00976546"/>
    <w:rsid w:val="00977833"/>
    <w:rsid w:val="009823A8"/>
    <w:rsid w:val="00982C5C"/>
    <w:rsid w:val="00986A37"/>
    <w:rsid w:val="0098743D"/>
    <w:rsid w:val="00994FEC"/>
    <w:rsid w:val="009A01C3"/>
    <w:rsid w:val="009A1859"/>
    <w:rsid w:val="009A1BD7"/>
    <w:rsid w:val="009A4917"/>
    <w:rsid w:val="009A7240"/>
    <w:rsid w:val="009B22CA"/>
    <w:rsid w:val="009B271B"/>
    <w:rsid w:val="009B2AAF"/>
    <w:rsid w:val="009B2F2B"/>
    <w:rsid w:val="009B3056"/>
    <w:rsid w:val="009C06A0"/>
    <w:rsid w:val="009C1354"/>
    <w:rsid w:val="009C42F6"/>
    <w:rsid w:val="009C5B9D"/>
    <w:rsid w:val="009C61D8"/>
    <w:rsid w:val="009D2A1F"/>
    <w:rsid w:val="009D6B79"/>
    <w:rsid w:val="009D7DF7"/>
    <w:rsid w:val="009E31D3"/>
    <w:rsid w:val="009E389D"/>
    <w:rsid w:val="009E45C2"/>
    <w:rsid w:val="009E60B1"/>
    <w:rsid w:val="009F101A"/>
    <w:rsid w:val="009F5C77"/>
    <w:rsid w:val="00A00AA8"/>
    <w:rsid w:val="00A00E8C"/>
    <w:rsid w:val="00A03826"/>
    <w:rsid w:val="00A03FE3"/>
    <w:rsid w:val="00A04834"/>
    <w:rsid w:val="00A066FC"/>
    <w:rsid w:val="00A07B9A"/>
    <w:rsid w:val="00A10F68"/>
    <w:rsid w:val="00A12844"/>
    <w:rsid w:val="00A141D5"/>
    <w:rsid w:val="00A17592"/>
    <w:rsid w:val="00A17DD2"/>
    <w:rsid w:val="00A236E7"/>
    <w:rsid w:val="00A30EA4"/>
    <w:rsid w:val="00A3158D"/>
    <w:rsid w:val="00A318F0"/>
    <w:rsid w:val="00A31BA0"/>
    <w:rsid w:val="00A322C6"/>
    <w:rsid w:val="00A32FDC"/>
    <w:rsid w:val="00A361AC"/>
    <w:rsid w:val="00A4116C"/>
    <w:rsid w:val="00A43A32"/>
    <w:rsid w:val="00A4424C"/>
    <w:rsid w:val="00A45B38"/>
    <w:rsid w:val="00A47D5A"/>
    <w:rsid w:val="00A507E5"/>
    <w:rsid w:val="00A50BAE"/>
    <w:rsid w:val="00A51BFD"/>
    <w:rsid w:val="00A5323E"/>
    <w:rsid w:val="00A537BD"/>
    <w:rsid w:val="00A53A8B"/>
    <w:rsid w:val="00A5766E"/>
    <w:rsid w:val="00A60920"/>
    <w:rsid w:val="00A63075"/>
    <w:rsid w:val="00A64C22"/>
    <w:rsid w:val="00A66270"/>
    <w:rsid w:val="00A66705"/>
    <w:rsid w:val="00A72F94"/>
    <w:rsid w:val="00A74AEE"/>
    <w:rsid w:val="00A7553B"/>
    <w:rsid w:val="00A76024"/>
    <w:rsid w:val="00A77F4A"/>
    <w:rsid w:val="00A81787"/>
    <w:rsid w:val="00A84907"/>
    <w:rsid w:val="00A93A72"/>
    <w:rsid w:val="00A93DE7"/>
    <w:rsid w:val="00A93E35"/>
    <w:rsid w:val="00A96D33"/>
    <w:rsid w:val="00AA1A62"/>
    <w:rsid w:val="00AA3E87"/>
    <w:rsid w:val="00AA66B4"/>
    <w:rsid w:val="00AA6BE3"/>
    <w:rsid w:val="00AB1B35"/>
    <w:rsid w:val="00AB2724"/>
    <w:rsid w:val="00AB289E"/>
    <w:rsid w:val="00AB4314"/>
    <w:rsid w:val="00AB566E"/>
    <w:rsid w:val="00AB5EB8"/>
    <w:rsid w:val="00AC4008"/>
    <w:rsid w:val="00AC5E8A"/>
    <w:rsid w:val="00AD0977"/>
    <w:rsid w:val="00AD40C8"/>
    <w:rsid w:val="00AD448F"/>
    <w:rsid w:val="00AD4B01"/>
    <w:rsid w:val="00AD5E28"/>
    <w:rsid w:val="00AE0C8B"/>
    <w:rsid w:val="00AE2632"/>
    <w:rsid w:val="00AE34F0"/>
    <w:rsid w:val="00AE3E63"/>
    <w:rsid w:val="00AE5E62"/>
    <w:rsid w:val="00AE6000"/>
    <w:rsid w:val="00AE6977"/>
    <w:rsid w:val="00AE6D7F"/>
    <w:rsid w:val="00AF1708"/>
    <w:rsid w:val="00AF3CBF"/>
    <w:rsid w:val="00AF4A3C"/>
    <w:rsid w:val="00AF6602"/>
    <w:rsid w:val="00B0059A"/>
    <w:rsid w:val="00B0072C"/>
    <w:rsid w:val="00B00C5A"/>
    <w:rsid w:val="00B02A83"/>
    <w:rsid w:val="00B0533A"/>
    <w:rsid w:val="00B056BF"/>
    <w:rsid w:val="00B06486"/>
    <w:rsid w:val="00B0659C"/>
    <w:rsid w:val="00B1204C"/>
    <w:rsid w:val="00B14880"/>
    <w:rsid w:val="00B1511A"/>
    <w:rsid w:val="00B1582C"/>
    <w:rsid w:val="00B23159"/>
    <w:rsid w:val="00B27AD0"/>
    <w:rsid w:val="00B3560D"/>
    <w:rsid w:val="00B36F0D"/>
    <w:rsid w:val="00B407B8"/>
    <w:rsid w:val="00B43398"/>
    <w:rsid w:val="00B435AE"/>
    <w:rsid w:val="00B4767F"/>
    <w:rsid w:val="00B508CE"/>
    <w:rsid w:val="00B546D1"/>
    <w:rsid w:val="00B57833"/>
    <w:rsid w:val="00B60C45"/>
    <w:rsid w:val="00B6178D"/>
    <w:rsid w:val="00B63E1A"/>
    <w:rsid w:val="00B647A0"/>
    <w:rsid w:val="00B65E78"/>
    <w:rsid w:val="00B676B1"/>
    <w:rsid w:val="00B70B86"/>
    <w:rsid w:val="00B7296D"/>
    <w:rsid w:val="00B72FCB"/>
    <w:rsid w:val="00B7301D"/>
    <w:rsid w:val="00B7362F"/>
    <w:rsid w:val="00B7548A"/>
    <w:rsid w:val="00B80E68"/>
    <w:rsid w:val="00B81ADA"/>
    <w:rsid w:val="00B82922"/>
    <w:rsid w:val="00B84907"/>
    <w:rsid w:val="00B849F9"/>
    <w:rsid w:val="00B8586E"/>
    <w:rsid w:val="00B87213"/>
    <w:rsid w:val="00B87B58"/>
    <w:rsid w:val="00B87EC9"/>
    <w:rsid w:val="00B94A0C"/>
    <w:rsid w:val="00B966C4"/>
    <w:rsid w:val="00BA0D88"/>
    <w:rsid w:val="00BA2EF5"/>
    <w:rsid w:val="00BA4188"/>
    <w:rsid w:val="00BB2DA3"/>
    <w:rsid w:val="00BB4550"/>
    <w:rsid w:val="00BB485D"/>
    <w:rsid w:val="00BC128B"/>
    <w:rsid w:val="00BC3033"/>
    <w:rsid w:val="00BC30F6"/>
    <w:rsid w:val="00BC61DD"/>
    <w:rsid w:val="00BD4A9E"/>
    <w:rsid w:val="00BD4B28"/>
    <w:rsid w:val="00BE1B6F"/>
    <w:rsid w:val="00BE335D"/>
    <w:rsid w:val="00BE38B7"/>
    <w:rsid w:val="00BE4D31"/>
    <w:rsid w:val="00BE7E43"/>
    <w:rsid w:val="00BF005C"/>
    <w:rsid w:val="00BF0097"/>
    <w:rsid w:val="00BF0463"/>
    <w:rsid w:val="00BF0938"/>
    <w:rsid w:val="00BF11D2"/>
    <w:rsid w:val="00BF2149"/>
    <w:rsid w:val="00BF23DD"/>
    <w:rsid w:val="00BF28DF"/>
    <w:rsid w:val="00BF2CC3"/>
    <w:rsid w:val="00BF3D4E"/>
    <w:rsid w:val="00BF5E6F"/>
    <w:rsid w:val="00C00199"/>
    <w:rsid w:val="00C00ACD"/>
    <w:rsid w:val="00C02DA1"/>
    <w:rsid w:val="00C05FBE"/>
    <w:rsid w:val="00C07F12"/>
    <w:rsid w:val="00C11C5D"/>
    <w:rsid w:val="00C1226E"/>
    <w:rsid w:val="00C169F4"/>
    <w:rsid w:val="00C17CC4"/>
    <w:rsid w:val="00C209A3"/>
    <w:rsid w:val="00C231C6"/>
    <w:rsid w:val="00C234FC"/>
    <w:rsid w:val="00C23591"/>
    <w:rsid w:val="00C24199"/>
    <w:rsid w:val="00C24A12"/>
    <w:rsid w:val="00C25776"/>
    <w:rsid w:val="00C25A9B"/>
    <w:rsid w:val="00C261DF"/>
    <w:rsid w:val="00C3159A"/>
    <w:rsid w:val="00C3230F"/>
    <w:rsid w:val="00C34D09"/>
    <w:rsid w:val="00C3741E"/>
    <w:rsid w:val="00C377BD"/>
    <w:rsid w:val="00C41CC3"/>
    <w:rsid w:val="00C451E4"/>
    <w:rsid w:val="00C458CD"/>
    <w:rsid w:val="00C46F65"/>
    <w:rsid w:val="00C47BAA"/>
    <w:rsid w:val="00C5245E"/>
    <w:rsid w:val="00C525CA"/>
    <w:rsid w:val="00C5281E"/>
    <w:rsid w:val="00C53484"/>
    <w:rsid w:val="00C53AAD"/>
    <w:rsid w:val="00C54420"/>
    <w:rsid w:val="00C57A6F"/>
    <w:rsid w:val="00C57C5D"/>
    <w:rsid w:val="00C651E0"/>
    <w:rsid w:val="00C6592F"/>
    <w:rsid w:val="00C67D23"/>
    <w:rsid w:val="00C67E6B"/>
    <w:rsid w:val="00C72367"/>
    <w:rsid w:val="00C72E54"/>
    <w:rsid w:val="00C73829"/>
    <w:rsid w:val="00C73ED4"/>
    <w:rsid w:val="00C77192"/>
    <w:rsid w:val="00C81DAE"/>
    <w:rsid w:val="00C81E92"/>
    <w:rsid w:val="00C874D6"/>
    <w:rsid w:val="00C91086"/>
    <w:rsid w:val="00C92EAD"/>
    <w:rsid w:val="00C93516"/>
    <w:rsid w:val="00C9411F"/>
    <w:rsid w:val="00C94991"/>
    <w:rsid w:val="00C96F7C"/>
    <w:rsid w:val="00CA2405"/>
    <w:rsid w:val="00CA2570"/>
    <w:rsid w:val="00CA4BB0"/>
    <w:rsid w:val="00CA5EB7"/>
    <w:rsid w:val="00CB0B5D"/>
    <w:rsid w:val="00CB1D76"/>
    <w:rsid w:val="00CB1DCB"/>
    <w:rsid w:val="00CB5296"/>
    <w:rsid w:val="00CB5684"/>
    <w:rsid w:val="00CB6A98"/>
    <w:rsid w:val="00CC1D37"/>
    <w:rsid w:val="00CC31F8"/>
    <w:rsid w:val="00CC6106"/>
    <w:rsid w:val="00CC6A21"/>
    <w:rsid w:val="00CC7A30"/>
    <w:rsid w:val="00CD0471"/>
    <w:rsid w:val="00CD0780"/>
    <w:rsid w:val="00CD1FA7"/>
    <w:rsid w:val="00CD614C"/>
    <w:rsid w:val="00CE0420"/>
    <w:rsid w:val="00CE1294"/>
    <w:rsid w:val="00CE52F3"/>
    <w:rsid w:val="00CE7A7C"/>
    <w:rsid w:val="00CF0C84"/>
    <w:rsid w:val="00CF0F24"/>
    <w:rsid w:val="00CF3089"/>
    <w:rsid w:val="00D005F1"/>
    <w:rsid w:val="00D0600C"/>
    <w:rsid w:val="00D06245"/>
    <w:rsid w:val="00D07439"/>
    <w:rsid w:val="00D07EA5"/>
    <w:rsid w:val="00D127B1"/>
    <w:rsid w:val="00D13D22"/>
    <w:rsid w:val="00D14F13"/>
    <w:rsid w:val="00D16063"/>
    <w:rsid w:val="00D16F07"/>
    <w:rsid w:val="00D17161"/>
    <w:rsid w:val="00D224D7"/>
    <w:rsid w:val="00D23F51"/>
    <w:rsid w:val="00D313CC"/>
    <w:rsid w:val="00D31D50"/>
    <w:rsid w:val="00D322CC"/>
    <w:rsid w:val="00D32BCA"/>
    <w:rsid w:val="00D402EC"/>
    <w:rsid w:val="00D449ED"/>
    <w:rsid w:val="00D46FBA"/>
    <w:rsid w:val="00D47236"/>
    <w:rsid w:val="00D47910"/>
    <w:rsid w:val="00D529EE"/>
    <w:rsid w:val="00D53900"/>
    <w:rsid w:val="00D55481"/>
    <w:rsid w:val="00D554A7"/>
    <w:rsid w:val="00D57782"/>
    <w:rsid w:val="00D57A9D"/>
    <w:rsid w:val="00D60490"/>
    <w:rsid w:val="00D70E38"/>
    <w:rsid w:val="00D71341"/>
    <w:rsid w:val="00D7135A"/>
    <w:rsid w:val="00D71A42"/>
    <w:rsid w:val="00D748FC"/>
    <w:rsid w:val="00D869D3"/>
    <w:rsid w:val="00D90056"/>
    <w:rsid w:val="00D91E1C"/>
    <w:rsid w:val="00D93D69"/>
    <w:rsid w:val="00D97B46"/>
    <w:rsid w:val="00DA0982"/>
    <w:rsid w:val="00DA207A"/>
    <w:rsid w:val="00DB42C9"/>
    <w:rsid w:val="00DB5BCA"/>
    <w:rsid w:val="00DB7B99"/>
    <w:rsid w:val="00DC1219"/>
    <w:rsid w:val="00DC2FCC"/>
    <w:rsid w:val="00DC435B"/>
    <w:rsid w:val="00DC5462"/>
    <w:rsid w:val="00DC6B2C"/>
    <w:rsid w:val="00DC6B97"/>
    <w:rsid w:val="00DC7EB0"/>
    <w:rsid w:val="00DD135F"/>
    <w:rsid w:val="00DD4448"/>
    <w:rsid w:val="00DD51C6"/>
    <w:rsid w:val="00DD595F"/>
    <w:rsid w:val="00DE09F5"/>
    <w:rsid w:val="00DE10ED"/>
    <w:rsid w:val="00DE1A57"/>
    <w:rsid w:val="00DE1C9C"/>
    <w:rsid w:val="00DE2FFB"/>
    <w:rsid w:val="00DE353E"/>
    <w:rsid w:val="00DE481C"/>
    <w:rsid w:val="00DE5C69"/>
    <w:rsid w:val="00DE6A61"/>
    <w:rsid w:val="00DE7588"/>
    <w:rsid w:val="00DF1A63"/>
    <w:rsid w:val="00DF32C8"/>
    <w:rsid w:val="00DF35B9"/>
    <w:rsid w:val="00DF39D5"/>
    <w:rsid w:val="00DF3B91"/>
    <w:rsid w:val="00E027EC"/>
    <w:rsid w:val="00E03C8C"/>
    <w:rsid w:val="00E05DB5"/>
    <w:rsid w:val="00E06A8E"/>
    <w:rsid w:val="00E07719"/>
    <w:rsid w:val="00E102B9"/>
    <w:rsid w:val="00E12329"/>
    <w:rsid w:val="00E12820"/>
    <w:rsid w:val="00E13E43"/>
    <w:rsid w:val="00E1484B"/>
    <w:rsid w:val="00E14DF3"/>
    <w:rsid w:val="00E16AFB"/>
    <w:rsid w:val="00E1710C"/>
    <w:rsid w:val="00E17E1A"/>
    <w:rsid w:val="00E2013D"/>
    <w:rsid w:val="00E25898"/>
    <w:rsid w:val="00E25EB3"/>
    <w:rsid w:val="00E3079F"/>
    <w:rsid w:val="00E32EB8"/>
    <w:rsid w:val="00E335D4"/>
    <w:rsid w:val="00E34295"/>
    <w:rsid w:val="00E35965"/>
    <w:rsid w:val="00E369A3"/>
    <w:rsid w:val="00E37643"/>
    <w:rsid w:val="00E378FB"/>
    <w:rsid w:val="00E37D03"/>
    <w:rsid w:val="00E41B0A"/>
    <w:rsid w:val="00E42E1B"/>
    <w:rsid w:val="00E50B52"/>
    <w:rsid w:val="00E51976"/>
    <w:rsid w:val="00E522C8"/>
    <w:rsid w:val="00E52E76"/>
    <w:rsid w:val="00E530D9"/>
    <w:rsid w:val="00E543DA"/>
    <w:rsid w:val="00E55EE2"/>
    <w:rsid w:val="00E5735D"/>
    <w:rsid w:val="00E65B9A"/>
    <w:rsid w:val="00E678E6"/>
    <w:rsid w:val="00E72809"/>
    <w:rsid w:val="00E73308"/>
    <w:rsid w:val="00E77400"/>
    <w:rsid w:val="00E81CA9"/>
    <w:rsid w:val="00E84006"/>
    <w:rsid w:val="00E854DA"/>
    <w:rsid w:val="00E860AB"/>
    <w:rsid w:val="00E86243"/>
    <w:rsid w:val="00E9027A"/>
    <w:rsid w:val="00E90E03"/>
    <w:rsid w:val="00E90F97"/>
    <w:rsid w:val="00E97D58"/>
    <w:rsid w:val="00EA25A6"/>
    <w:rsid w:val="00EA3AFC"/>
    <w:rsid w:val="00EA7035"/>
    <w:rsid w:val="00EB271F"/>
    <w:rsid w:val="00EB29F5"/>
    <w:rsid w:val="00EB47D9"/>
    <w:rsid w:val="00EB5926"/>
    <w:rsid w:val="00EB60BD"/>
    <w:rsid w:val="00EB7C63"/>
    <w:rsid w:val="00EC2AF0"/>
    <w:rsid w:val="00EC514E"/>
    <w:rsid w:val="00EC5B39"/>
    <w:rsid w:val="00ED23A0"/>
    <w:rsid w:val="00ED3835"/>
    <w:rsid w:val="00EE216F"/>
    <w:rsid w:val="00EE432E"/>
    <w:rsid w:val="00EE4F99"/>
    <w:rsid w:val="00EE52BF"/>
    <w:rsid w:val="00EE55D6"/>
    <w:rsid w:val="00EE60F8"/>
    <w:rsid w:val="00EF5B24"/>
    <w:rsid w:val="00EF6DB8"/>
    <w:rsid w:val="00EF7245"/>
    <w:rsid w:val="00F01963"/>
    <w:rsid w:val="00F01EA5"/>
    <w:rsid w:val="00F04233"/>
    <w:rsid w:val="00F05256"/>
    <w:rsid w:val="00F05A52"/>
    <w:rsid w:val="00F067D4"/>
    <w:rsid w:val="00F13A77"/>
    <w:rsid w:val="00F15BBA"/>
    <w:rsid w:val="00F20741"/>
    <w:rsid w:val="00F24ECC"/>
    <w:rsid w:val="00F27AFC"/>
    <w:rsid w:val="00F30573"/>
    <w:rsid w:val="00F316EF"/>
    <w:rsid w:val="00F35A97"/>
    <w:rsid w:val="00F36F72"/>
    <w:rsid w:val="00F4096C"/>
    <w:rsid w:val="00F40A6B"/>
    <w:rsid w:val="00F4101D"/>
    <w:rsid w:val="00F428A5"/>
    <w:rsid w:val="00F46F1B"/>
    <w:rsid w:val="00F47452"/>
    <w:rsid w:val="00F5286D"/>
    <w:rsid w:val="00F53428"/>
    <w:rsid w:val="00F55712"/>
    <w:rsid w:val="00F61BE2"/>
    <w:rsid w:val="00F62BE2"/>
    <w:rsid w:val="00F62E47"/>
    <w:rsid w:val="00F64EF7"/>
    <w:rsid w:val="00F67900"/>
    <w:rsid w:val="00F67D02"/>
    <w:rsid w:val="00F706C0"/>
    <w:rsid w:val="00F71717"/>
    <w:rsid w:val="00F74303"/>
    <w:rsid w:val="00F750F0"/>
    <w:rsid w:val="00F766EF"/>
    <w:rsid w:val="00F8614E"/>
    <w:rsid w:val="00F876E1"/>
    <w:rsid w:val="00F934B2"/>
    <w:rsid w:val="00F93520"/>
    <w:rsid w:val="00F9422F"/>
    <w:rsid w:val="00F9436D"/>
    <w:rsid w:val="00F95DFF"/>
    <w:rsid w:val="00F96C68"/>
    <w:rsid w:val="00F977D5"/>
    <w:rsid w:val="00FA03F0"/>
    <w:rsid w:val="00FA0E67"/>
    <w:rsid w:val="00FA4865"/>
    <w:rsid w:val="00FA67A0"/>
    <w:rsid w:val="00FA72C4"/>
    <w:rsid w:val="00FA7E76"/>
    <w:rsid w:val="00FB19BD"/>
    <w:rsid w:val="00FB4E78"/>
    <w:rsid w:val="00FB6A4A"/>
    <w:rsid w:val="00FC0B14"/>
    <w:rsid w:val="00FC33AC"/>
    <w:rsid w:val="00FC59B8"/>
    <w:rsid w:val="00FC6784"/>
    <w:rsid w:val="00FC7179"/>
    <w:rsid w:val="00FD0C44"/>
    <w:rsid w:val="00FD0D61"/>
    <w:rsid w:val="00FD2249"/>
    <w:rsid w:val="00FD23AB"/>
    <w:rsid w:val="00FD3195"/>
    <w:rsid w:val="00FD665C"/>
    <w:rsid w:val="00FE18DD"/>
    <w:rsid w:val="00FE2235"/>
    <w:rsid w:val="00FE2BFE"/>
    <w:rsid w:val="00FE4BBB"/>
    <w:rsid w:val="00FE5521"/>
    <w:rsid w:val="00FE7030"/>
    <w:rsid w:val="00FF189A"/>
    <w:rsid w:val="00FF18DB"/>
    <w:rsid w:val="00FF1A8A"/>
    <w:rsid w:val="00FF7E23"/>
    <w:rsid w:val="4EB111FC"/>
    <w:rsid w:val="79083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caption"/>
    <w:basedOn w:val="1"/>
    <w:next w:val="1"/>
    <w:unhideWhenUsed/>
    <w:qFormat/>
    <w:uiPriority w:val="35"/>
    <w:rPr>
      <w:rFonts w:eastAsia="黑体" w:asciiTheme="majorHAnsi" w:hAnsiTheme="majorHAnsi" w:cstheme="majorBidi"/>
      <w:sz w:val="20"/>
      <w:szCs w:val="20"/>
    </w:rPr>
  </w:style>
  <w:style w:type="paragraph" w:styleId="3">
    <w:name w:val="Date"/>
    <w:basedOn w:val="1"/>
    <w:next w:val="1"/>
    <w:link w:val="15"/>
    <w:semiHidden/>
    <w:unhideWhenUsed/>
    <w:uiPriority w:val="99"/>
    <w:pPr>
      <w:ind w:left="100" w:leftChars="2500"/>
    </w:pPr>
  </w:style>
  <w:style w:type="paragraph" w:styleId="4">
    <w:name w:val="Balloon Text"/>
    <w:basedOn w:val="1"/>
    <w:link w:val="12"/>
    <w:semiHidden/>
    <w:qFormat/>
    <w:uiPriority w:val="99"/>
    <w:pPr>
      <w:widowControl w:val="0"/>
      <w:adjustRightInd/>
      <w:snapToGrid/>
      <w:spacing w:after="0"/>
      <w:jc w:val="both"/>
    </w:pPr>
    <w:rPr>
      <w:rFonts w:ascii="Times New Roman" w:hAnsi="Times New Roman" w:eastAsia="宋体" w:cs="Times New Roman"/>
      <w:kern w:val="2"/>
      <w:sz w:val="18"/>
      <w:szCs w:val="18"/>
    </w:rPr>
  </w:style>
  <w:style w:type="paragraph" w:styleId="5">
    <w:name w:val="footer"/>
    <w:basedOn w:val="1"/>
    <w:link w:val="11"/>
    <w:unhideWhenUsed/>
    <w:qFormat/>
    <w:uiPriority w:val="99"/>
    <w:pPr>
      <w:tabs>
        <w:tab w:val="center" w:pos="4153"/>
        <w:tab w:val="right" w:pos="8306"/>
      </w:tabs>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character" w:customStyle="1" w:styleId="10">
    <w:name w:val="页眉 Char"/>
    <w:basedOn w:val="9"/>
    <w:link w:val="6"/>
    <w:qFormat/>
    <w:uiPriority w:val="99"/>
    <w:rPr>
      <w:rFonts w:ascii="Tahoma" w:hAnsi="Tahoma"/>
      <w:sz w:val="18"/>
      <w:szCs w:val="18"/>
    </w:rPr>
  </w:style>
  <w:style w:type="character" w:customStyle="1" w:styleId="11">
    <w:name w:val="页脚 Char"/>
    <w:basedOn w:val="9"/>
    <w:link w:val="5"/>
    <w:qFormat/>
    <w:uiPriority w:val="99"/>
    <w:rPr>
      <w:rFonts w:ascii="Tahoma" w:hAnsi="Tahoma"/>
      <w:sz w:val="18"/>
      <w:szCs w:val="18"/>
    </w:rPr>
  </w:style>
  <w:style w:type="character" w:customStyle="1" w:styleId="12">
    <w:name w:val="批注框文本 Char"/>
    <w:basedOn w:val="9"/>
    <w:link w:val="4"/>
    <w:semiHidden/>
    <w:qFormat/>
    <w:uiPriority w:val="99"/>
    <w:rPr>
      <w:rFonts w:ascii="Times New Roman" w:hAnsi="Times New Roman" w:eastAsia="宋体" w:cs="Times New Roman"/>
      <w:kern w:val="2"/>
      <w:sz w:val="18"/>
      <w:szCs w:val="18"/>
    </w:rPr>
  </w:style>
  <w:style w:type="paragraph" w:customStyle="1" w:styleId="13">
    <w:name w:val="Char Char Char Char Char Char Char Char Char Char Char Char Char Char Char Char Char Char Char Char Char Char Char Char Char Char Char Char Char Char Char Char Char"/>
    <w:basedOn w:val="1"/>
    <w:qFormat/>
    <w:uiPriority w:val="0"/>
    <w:pPr>
      <w:adjustRightInd/>
      <w:snapToGrid/>
      <w:spacing w:after="160" w:line="240" w:lineRule="exact"/>
    </w:pPr>
    <w:rPr>
      <w:rFonts w:ascii="Calibri" w:hAnsi="Calibri" w:eastAsia="宋体" w:cs="Times New Roman"/>
      <w:kern w:val="2"/>
      <w:sz w:val="21"/>
      <w:szCs w:val="24"/>
    </w:rPr>
  </w:style>
  <w:style w:type="paragraph" w:customStyle="1" w:styleId="14">
    <w:name w:val="默认段落字体 Para Char Char Char Char Char Char Char Char Char Char"/>
    <w:basedOn w:val="1"/>
    <w:qFormat/>
    <w:uiPriority w:val="0"/>
    <w:pPr>
      <w:widowControl w:val="0"/>
      <w:adjustRightInd/>
      <w:snapToGrid/>
      <w:spacing w:after="0"/>
      <w:jc w:val="both"/>
    </w:pPr>
    <w:rPr>
      <w:rFonts w:ascii="Verdana" w:hAnsi="Verdana" w:eastAsia="仿宋_GB2312" w:cs="Times New Roman"/>
      <w:sz w:val="24"/>
      <w:szCs w:val="20"/>
      <w:lang w:eastAsia="en-US"/>
    </w:rPr>
  </w:style>
  <w:style w:type="character" w:customStyle="1" w:styleId="15">
    <w:name w:val="日期 Char"/>
    <w:basedOn w:val="9"/>
    <w:link w:val="3"/>
    <w:semiHidden/>
    <w:uiPriority w:val="99"/>
    <w:rPr>
      <w:rFonts w:ascii="Tahoma" w:hAnsi="Tahoma"/>
    </w:rPr>
  </w:style>
  <w:style w:type="paragraph" w:customStyle="1" w:styleId="16">
    <w:name w:val="Char Char4"/>
    <w:basedOn w:val="1"/>
    <w:uiPriority w:val="0"/>
    <w:pPr>
      <w:widowControl w:val="0"/>
      <w:adjustRightInd/>
      <w:snapToGrid/>
      <w:spacing w:after="0"/>
      <w:jc w:val="both"/>
    </w:pPr>
    <w:rPr>
      <w:rFonts w:eastAsia="方正仿宋_GBK" w:cs="Times New Roman"/>
      <w:kern w:val="2"/>
      <w:sz w:val="24"/>
      <w:szCs w:val="20"/>
    </w:rPr>
  </w:style>
  <w:style w:type="paragraph" w:customStyle="1" w:styleId="17">
    <w:name w:val="Char"/>
    <w:basedOn w:val="1"/>
    <w:uiPriority w:val="0"/>
    <w:pPr>
      <w:adjustRightInd/>
      <w:snapToGrid/>
      <w:spacing w:after="160" w:line="240" w:lineRule="exact"/>
    </w:pPr>
    <w:rPr>
      <w:rFonts w:ascii="Times New Roman" w:hAnsi="Times New Roman" w:eastAsia="宋体" w:cs="Times New Roman"/>
      <w:kern w:val="2"/>
      <w:sz w:val="21"/>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0826424998761947"/>
          <c:w val="0.839047098279397"/>
          <c:h val="0.793005920771531"/>
        </c:manualLayout>
      </c:layout>
      <c:barChart>
        <c:barDir val="col"/>
        <c:grouping val="clustered"/>
        <c:varyColors val="0"/>
        <c:ser>
          <c:idx val="0"/>
          <c:order val="0"/>
          <c:tx>
            <c:strRef>
              <c:f>Sheet1!$B$1</c:f>
              <c:strCache>
                <c:ptCount val="1"/>
                <c:pt idx="0">
                  <c:v>地区生产总值（亿元）</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2037037037037"/>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3316647121237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0.00_ </c:formatCode>
                <c:ptCount val="6"/>
                <c:pt idx="0">
                  <c:v>130.4</c:v>
                </c:pt>
                <c:pt idx="1">
                  <c:v>143.43</c:v>
                </c:pt>
                <c:pt idx="2">
                  <c:v>151.09</c:v>
                </c:pt>
                <c:pt idx="3">
                  <c:v>161.58</c:v>
                </c:pt>
                <c:pt idx="4">
                  <c:v>168.68</c:v>
                </c:pt>
                <c:pt idx="5">
                  <c:v>186.54</c:v>
                </c:pt>
              </c:numCache>
            </c:numRef>
          </c:val>
        </c:ser>
        <c:dLbls>
          <c:showLegendKey val="0"/>
          <c:showVal val="0"/>
          <c:showCatName val="0"/>
          <c:showSerName val="0"/>
          <c:showPercent val="0"/>
          <c:showBubbleSize val="0"/>
        </c:dLbls>
        <c:gapWidth val="150"/>
        <c:axId val="71325952"/>
        <c:axId val="203784192"/>
      </c:barChart>
      <c:lineChart>
        <c:grouping val="standard"/>
        <c:varyColors val="0"/>
        <c:ser>
          <c:idx val="1"/>
          <c:order val="1"/>
          <c:tx>
            <c:strRef>
              <c:f>Sheet1!$C$1</c:f>
              <c:strCache>
                <c:ptCount val="1"/>
                <c:pt idx="0">
                  <c:v>比上年增长（%）</c:v>
                </c:pt>
              </c:strCache>
            </c:strRef>
          </c:tx>
          <c:dLbls>
            <c:dLbl>
              <c:idx val="0"/>
              <c:layout>
                <c:manualLayout>
                  <c:x val="-0.0355613881598134"/>
                  <c:y val="-0.05533885187428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48206474190726"/>
                  <c:y val="-0.05600062812661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3345363079615"/>
                  <c:y val="-0.0544280682863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7049066783319"/>
                  <c:y val="-0.073376697478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97049066783319"/>
                  <c:y val="-0.06575633174058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43345363079615"/>
                  <c:y val="-0.06089492436633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0.0_ </c:formatCode>
                <c:ptCount val="6"/>
                <c:pt idx="0">
                  <c:v>10.6</c:v>
                </c:pt>
                <c:pt idx="1">
                  <c:v>9.8</c:v>
                </c:pt>
                <c:pt idx="2">
                  <c:v>5</c:v>
                </c:pt>
                <c:pt idx="3">
                  <c:v>0.8</c:v>
                </c:pt>
                <c:pt idx="4">
                  <c:v>2.5</c:v>
                </c:pt>
                <c:pt idx="5">
                  <c:v>7.8</c:v>
                </c:pt>
              </c:numCache>
            </c:numRef>
          </c:val>
          <c:smooth val="0"/>
        </c:ser>
        <c:dLbls>
          <c:showLegendKey val="0"/>
          <c:showVal val="0"/>
          <c:showCatName val="0"/>
          <c:showSerName val="0"/>
          <c:showPercent val="0"/>
          <c:showBubbleSize val="0"/>
        </c:dLbls>
        <c:marker val="1"/>
        <c:smooth val="0"/>
        <c:axId val="247183616"/>
        <c:axId val="244771840"/>
      </c:lineChart>
      <c:catAx>
        <c:axId val="71325952"/>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3784192"/>
        <c:crosses val="autoZero"/>
        <c:auto val="1"/>
        <c:lblAlgn val="ctr"/>
        <c:lblOffset val="100"/>
        <c:noMultiLvlLbl val="0"/>
      </c:catAx>
      <c:valAx>
        <c:axId val="203784192"/>
        <c:scaling>
          <c:orientation val="minMax"/>
          <c:max val="200"/>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71325952"/>
        <c:crosses val="autoZero"/>
        <c:crossBetween val="between"/>
        <c:majorUnit val="50"/>
        <c:minorUnit val="0.1"/>
      </c:valAx>
      <c:catAx>
        <c:axId val="247183616"/>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4771840"/>
        <c:crosses val="autoZero"/>
        <c:auto val="1"/>
        <c:lblAlgn val="ctr"/>
        <c:lblOffset val="100"/>
        <c:noMultiLvlLbl val="0"/>
      </c:catAx>
      <c:valAx>
        <c:axId val="244771840"/>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7183616"/>
        <c:crosses val="max"/>
        <c:crossBetween val="between"/>
        <c:majorUnit val="2"/>
      </c:valAx>
    </c:plotArea>
    <c:legend>
      <c:legendPos val="t"/>
      <c:layout>
        <c:manualLayout>
          <c:xMode val="edge"/>
          <c:yMode val="edge"/>
          <c:x val="0.379421296296296"/>
          <c:y val="0.000145641369296921"/>
          <c:w val="0.530509259259259"/>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28029308836395"/>
          <c:y val="0.0826424998761947"/>
          <c:w val="0.839047098279397"/>
          <c:h val="0.79827405632267"/>
        </c:manualLayout>
      </c:layout>
      <c:barChart>
        <c:barDir val="col"/>
        <c:grouping val="clustered"/>
        <c:varyColors val="0"/>
        <c:ser>
          <c:idx val="0"/>
          <c:order val="0"/>
          <c:tx>
            <c:strRef>
              <c:f>Sheet1!$B$1</c:f>
              <c:strCache>
                <c:ptCount val="1"/>
                <c:pt idx="0">
                  <c:v>粮食产量（万吨）</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34649219572191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1481481481481"/>
                  <c:y val="0.023055118110236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694444444444444"/>
                  <c:y val="0.0225863288828027"/>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0.00_ </c:formatCode>
                <c:ptCount val="6"/>
                <c:pt idx="0">
                  <c:v>22.47</c:v>
                </c:pt>
                <c:pt idx="1">
                  <c:v>22.53</c:v>
                </c:pt>
                <c:pt idx="2">
                  <c:v>22.17</c:v>
                </c:pt>
                <c:pt idx="3">
                  <c:v>21.88</c:v>
                </c:pt>
                <c:pt idx="4">
                  <c:v>22.03</c:v>
                </c:pt>
                <c:pt idx="5">
                  <c:v>22.35</c:v>
                </c:pt>
              </c:numCache>
            </c:numRef>
          </c:val>
        </c:ser>
        <c:dLbls>
          <c:showLegendKey val="0"/>
          <c:showVal val="0"/>
          <c:showCatName val="0"/>
          <c:showSerName val="0"/>
          <c:showPercent val="0"/>
          <c:showBubbleSize val="0"/>
        </c:dLbls>
        <c:gapWidth val="150"/>
        <c:axId val="420891648"/>
        <c:axId val="420967552"/>
      </c:barChart>
      <c:lineChart>
        <c:grouping val="standard"/>
        <c:varyColors val="0"/>
        <c:ser>
          <c:idx val="1"/>
          <c:order val="1"/>
          <c:tx>
            <c:strRef>
              <c:f>Sheet1!$C$1</c:f>
              <c:strCache>
                <c:ptCount val="1"/>
                <c:pt idx="0">
                  <c:v>比上年增长（%）</c:v>
                </c:pt>
              </c:strCache>
            </c:strRef>
          </c:tx>
          <c:dLbls>
            <c:dLbl>
              <c:idx val="0"/>
              <c:layout>
                <c:manualLayout>
                  <c:x val="-0.0425058326042578"/>
                  <c:y val="0.047225328717968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355613881598134"/>
                  <c:y val="-0.069378066872075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3345363079615"/>
                  <c:y val="-0.072265459571176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5285305482648"/>
                  <c:y val="-0.07337669747803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27604622338874"/>
                  <c:y val="0.067775419376925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43345363079615"/>
                  <c:y val="-0.06089492436633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0.0_ </c:formatCode>
                <c:ptCount val="6"/>
                <c:pt idx="0">
                  <c:v>0.7</c:v>
                </c:pt>
                <c:pt idx="1">
                  <c:v>0.3</c:v>
                </c:pt>
                <c:pt idx="2">
                  <c:v>-1.6</c:v>
                </c:pt>
                <c:pt idx="3">
                  <c:v>-1.3</c:v>
                </c:pt>
                <c:pt idx="4">
                  <c:v>0.7</c:v>
                </c:pt>
                <c:pt idx="5">
                  <c:v>1.5</c:v>
                </c:pt>
              </c:numCache>
            </c:numRef>
          </c:val>
          <c:smooth val="0"/>
        </c:ser>
        <c:dLbls>
          <c:showLegendKey val="0"/>
          <c:showVal val="0"/>
          <c:showCatName val="0"/>
          <c:showSerName val="0"/>
          <c:showPercent val="0"/>
          <c:showBubbleSize val="0"/>
        </c:dLbls>
        <c:marker val="1"/>
        <c:smooth val="0"/>
        <c:axId val="420971264"/>
        <c:axId val="420969472"/>
      </c:lineChart>
      <c:catAx>
        <c:axId val="42089164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67552"/>
        <c:crosses val="autoZero"/>
        <c:auto val="1"/>
        <c:lblAlgn val="ctr"/>
        <c:lblOffset val="100"/>
        <c:noMultiLvlLbl val="0"/>
      </c:catAx>
      <c:valAx>
        <c:axId val="420967552"/>
        <c:scaling>
          <c:orientation val="minMax"/>
          <c:max val="30"/>
          <c:min val="0"/>
        </c:scaling>
        <c:delete val="0"/>
        <c:axPos val="l"/>
        <c:numFmt formatCode="#,##0.0_);\(#,##0.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891648"/>
        <c:crosses val="autoZero"/>
        <c:crossBetween val="between"/>
        <c:majorUnit val="10"/>
      </c:valAx>
      <c:catAx>
        <c:axId val="42097126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69472"/>
        <c:crosses val="autoZero"/>
        <c:auto val="1"/>
        <c:lblAlgn val="ctr"/>
        <c:lblOffset val="100"/>
        <c:noMultiLvlLbl val="0"/>
      </c:catAx>
      <c:valAx>
        <c:axId val="420969472"/>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20971264"/>
        <c:crosses val="max"/>
        <c:crossBetween val="between"/>
        <c:majorUnit val="1"/>
      </c:valAx>
    </c:plotArea>
    <c:legend>
      <c:legendPos val="t"/>
      <c:layout>
        <c:manualLayout>
          <c:xMode val="edge"/>
          <c:yMode val="edge"/>
          <c:x val="0.34238425925926"/>
          <c:y val="0.0254777070063705"/>
          <c:w val="0.505046296296297"/>
          <c:h val="0.076785194844275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112082281580831"/>
          <c:w val="0.839047098279397"/>
          <c:h val="0.759996483693127"/>
        </c:manualLayout>
      </c:layout>
      <c:barChart>
        <c:barDir val="col"/>
        <c:grouping val="clustered"/>
        <c:varyColors val="0"/>
        <c:ser>
          <c:idx val="0"/>
          <c:order val="0"/>
          <c:tx>
            <c:strRef>
              <c:f>Sheet1!$B$1</c:f>
              <c:strCache>
                <c:ptCount val="1"/>
                <c:pt idx="0">
                  <c:v>建筑业增加值（亿元）</c:v>
                </c:pt>
              </c:strCache>
            </c:strRef>
          </c:tx>
          <c:invertIfNegative val="0"/>
          <c:dLbls>
            <c:dLbl>
              <c:idx val="0"/>
              <c:layout>
                <c:manualLayout>
                  <c:x val="0.00231481481481481"/>
                  <c:y val="0.030282434791344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31481481481481"/>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593445050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23545326065011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0231481481481481"/>
                  <c:y val="0.0275411086434709"/>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0.00_ </c:formatCode>
                <c:ptCount val="6"/>
                <c:pt idx="0">
                  <c:v>10.1</c:v>
                </c:pt>
                <c:pt idx="1">
                  <c:v>11.63</c:v>
                </c:pt>
                <c:pt idx="2">
                  <c:v>11.94</c:v>
                </c:pt>
                <c:pt idx="3">
                  <c:v>12.54</c:v>
                </c:pt>
                <c:pt idx="4">
                  <c:v>14.1</c:v>
                </c:pt>
                <c:pt idx="5">
                  <c:v>15.25</c:v>
                </c:pt>
              </c:numCache>
            </c:numRef>
          </c:val>
        </c:ser>
        <c:dLbls>
          <c:showLegendKey val="0"/>
          <c:showVal val="0"/>
          <c:showCatName val="0"/>
          <c:showSerName val="0"/>
          <c:showPercent val="0"/>
          <c:showBubbleSize val="0"/>
        </c:dLbls>
        <c:gapWidth val="150"/>
        <c:axId val="435516928"/>
        <c:axId val="435519872"/>
      </c:barChart>
      <c:lineChart>
        <c:grouping val="standard"/>
        <c:varyColors val="0"/>
        <c:ser>
          <c:idx val="1"/>
          <c:order val="1"/>
          <c:tx>
            <c:strRef>
              <c:f>Sheet1!$C$1</c:f>
              <c:strCache>
                <c:ptCount val="1"/>
                <c:pt idx="0">
                  <c:v>比上年增长（%）</c:v>
                </c:pt>
              </c:strCache>
            </c:strRef>
          </c:tx>
          <c:dLbls>
            <c:dLbl>
              <c:idx val="0"/>
              <c:layout>
                <c:manualLayout>
                  <c:x val="-0.0355613881598134"/>
                  <c:y val="-0.0553388518742849"/>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100984251968504"/>
                  <c:y val="-0.018404350173931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43345363079615"/>
                  <c:y val="-0.05442806828633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7049066783319"/>
                  <c:y val="-0.0733766974780327"/>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297049066783319"/>
                  <c:y val="-0.0657563317405838"/>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343345363079615"/>
                  <c:y val="-0.060894924366338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0.0_ </c:formatCode>
                <c:ptCount val="6"/>
                <c:pt idx="0">
                  <c:v>15</c:v>
                </c:pt>
                <c:pt idx="1">
                  <c:v>10</c:v>
                </c:pt>
                <c:pt idx="2">
                  <c:v>3</c:v>
                </c:pt>
                <c:pt idx="3">
                  <c:v>8.2</c:v>
                </c:pt>
                <c:pt idx="4">
                  <c:v>8.2</c:v>
                </c:pt>
                <c:pt idx="5">
                  <c:v>-0.6</c:v>
                </c:pt>
              </c:numCache>
            </c:numRef>
          </c:val>
          <c:smooth val="0"/>
        </c:ser>
        <c:dLbls>
          <c:showLegendKey val="0"/>
          <c:showVal val="0"/>
          <c:showCatName val="0"/>
          <c:showSerName val="0"/>
          <c:showPercent val="0"/>
          <c:showBubbleSize val="0"/>
        </c:dLbls>
        <c:marker val="1"/>
        <c:smooth val="0"/>
        <c:axId val="435550464"/>
        <c:axId val="435522560"/>
      </c:lineChart>
      <c:catAx>
        <c:axId val="43551692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19872"/>
        <c:crosses val="autoZero"/>
        <c:auto val="1"/>
        <c:lblAlgn val="ctr"/>
        <c:lblOffset val="100"/>
        <c:noMultiLvlLbl val="0"/>
      </c:catAx>
      <c:valAx>
        <c:axId val="435519872"/>
        <c:scaling>
          <c:orientation val="minMax"/>
          <c:max val="16"/>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16928"/>
        <c:crosses val="autoZero"/>
        <c:crossBetween val="between"/>
        <c:majorUnit val="2"/>
        <c:minorUnit val="0.1"/>
      </c:valAx>
      <c:catAx>
        <c:axId val="435550464"/>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22560"/>
        <c:crosses val="autoZero"/>
        <c:auto val="1"/>
        <c:lblAlgn val="ctr"/>
        <c:lblOffset val="100"/>
        <c:noMultiLvlLbl val="0"/>
      </c:catAx>
      <c:valAx>
        <c:axId val="435522560"/>
        <c:scaling>
          <c:orientation val="minMax"/>
        </c:scaling>
        <c:delete val="0"/>
        <c:axPos val="r"/>
        <c:numFmt formatCode="0.0_ "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35550464"/>
        <c:crosses val="max"/>
        <c:crossBetween val="between"/>
        <c:majorUnit val="2"/>
      </c:valAx>
    </c:plotArea>
    <c:legend>
      <c:legendPos val="t"/>
      <c:layout>
        <c:manualLayout>
          <c:xMode val="edge"/>
          <c:yMode val="edge"/>
          <c:x val="0.379421296296296"/>
          <c:y val="0.0022901204335104"/>
          <c:w val="0.530509259259259"/>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828029308836395"/>
          <c:y val="0.0826424998761947"/>
          <c:w val="0.899232283464567"/>
          <c:h val="0.776940682414698"/>
        </c:manualLayout>
      </c:layout>
      <c:barChart>
        <c:barDir val="col"/>
        <c:grouping val="clustered"/>
        <c:varyColors val="0"/>
        <c:ser>
          <c:idx val="0"/>
          <c:order val="0"/>
          <c:tx>
            <c:strRef>
              <c:f>Sheet1!$B$1</c:f>
              <c:strCache>
                <c:ptCount val="1"/>
                <c:pt idx="0">
                  <c:v>社零总额（亿元）</c:v>
                </c:pt>
              </c:strCache>
            </c:strRef>
          </c:tx>
          <c:invertIfNegative val="0"/>
          <c:dLbls>
            <c:dLbl>
              <c:idx val="0"/>
              <c:layout>
                <c:manualLayout>
                  <c:x val="0"/>
                  <c:y val="0.022048853088766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31481481481481"/>
                  <c:y val="0.023253247190255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62037037037037"/>
                  <c:y val="0.0259779707023802"/>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0462962962962963"/>
                  <c:y val="0.025098456895786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0231481481481481"/>
                  <c:y val="0.017847261845892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
                  <c:y val="0.0161450508341631"/>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0.00_ </c:formatCode>
                <c:ptCount val="6"/>
                <c:pt idx="0">
                  <c:v>58.04</c:v>
                </c:pt>
                <c:pt idx="1">
                  <c:v>66.12</c:v>
                </c:pt>
                <c:pt idx="2">
                  <c:v>74.89</c:v>
                </c:pt>
                <c:pt idx="3">
                  <c:v>84.93</c:v>
                </c:pt>
                <c:pt idx="4">
                  <c:v>82.73</c:v>
                </c:pt>
                <c:pt idx="5">
                  <c:v>97.38</c:v>
                </c:pt>
              </c:numCache>
            </c:numRef>
          </c:val>
        </c:ser>
        <c:dLbls>
          <c:showLegendKey val="0"/>
          <c:showVal val="0"/>
          <c:showCatName val="0"/>
          <c:showSerName val="0"/>
          <c:showPercent val="0"/>
          <c:showBubbleSize val="0"/>
        </c:dLbls>
        <c:gapWidth val="150"/>
        <c:axId val="246031488"/>
        <c:axId val="246033024"/>
      </c:barChart>
      <c:catAx>
        <c:axId val="246031488"/>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033024"/>
        <c:crosses val="autoZero"/>
        <c:auto val="1"/>
        <c:lblAlgn val="ctr"/>
        <c:lblOffset val="100"/>
        <c:noMultiLvlLbl val="0"/>
      </c:catAx>
      <c:valAx>
        <c:axId val="246033024"/>
        <c:scaling>
          <c:orientation val="minMax"/>
          <c:max val="100"/>
          <c:min val="0"/>
        </c:scaling>
        <c:delete val="0"/>
        <c:axPos val="l"/>
        <c:numFmt formatCode="#,##0_);[Red]\(#,##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031488"/>
        <c:crosses val="autoZero"/>
        <c:crossBetween val="between"/>
        <c:majorUnit val="20"/>
        <c:minorUnit val="0.1"/>
      </c:valAx>
    </c:plotArea>
    <c:legend>
      <c:legendPos val="t"/>
      <c:layout>
        <c:manualLayout>
          <c:xMode val="edge"/>
          <c:yMode val="edge"/>
          <c:x val="0.0923842592592592"/>
          <c:y val="0.0341880341880342"/>
          <c:w val="0.312916666666667"/>
          <c:h val="0.07454651501895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0667610819480916"/>
          <c:y val="0.107287652873178"/>
          <c:w val="0.879591170895305"/>
          <c:h val="0.778944100072598"/>
        </c:manualLayout>
      </c:layout>
      <c:barChart>
        <c:barDir val="col"/>
        <c:grouping val="clustered"/>
        <c:varyColors val="0"/>
        <c:ser>
          <c:idx val="0"/>
          <c:order val="0"/>
          <c:tx>
            <c:strRef>
              <c:f>Sheet1!$B$1</c:f>
              <c:strCache>
                <c:ptCount val="1"/>
                <c:pt idx="0">
                  <c:v>收入（亿元）</c:v>
                </c:pt>
              </c:strCache>
            </c:strRef>
          </c:tx>
          <c:invertIfNegative val="0"/>
          <c:dLbls>
            <c:dLbl>
              <c:idx val="0"/>
              <c:layout>
                <c:manualLayout>
                  <c:x val="0"/>
                  <c:y val="0.012597945804719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25225225225225"/>
                  <c:y val="0.0217179017006436"/>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0703858826157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0192307692307694"/>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3.47591686174363e-5"/>
                  <c:y val="-0.00519709008976615"/>
                </c:manualLayout>
              </c:layout>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Sheet1!$B$2:$B$7</c:f>
              <c:numCache>
                <c:formatCode>0.00_ </c:formatCode>
                <c:ptCount val="6"/>
                <c:pt idx="0">
                  <c:v>13.54</c:v>
                </c:pt>
                <c:pt idx="1">
                  <c:v>13.37</c:v>
                </c:pt>
                <c:pt idx="2">
                  <c:v>10.5</c:v>
                </c:pt>
                <c:pt idx="3">
                  <c:v>10.02</c:v>
                </c:pt>
                <c:pt idx="4">
                  <c:v>10.23</c:v>
                </c:pt>
                <c:pt idx="5">
                  <c:v>10.83</c:v>
                </c:pt>
              </c:numCache>
            </c:numRef>
          </c:val>
        </c:ser>
        <c:dLbls>
          <c:showLegendKey val="0"/>
          <c:showVal val="0"/>
          <c:showCatName val="0"/>
          <c:showSerName val="0"/>
          <c:showPercent val="0"/>
          <c:showBubbleSize val="0"/>
        </c:dLbls>
        <c:gapWidth val="150"/>
        <c:axId val="246649984"/>
        <c:axId val="246651520"/>
      </c:barChart>
      <c:lineChart>
        <c:grouping val="standard"/>
        <c:varyColors val="0"/>
        <c:ser>
          <c:idx val="1"/>
          <c:order val="1"/>
          <c:tx>
            <c:strRef>
              <c:f>Sheet1!$C$1</c:f>
              <c:strCache>
                <c:ptCount val="1"/>
                <c:pt idx="0">
                  <c:v>增速（%）</c:v>
                </c:pt>
              </c:strCache>
            </c:strRef>
          </c:tx>
          <c:dLbls>
            <c:dLbl>
              <c:idx val="0"/>
              <c:layout>
                <c:manualLayout>
                  <c:x val="-0.0420068099595659"/>
                  <c:y val="0.07156749241961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420068160433634"/>
                  <c:y val="0.04806116626726"/>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352288907030434"/>
                  <c:y val="0.0545239291897024"/>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290040434134922"/>
                  <c:y val="0.0667261112908832"/>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0308417384281815"/>
                  <c:y val="0.0731771932763723"/>
                </c:manualLayout>
              </c:layout>
              <c:dLblPos val="r"/>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0.0293482655884231"/>
                  <c:y val="0.0701355481249775"/>
                </c:manualLayout>
              </c:layout>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Sheet1!$A$2:$A$7</c:f>
              <c:numCache>
                <c:formatCode>General</c:formatCode>
                <c:ptCount val="6"/>
                <c:pt idx="0">
                  <c:v>2016</c:v>
                </c:pt>
                <c:pt idx="1">
                  <c:v>2017</c:v>
                </c:pt>
                <c:pt idx="2">
                  <c:v>2018</c:v>
                </c:pt>
                <c:pt idx="3">
                  <c:v>2019</c:v>
                </c:pt>
                <c:pt idx="4">
                  <c:v>2020</c:v>
                </c:pt>
                <c:pt idx="5">
                  <c:v>2021</c:v>
                </c:pt>
              </c:numCache>
            </c:numRef>
          </c:cat>
          <c:val>
            <c:numRef>
              <c:f>Sheet1!$C$2:$C$7</c:f>
              <c:numCache>
                <c:formatCode>0.0_ </c:formatCode>
                <c:ptCount val="6"/>
                <c:pt idx="0">
                  <c:v>14</c:v>
                </c:pt>
                <c:pt idx="1">
                  <c:v>3</c:v>
                </c:pt>
                <c:pt idx="2">
                  <c:v>-18.4</c:v>
                </c:pt>
                <c:pt idx="3">
                  <c:v>1.6</c:v>
                </c:pt>
                <c:pt idx="4">
                  <c:v>2.1</c:v>
                </c:pt>
                <c:pt idx="5">
                  <c:v>5.9</c:v>
                </c:pt>
              </c:numCache>
            </c:numRef>
          </c:val>
          <c:smooth val="0"/>
        </c:ser>
        <c:dLbls>
          <c:showLegendKey val="0"/>
          <c:showVal val="0"/>
          <c:showCatName val="0"/>
          <c:showSerName val="0"/>
          <c:showPercent val="0"/>
          <c:showBubbleSize val="0"/>
        </c:dLbls>
        <c:marker val="1"/>
        <c:smooth val="0"/>
        <c:axId val="246671232"/>
        <c:axId val="246669696"/>
      </c:lineChart>
      <c:catAx>
        <c:axId val="246649984"/>
        <c:scaling>
          <c:orientation val="minMax"/>
        </c:scaling>
        <c:delete val="0"/>
        <c:axPos val="b"/>
        <c:numFmt formatCode="General" sourceLinked="1"/>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51520"/>
        <c:crosses val="autoZero"/>
        <c:auto val="1"/>
        <c:lblAlgn val="ctr"/>
        <c:lblOffset val="100"/>
        <c:noMultiLvlLbl val="0"/>
      </c:catAx>
      <c:valAx>
        <c:axId val="246651520"/>
        <c:scaling>
          <c:orientation val="minMax"/>
        </c:scaling>
        <c:delete val="0"/>
        <c:axPos val="l"/>
        <c:numFmt formatCode="#,##0_);\(#,##0\)"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49984"/>
        <c:crosses val="autoZero"/>
        <c:crossBetween val="between"/>
      </c:valAx>
      <c:catAx>
        <c:axId val="246671232"/>
        <c:scaling>
          <c:orientation val="minMax"/>
        </c:scaling>
        <c:delete val="1"/>
        <c:axPos val="b"/>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69696"/>
        <c:crosses val="autoZero"/>
        <c:auto val="1"/>
        <c:lblAlgn val="ctr"/>
        <c:lblOffset val="100"/>
        <c:noMultiLvlLbl val="0"/>
      </c:catAx>
      <c:valAx>
        <c:axId val="246669696"/>
        <c:scaling>
          <c:orientation val="minMax"/>
        </c:scaling>
        <c:delete val="0"/>
        <c:axPos val="r"/>
        <c:numFmt formatCode="#,##0_ " sourceLinked="0"/>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46671232"/>
        <c:crosses val="max"/>
        <c:crossBetween val="between"/>
      </c:valAx>
    </c:plotArea>
    <c:legend>
      <c:legendPos val="t"/>
      <c:layout>
        <c:manualLayout>
          <c:xMode val="edge"/>
          <c:yMode val="edge"/>
          <c:x val="0.543773148148148"/>
          <c:y val="0.00228245937342939"/>
          <c:w val="0.386990740740746"/>
          <c:h val="0.110529290221701"/>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B82CCFE-C9CF-4507-89AF-F5DCF519CA1D}">
  <ds:schemaRefs/>
</ds:datastoreItem>
</file>

<file path=docProps/app.xml><?xml version="1.0" encoding="utf-8"?>
<Properties xmlns="http://schemas.openxmlformats.org/officeDocument/2006/extended-properties" xmlns:vt="http://schemas.openxmlformats.org/officeDocument/2006/docPropsVTypes">
  <Template>Normal</Template>
  <Pages>17</Pages>
  <Words>1471</Words>
  <Characters>8386</Characters>
  <Lines>69</Lines>
  <Paragraphs>19</Paragraphs>
  <TotalTime>11191</TotalTime>
  <ScaleCrop>false</ScaleCrop>
  <LinksUpToDate>false</LinksUpToDate>
  <CharactersWithSpaces>9838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西府海棠</cp:lastModifiedBy>
  <cp:lastPrinted>2022-03-18T02:01:00Z</cp:lastPrinted>
  <dcterms:modified xsi:type="dcterms:W3CDTF">2022-05-10T08:27:18Z</dcterms:modified>
  <cp:revision>608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892CEE82E9B64AA2839A91CA5CA049AB</vt:lpwstr>
  </property>
</Properties>
</file>