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方正黑体_GBK" w:hAnsi="宋体" w:eastAsia="方正黑体_GBK" w:cs="宋体"/>
          <w:color w:val="000000"/>
          <w:sz w:val="48"/>
          <w:szCs w:val="48"/>
          <w:lang w:val="en-US" w:eastAsia="zh-CN"/>
        </w:rPr>
      </w:pPr>
      <w:bookmarkStart w:id="0" w:name="_GoBack"/>
      <w:bookmarkEnd w:id="0"/>
    </w:p>
    <w:p>
      <w:pPr>
        <w:spacing w:after="0"/>
        <w:jc w:val="center"/>
        <w:rPr>
          <w:rFonts w:ascii="方正黑体_GBK" w:hAnsi="宋体" w:eastAsia="方正黑体_GBK" w:cs="宋体"/>
          <w:color w:val="000000"/>
          <w:sz w:val="48"/>
          <w:szCs w:val="48"/>
        </w:rPr>
      </w:pPr>
    </w:p>
    <w:p>
      <w:pPr>
        <w:spacing w:after="0" w:line="600" w:lineRule="exact"/>
        <w:jc w:val="center"/>
        <w:rPr>
          <w:rFonts w:ascii="方正黑体_GBK" w:hAnsi="宋体" w:eastAsia="方正黑体_GBK" w:cs="宋体"/>
          <w:b/>
          <w:color w:val="auto"/>
          <w:sz w:val="48"/>
          <w:szCs w:val="48"/>
        </w:rPr>
      </w:pPr>
      <w:r>
        <w:rPr>
          <w:rFonts w:hint="eastAsia" w:ascii="方正黑体_GBK" w:hAnsi="宋体" w:eastAsia="方正黑体_GBK" w:cs="宋体"/>
          <w:b/>
          <w:color w:val="auto"/>
          <w:sz w:val="48"/>
          <w:szCs w:val="48"/>
        </w:rPr>
        <w:t>石柱土家族自治县</w:t>
      </w:r>
    </w:p>
    <w:p>
      <w:pPr>
        <w:spacing w:after="0" w:line="600" w:lineRule="exact"/>
        <w:jc w:val="center"/>
        <w:rPr>
          <w:rFonts w:ascii="方正黑体_GBK" w:hAnsi="宋体" w:eastAsia="方正黑体_GBK" w:cs="宋体"/>
          <w:b/>
          <w:color w:val="auto"/>
          <w:spacing w:val="8"/>
          <w:sz w:val="48"/>
          <w:szCs w:val="48"/>
        </w:rPr>
      </w:pPr>
      <w:r>
        <w:rPr>
          <w:rFonts w:ascii="方正黑体_GBK" w:hAnsi="宋体" w:eastAsia="方正黑体_GBK" w:cs="宋体"/>
          <w:b/>
          <w:color w:val="auto"/>
          <w:spacing w:val="8"/>
          <w:sz w:val="48"/>
          <w:szCs w:val="48"/>
        </w:rPr>
        <w:t>20</w:t>
      </w:r>
      <w:r>
        <w:rPr>
          <w:rFonts w:hint="eastAsia" w:ascii="方正黑体_GBK" w:hAnsi="宋体" w:eastAsia="方正黑体_GBK" w:cs="宋体"/>
          <w:b/>
          <w:color w:val="auto"/>
          <w:spacing w:val="8"/>
          <w:sz w:val="48"/>
          <w:szCs w:val="48"/>
        </w:rPr>
        <w:t>2</w:t>
      </w:r>
      <w:r>
        <w:rPr>
          <w:rFonts w:hint="eastAsia" w:ascii="方正黑体_GBK" w:hAnsi="宋体" w:eastAsia="方正黑体_GBK" w:cs="宋体"/>
          <w:b/>
          <w:color w:val="auto"/>
          <w:spacing w:val="8"/>
          <w:sz w:val="48"/>
          <w:szCs w:val="48"/>
          <w:lang w:val="en-US" w:eastAsia="zh-CN"/>
        </w:rPr>
        <w:t>3</w:t>
      </w:r>
      <w:r>
        <w:rPr>
          <w:rFonts w:hint="eastAsia" w:ascii="方正黑体_GBK" w:hAnsi="宋体" w:eastAsia="方正黑体_GBK" w:cs="宋体"/>
          <w:b/>
          <w:color w:val="auto"/>
          <w:spacing w:val="8"/>
          <w:sz w:val="48"/>
          <w:szCs w:val="48"/>
        </w:rPr>
        <w:t>年国民经济和社会发展</w:t>
      </w:r>
    </w:p>
    <w:p>
      <w:pPr>
        <w:tabs>
          <w:tab w:val="left" w:pos="1740"/>
          <w:tab w:val="center" w:pos="4422"/>
        </w:tabs>
        <w:spacing w:after="0" w:line="900" w:lineRule="exact"/>
        <w:jc w:val="center"/>
        <w:rPr>
          <w:rFonts w:ascii="方正隶书_GBK" w:hAnsi="华文隶书" w:eastAsia="方正隶书_GBK" w:cs="宋体"/>
          <w:b/>
          <w:color w:val="auto"/>
          <w:spacing w:val="-18"/>
          <w:sz w:val="72"/>
          <w:szCs w:val="72"/>
        </w:rPr>
      </w:pPr>
      <w:r>
        <w:rPr>
          <w:rFonts w:hint="eastAsia" w:ascii="方正隶书_GBK" w:hAnsi="华文隶书" w:eastAsia="方正隶书_GBK" w:cs="宋体"/>
          <w:b/>
          <w:color w:val="auto"/>
          <w:spacing w:val="-18"/>
          <w:sz w:val="72"/>
          <w:szCs w:val="72"/>
        </w:rPr>
        <w:t>统</w:t>
      </w:r>
      <w:r>
        <w:rPr>
          <w:rFonts w:ascii="方正隶书_GBK" w:hAnsi="华文隶书" w:eastAsia="方正隶书_GBK" w:cs="宋体"/>
          <w:b/>
          <w:color w:val="auto"/>
          <w:spacing w:val="-18"/>
          <w:sz w:val="72"/>
          <w:szCs w:val="72"/>
        </w:rPr>
        <w:t xml:space="preserve"> </w:t>
      </w:r>
      <w:r>
        <w:rPr>
          <w:rFonts w:hint="eastAsia" w:ascii="方正隶书_GBK" w:hAnsi="华文隶书" w:eastAsia="方正隶书_GBK" w:cs="宋体"/>
          <w:b/>
          <w:color w:val="auto"/>
          <w:spacing w:val="-18"/>
          <w:sz w:val="72"/>
          <w:szCs w:val="72"/>
        </w:rPr>
        <w:t>计</w:t>
      </w:r>
      <w:r>
        <w:rPr>
          <w:rFonts w:ascii="方正隶书_GBK" w:hAnsi="华文隶书" w:eastAsia="方正隶书_GBK" w:cs="宋体"/>
          <w:b/>
          <w:color w:val="auto"/>
          <w:spacing w:val="-18"/>
          <w:sz w:val="72"/>
          <w:szCs w:val="72"/>
        </w:rPr>
        <w:t xml:space="preserve"> </w:t>
      </w:r>
      <w:r>
        <w:rPr>
          <w:rFonts w:hint="eastAsia" w:ascii="方正隶书_GBK" w:hAnsi="华文隶书" w:eastAsia="方正隶书_GBK" w:cs="宋体"/>
          <w:b/>
          <w:color w:val="auto"/>
          <w:spacing w:val="-18"/>
          <w:sz w:val="72"/>
          <w:szCs w:val="72"/>
        </w:rPr>
        <w:t>公</w:t>
      </w:r>
      <w:r>
        <w:rPr>
          <w:rFonts w:ascii="方正隶书_GBK" w:hAnsi="华文隶书" w:eastAsia="方正隶书_GBK" w:cs="宋体"/>
          <w:b/>
          <w:color w:val="auto"/>
          <w:spacing w:val="-18"/>
          <w:sz w:val="72"/>
          <w:szCs w:val="72"/>
        </w:rPr>
        <w:t xml:space="preserve"> </w:t>
      </w:r>
      <w:r>
        <w:rPr>
          <w:rFonts w:hint="eastAsia" w:ascii="方正隶书_GBK" w:hAnsi="华文隶书" w:eastAsia="方正隶书_GBK" w:cs="宋体"/>
          <w:b/>
          <w:color w:val="auto"/>
          <w:spacing w:val="-18"/>
          <w:sz w:val="72"/>
          <w:szCs w:val="72"/>
        </w:rPr>
        <w:t>报</w:t>
      </w:r>
    </w:p>
    <w:p>
      <w:pPr>
        <w:spacing w:after="0" w:line="360" w:lineRule="exact"/>
        <w:jc w:val="center"/>
        <w:rPr>
          <w:rFonts w:ascii="方正隶书_GBK" w:hAnsi="宋体" w:eastAsia="方正隶书_GBK" w:cs="宋体"/>
          <w:b/>
          <w:color w:val="auto"/>
          <w:spacing w:val="-8"/>
          <w:sz w:val="28"/>
          <w:szCs w:val="28"/>
        </w:rPr>
      </w:pPr>
      <w:r>
        <w:rPr>
          <w:rFonts w:hint="eastAsia" w:ascii="方正隶书_GBK" w:hAnsi="宋体" w:eastAsia="方正隶书_GBK" w:cs="宋体"/>
          <w:b/>
          <w:color w:val="auto"/>
          <w:spacing w:val="-8"/>
          <w:sz w:val="28"/>
          <w:szCs w:val="28"/>
        </w:rPr>
        <w:t>石柱土家族自治县统计局</w:t>
      </w:r>
    </w:p>
    <w:p>
      <w:pPr>
        <w:spacing w:after="0" w:line="360" w:lineRule="exact"/>
        <w:ind w:left="-110" w:leftChars="-50"/>
        <w:jc w:val="center"/>
        <w:rPr>
          <w:rFonts w:ascii="方正隶书_GBK" w:hAnsi="宋体" w:eastAsia="方正隶书_GBK" w:cs="宋体"/>
          <w:b/>
          <w:color w:val="auto"/>
          <w:spacing w:val="40"/>
          <w:sz w:val="28"/>
          <w:szCs w:val="28"/>
        </w:rPr>
      </w:pPr>
      <w:r>
        <w:rPr>
          <w:rFonts w:ascii="方正隶书_GBK" w:hAnsi="华文楷体" w:eastAsia="方正隶书_GBK" w:cs="宋体"/>
          <w:b/>
          <w:color w:val="auto"/>
          <w:spacing w:val="40"/>
          <w:sz w:val="28"/>
          <w:szCs w:val="28"/>
        </w:rPr>
        <w:t>20</w:t>
      </w:r>
      <w:r>
        <w:rPr>
          <w:rFonts w:hint="eastAsia" w:ascii="方正隶书_GBK" w:hAnsi="华文楷体" w:eastAsia="方正隶书_GBK" w:cs="宋体"/>
          <w:b/>
          <w:color w:val="auto"/>
          <w:spacing w:val="40"/>
          <w:sz w:val="28"/>
          <w:szCs w:val="28"/>
        </w:rPr>
        <w:t>2</w:t>
      </w:r>
      <w:r>
        <w:rPr>
          <w:rFonts w:hint="eastAsia" w:ascii="方正隶书_GBK" w:hAnsi="华文楷体" w:eastAsia="方正隶书_GBK" w:cs="宋体"/>
          <w:b/>
          <w:color w:val="auto"/>
          <w:spacing w:val="40"/>
          <w:sz w:val="28"/>
          <w:szCs w:val="28"/>
          <w:lang w:val="en-US" w:eastAsia="zh-CN"/>
        </w:rPr>
        <w:t>4</w:t>
      </w:r>
      <w:r>
        <w:rPr>
          <w:rFonts w:hint="eastAsia" w:ascii="方正隶书_GBK" w:hAnsi="华文楷体" w:eastAsia="方正隶书_GBK" w:cs="宋体"/>
          <w:b/>
          <w:color w:val="auto"/>
          <w:spacing w:val="40"/>
          <w:sz w:val="28"/>
          <w:szCs w:val="28"/>
        </w:rPr>
        <w:t>年3月2</w:t>
      </w:r>
      <w:r>
        <w:rPr>
          <w:rFonts w:hint="eastAsia" w:ascii="方正隶书_GBK" w:hAnsi="华文楷体" w:eastAsia="方正隶书_GBK" w:cs="宋体"/>
          <w:b/>
          <w:color w:val="auto"/>
          <w:spacing w:val="40"/>
          <w:sz w:val="28"/>
          <w:szCs w:val="28"/>
          <w:lang w:val="en-US" w:eastAsia="zh-CN"/>
        </w:rPr>
        <w:t>5</w:t>
      </w:r>
      <w:r>
        <w:rPr>
          <w:rFonts w:hint="eastAsia" w:ascii="方正隶书_GBK" w:hAnsi="华文楷体" w:eastAsia="方正隶书_GBK" w:cs="宋体"/>
          <w:b/>
          <w:color w:val="auto"/>
          <w:spacing w:val="40"/>
          <w:sz w:val="28"/>
          <w:szCs w:val="28"/>
        </w:rPr>
        <w:t>日</w:t>
      </w:r>
    </w:p>
    <w:p>
      <w:pPr>
        <w:spacing w:after="0" w:line="560" w:lineRule="exact"/>
        <w:ind w:firstLine="640" w:firstLineChars="200"/>
        <w:jc w:val="both"/>
        <w:rPr>
          <w:rFonts w:ascii="方正仿宋_GBK" w:eastAsia="方正仿宋_GBK"/>
          <w:color w:val="auto"/>
          <w:sz w:val="32"/>
          <w:szCs w:val="32"/>
        </w:rPr>
      </w:pPr>
    </w:p>
    <w:p>
      <w:pPr>
        <w:spacing w:after="0" w:line="560" w:lineRule="exact"/>
        <w:ind w:firstLine="640" w:firstLineChars="200"/>
        <w:jc w:val="both"/>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2023年，全县各级各部门在县委县政府的坚强领导下，坚持以习近平新时代中国特色社会主义思想为指导，全面贯彻党的二十大精神，深入落实党中央、国务院决策部署和市委、市政府工作要求，坚持“稳进增效、除险清患、改革求变、惠民有感”工作导向，聚焦“全域康养、绿色崛起”发展主题和建设“四新一地”目标定位，全力打好“五大主动仗”，务实推进各项工作，县域经济持续向好，社会保持和谐稳定。</w:t>
      </w:r>
    </w:p>
    <w:p>
      <w:pPr>
        <w:spacing w:after="0" w:line="560" w:lineRule="exact"/>
        <w:ind w:firstLine="640" w:firstLineChars="200"/>
        <w:jc w:val="both"/>
        <w:rPr>
          <w:rFonts w:ascii="方正黑体_GBK" w:eastAsia="方正黑体_GBK"/>
          <w:color w:val="auto"/>
          <w:sz w:val="32"/>
          <w:szCs w:val="32"/>
        </w:rPr>
      </w:pPr>
      <w:r>
        <w:rPr>
          <w:rFonts w:hint="eastAsia" w:ascii="方正黑体_GBK" w:eastAsia="方正黑体_GBK" w:cs="宋体"/>
          <w:color w:val="auto"/>
          <w:sz w:val="32"/>
          <w:szCs w:val="32"/>
        </w:rPr>
        <w:t>一、综合</w:t>
      </w:r>
    </w:p>
    <w:p>
      <w:pPr>
        <w:spacing w:after="0" w:line="56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根据地区生产总值统一</w:t>
      </w:r>
      <w:r>
        <w:rPr>
          <w:rFonts w:ascii="Times New Roman" w:hAnsi="Times New Roman" w:eastAsia="方正仿宋_GBK" w:cs="Times New Roman"/>
          <w:color w:val="auto"/>
          <w:sz w:val="32"/>
          <w:szCs w:val="32"/>
        </w:rPr>
        <w:t>核算</w:t>
      </w:r>
      <w:r>
        <w:rPr>
          <w:rFonts w:hint="eastAsia" w:ascii="Times New Roman" w:hAnsi="Times New Roman" w:eastAsia="方正仿宋_GBK" w:cs="Times New Roman"/>
          <w:color w:val="auto"/>
          <w:sz w:val="32"/>
          <w:szCs w:val="32"/>
        </w:rPr>
        <w:t>结果</w:t>
      </w:r>
      <w:r>
        <w:rPr>
          <w:rFonts w:ascii="Times New Roman" w:hAnsi="Times New Roman" w:eastAsia="方正仿宋_GBK" w:cs="Times New Roman"/>
          <w:color w:val="auto"/>
          <w:sz w:val="32"/>
          <w:szCs w:val="32"/>
        </w:rPr>
        <w:t>，全年实现地区生产总值</w:t>
      </w:r>
      <w:r>
        <w:rPr>
          <w:rFonts w:hint="eastAsia" w:ascii="Times New Roman" w:hAnsi="Times New Roman" w:eastAsia="方正仿宋_GBK" w:cs="Times New Roman"/>
          <w:color w:val="auto"/>
          <w:sz w:val="32"/>
          <w:szCs w:val="32"/>
          <w:lang w:val="en-US" w:eastAsia="zh-CN"/>
        </w:rPr>
        <w:t>230.46</w:t>
      </w:r>
      <w:r>
        <w:rPr>
          <w:rFonts w:ascii="Times New Roman" w:hAnsi="Times New Roman" w:eastAsia="方正仿宋_GBK" w:cs="Times New Roman"/>
          <w:color w:val="auto"/>
          <w:sz w:val="32"/>
          <w:szCs w:val="32"/>
        </w:rPr>
        <w:t>亿元，比上年增长</w:t>
      </w:r>
      <w:r>
        <w:rPr>
          <w:rFonts w:hint="eastAsia" w:ascii="Times New Roman" w:hAnsi="Times New Roman" w:eastAsia="方正仿宋_GBK" w:cs="Times New Roman"/>
          <w:color w:val="auto"/>
          <w:sz w:val="32"/>
          <w:szCs w:val="32"/>
          <w:lang w:val="en-US" w:eastAsia="zh-CN"/>
        </w:rPr>
        <w:t>8.1</w:t>
      </w:r>
      <w:r>
        <w:rPr>
          <w:rFonts w:ascii="Times New Roman" w:hAnsi="Times New Roman" w:eastAsia="方正仿宋_GBK" w:cs="Times New Roman"/>
          <w:color w:val="auto"/>
          <w:sz w:val="32"/>
          <w:szCs w:val="32"/>
        </w:rPr>
        <w:t>%。按产业分，第一产业增加值</w:t>
      </w:r>
      <w:r>
        <w:rPr>
          <w:rFonts w:hint="eastAsia" w:ascii="Times New Roman" w:hAnsi="Times New Roman" w:eastAsia="方正仿宋_GBK" w:cs="Times New Roman"/>
          <w:color w:val="auto"/>
          <w:sz w:val="32"/>
          <w:szCs w:val="32"/>
          <w:lang w:val="en-US" w:eastAsia="zh-CN"/>
        </w:rPr>
        <w:t>38.52</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5.1</w:t>
      </w:r>
      <w:r>
        <w:rPr>
          <w:rFonts w:ascii="Times New Roman" w:hAnsi="Times New Roman" w:eastAsia="方正仿宋_GBK" w:cs="Times New Roman"/>
          <w:color w:val="auto"/>
          <w:sz w:val="32"/>
          <w:szCs w:val="32"/>
        </w:rPr>
        <w:t>%；第二产业增加值</w:t>
      </w:r>
      <w:r>
        <w:rPr>
          <w:rFonts w:hint="eastAsia" w:ascii="Times New Roman" w:hAnsi="Times New Roman" w:eastAsia="方正仿宋_GBK" w:cs="Times New Roman"/>
          <w:color w:val="auto"/>
          <w:sz w:val="32"/>
          <w:szCs w:val="32"/>
          <w:lang w:val="en-US" w:eastAsia="zh-CN"/>
        </w:rPr>
        <w:t>68.36</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11.1</w:t>
      </w:r>
      <w:r>
        <w:rPr>
          <w:rFonts w:ascii="Times New Roman" w:hAnsi="Times New Roman" w:eastAsia="方正仿宋_GBK" w:cs="Times New Roman"/>
          <w:color w:val="auto"/>
          <w:sz w:val="32"/>
          <w:szCs w:val="32"/>
        </w:rPr>
        <w:t>%；第三产业增加值</w:t>
      </w:r>
      <w:r>
        <w:rPr>
          <w:rFonts w:hint="eastAsia" w:ascii="Times New Roman" w:hAnsi="Times New Roman" w:eastAsia="方正仿宋_GBK" w:cs="Times New Roman"/>
          <w:color w:val="auto"/>
          <w:sz w:val="32"/>
          <w:szCs w:val="32"/>
          <w:lang w:val="en-US" w:eastAsia="zh-CN"/>
        </w:rPr>
        <w:t>123.58</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7.5</w:t>
      </w:r>
      <w:r>
        <w:rPr>
          <w:rFonts w:ascii="Times New Roman" w:hAnsi="Times New Roman" w:eastAsia="方正仿宋_GBK" w:cs="Times New Roman"/>
          <w:color w:val="auto"/>
          <w:sz w:val="32"/>
          <w:szCs w:val="32"/>
        </w:rPr>
        <w:t>%。三次产业结构比</w:t>
      </w:r>
      <w:r>
        <w:rPr>
          <w:rFonts w:hint="eastAsia" w:ascii="Times New Roman" w:hAnsi="Times New Roman" w:eastAsia="方正仿宋_GBK" w:cs="Times New Roman"/>
          <w:color w:val="auto"/>
          <w:sz w:val="32"/>
          <w:szCs w:val="32"/>
          <w:lang w:eastAsia="zh-CN"/>
        </w:rPr>
        <w:t>调整</w:t>
      </w:r>
      <w:r>
        <w:rPr>
          <w:rFonts w:ascii="Times New Roman" w:hAnsi="Times New Roman" w:eastAsia="方正仿宋_GBK" w:cs="Times New Roman"/>
          <w:color w:val="auto"/>
          <w:sz w:val="32"/>
          <w:szCs w:val="32"/>
        </w:rPr>
        <w:t>为</w:t>
      </w:r>
      <w:r>
        <w:rPr>
          <w:rFonts w:hint="eastAsia" w:ascii="Times New Roman" w:hAnsi="Times New Roman" w:eastAsia="方正仿宋_GBK" w:cs="Times New Roman"/>
          <w:color w:val="auto"/>
          <w:sz w:val="32"/>
          <w:szCs w:val="32"/>
          <w:lang w:val="en-US" w:eastAsia="zh-CN"/>
        </w:rPr>
        <w:t>16.7</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29.7</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53.6</w:t>
      </w:r>
      <w:r>
        <w:rPr>
          <w:rFonts w:ascii="Times New Roman" w:hAnsi="Times New Roman" w:eastAsia="方正仿宋_GBK" w:cs="Times New Roman"/>
          <w:color w:val="auto"/>
          <w:sz w:val="32"/>
          <w:szCs w:val="32"/>
        </w:rPr>
        <w:t>。按常住人口计算，人均地区生产总值为</w:t>
      </w:r>
      <w:r>
        <w:rPr>
          <w:rFonts w:hint="eastAsia" w:ascii="Times New Roman" w:hAnsi="Times New Roman" w:eastAsia="方正仿宋_GBK" w:cs="Times New Roman"/>
          <w:color w:val="auto"/>
          <w:sz w:val="32"/>
          <w:szCs w:val="32"/>
          <w:lang w:val="en-US" w:eastAsia="zh-CN"/>
        </w:rPr>
        <w:t>59465</w:t>
      </w:r>
      <w:r>
        <w:rPr>
          <w:rFonts w:ascii="Times New Roman" w:hAnsi="Times New Roman" w:eastAsia="方正仿宋_GBK" w:cs="Times New Roman"/>
          <w:color w:val="auto"/>
          <w:sz w:val="32"/>
          <w:szCs w:val="32"/>
        </w:rPr>
        <w:t>元，比上年增长</w:t>
      </w:r>
      <w:r>
        <w:rPr>
          <w:rFonts w:hint="eastAsia" w:ascii="Times New Roman" w:hAnsi="Times New Roman" w:eastAsia="方正仿宋_GBK" w:cs="Times New Roman"/>
          <w:color w:val="auto"/>
          <w:sz w:val="32"/>
          <w:szCs w:val="32"/>
          <w:lang w:val="en-US" w:eastAsia="zh-CN"/>
        </w:rPr>
        <w:t>8.1</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民营经济增加值</w:t>
      </w:r>
      <w:r>
        <w:rPr>
          <w:rFonts w:hint="eastAsia" w:ascii="Times New Roman" w:hAnsi="Times New Roman" w:eastAsia="方正仿宋_GBK" w:cs="Times New Roman"/>
          <w:color w:val="auto"/>
          <w:sz w:val="32"/>
          <w:szCs w:val="32"/>
          <w:lang w:val="en-US" w:eastAsia="zh-CN"/>
        </w:rPr>
        <w:t>131.14亿元，增长8.6%，占地区生产总值的56.9%。</w:t>
      </w:r>
    </w:p>
    <w:p>
      <w:pPr>
        <w:pStyle w:val="3"/>
        <w:keepNext/>
        <w:spacing w:before="180" w:beforeLines="50" w:after="180" w:afterLines="50"/>
        <w:jc w:val="center"/>
        <w:rPr>
          <w:rFonts w:ascii="宋体" w:hAnsi="宋体" w:eastAsia="宋体"/>
          <w:b/>
          <w:color w:val="auto"/>
          <w:sz w:val="24"/>
          <w:szCs w:val="24"/>
        </w:rPr>
      </w:pPr>
      <w:r>
        <w:rPr>
          <w:rFonts w:hint="eastAsia" w:ascii="宋体" w:hAnsi="宋体" w:eastAsia="宋体"/>
          <w:b/>
          <w:color w:val="auto"/>
          <w:sz w:val="24"/>
          <w:szCs w:val="24"/>
        </w:rPr>
        <w:t>图1  20</w:t>
      </w:r>
      <w:r>
        <w:rPr>
          <w:rFonts w:hint="eastAsia" w:ascii="宋体" w:hAnsi="宋体" w:eastAsia="宋体"/>
          <w:b/>
          <w:color w:val="auto"/>
          <w:sz w:val="24"/>
          <w:szCs w:val="24"/>
          <w:lang w:val="en-US" w:eastAsia="zh-CN"/>
        </w:rPr>
        <w:t>19</w:t>
      </w:r>
      <w:r>
        <w:rPr>
          <w:rFonts w:hint="eastAsia" w:ascii="宋体" w:hAnsi="宋体" w:eastAsia="宋体"/>
          <w:b/>
          <w:color w:val="auto"/>
          <w:sz w:val="24"/>
          <w:szCs w:val="24"/>
        </w:rPr>
        <w:t>-202</w:t>
      </w:r>
      <w:r>
        <w:rPr>
          <w:rFonts w:hint="eastAsia" w:ascii="宋体" w:hAnsi="宋体" w:eastAsia="宋体"/>
          <w:b/>
          <w:color w:val="auto"/>
          <w:sz w:val="24"/>
          <w:szCs w:val="24"/>
          <w:lang w:val="en-US" w:eastAsia="zh-CN"/>
        </w:rPr>
        <w:t>3</w:t>
      </w:r>
      <w:r>
        <w:rPr>
          <w:rFonts w:hint="eastAsia" w:ascii="宋体" w:hAnsi="宋体" w:eastAsia="宋体"/>
          <w:b/>
          <w:color w:val="auto"/>
          <w:sz w:val="24"/>
          <w:szCs w:val="24"/>
        </w:rPr>
        <w:t>年地区生产总值及其增长速度</w:t>
      </w:r>
    </w:p>
    <w:p>
      <w:pPr>
        <w:spacing w:after="0"/>
        <w:jc w:val="center"/>
        <w:rPr>
          <w:color w:val="auto"/>
        </w:rPr>
      </w:pPr>
      <w:r>
        <w:rPr>
          <w:color w:val="auto"/>
        </w:rPr>
        <w:drawing>
          <wp:inline distT="0" distB="0" distL="0" distR="0">
            <wp:extent cx="5478780" cy="3094990"/>
            <wp:effectExtent l="0" t="0" r="7620"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年末全县户籍总户数</w:t>
      </w:r>
      <w:r>
        <w:rPr>
          <w:rFonts w:hint="eastAsia" w:ascii="Times New Roman" w:hAnsi="Times New Roman" w:eastAsia="方正仿宋_GBK" w:cs="Times New Roman"/>
          <w:color w:val="auto"/>
          <w:sz w:val="32"/>
          <w:szCs w:val="32"/>
          <w:lang w:val="en-US" w:eastAsia="zh-CN"/>
        </w:rPr>
        <w:t>19.02</w:t>
      </w:r>
      <w:r>
        <w:rPr>
          <w:rFonts w:ascii="Times New Roman" w:hAnsi="Times New Roman" w:eastAsia="方正仿宋_GBK" w:cs="Times New Roman"/>
          <w:color w:val="auto"/>
          <w:sz w:val="32"/>
          <w:szCs w:val="32"/>
        </w:rPr>
        <w:t>万户，总人口</w:t>
      </w:r>
      <w:r>
        <w:rPr>
          <w:rFonts w:hint="eastAsia" w:ascii="Times New Roman" w:hAnsi="Times New Roman" w:eastAsia="方正仿宋_GBK" w:cs="Times New Roman"/>
          <w:color w:val="auto"/>
          <w:sz w:val="32"/>
          <w:szCs w:val="32"/>
          <w:lang w:val="en-US" w:eastAsia="zh-CN"/>
        </w:rPr>
        <w:t>54.18</w:t>
      </w:r>
      <w:r>
        <w:rPr>
          <w:rFonts w:ascii="Times New Roman" w:hAnsi="Times New Roman" w:eastAsia="方正仿宋_GBK" w:cs="Times New Roman"/>
          <w:color w:val="auto"/>
          <w:sz w:val="32"/>
          <w:szCs w:val="32"/>
        </w:rPr>
        <w:t>万人，其中男性</w:t>
      </w:r>
      <w:r>
        <w:rPr>
          <w:rFonts w:hint="eastAsia" w:ascii="Times New Roman" w:hAnsi="Times New Roman" w:eastAsia="方正仿宋_GBK" w:cs="Times New Roman"/>
          <w:color w:val="auto"/>
          <w:sz w:val="32"/>
          <w:szCs w:val="32"/>
          <w:lang w:val="en-US" w:eastAsia="zh-CN"/>
        </w:rPr>
        <w:t>28.00</w:t>
      </w:r>
      <w:r>
        <w:rPr>
          <w:rFonts w:ascii="Times New Roman" w:hAnsi="Times New Roman" w:eastAsia="方正仿宋_GBK" w:cs="Times New Roman"/>
          <w:color w:val="auto"/>
          <w:sz w:val="32"/>
          <w:szCs w:val="32"/>
        </w:rPr>
        <w:t>万人，女性</w:t>
      </w:r>
      <w:r>
        <w:rPr>
          <w:rFonts w:hint="eastAsia" w:ascii="Times New Roman" w:hAnsi="Times New Roman" w:eastAsia="方正仿宋_GBK" w:cs="Times New Roman"/>
          <w:color w:val="auto"/>
          <w:sz w:val="32"/>
          <w:szCs w:val="32"/>
          <w:lang w:val="en-US" w:eastAsia="zh-CN"/>
        </w:rPr>
        <w:t>26.18</w:t>
      </w:r>
      <w:r>
        <w:rPr>
          <w:rFonts w:ascii="Times New Roman" w:hAnsi="Times New Roman" w:eastAsia="方正仿宋_GBK" w:cs="Times New Roman"/>
          <w:color w:val="auto"/>
          <w:sz w:val="32"/>
          <w:szCs w:val="32"/>
        </w:rPr>
        <w:t>万人，男女性别比为</w:t>
      </w:r>
      <w:r>
        <w:rPr>
          <w:rFonts w:hint="eastAsia" w:ascii="Times New Roman" w:hAnsi="Times New Roman" w:eastAsia="方正仿宋_GBK" w:cs="Times New Roman"/>
          <w:color w:val="auto"/>
          <w:sz w:val="32"/>
          <w:szCs w:val="32"/>
          <w:lang w:val="en-US" w:eastAsia="zh-CN"/>
        </w:rPr>
        <w:t>106.95</w:t>
      </w:r>
      <w:r>
        <w:rPr>
          <w:rFonts w:ascii="Times New Roman" w:hAnsi="Times New Roman" w:eastAsia="方正仿宋_GBK" w:cs="Times New Roman"/>
          <w:color w:val="auto"/>
          <w:sz w:val="32"/>
          <w:szCs w:val="32"/>
        </w:rPr>
        <w:t>（以女性为100）。年末常住人口</w:t>
      </w:r>
      <w:r>
        <w:rPr>
          <w:rFonts w:hint="eastAsia" w:ascii="Times New Roman" w:hAnsi="Times New Roman" w:eastAsia="方正仿宋_GBK" w:cs="Times New Roman"/>
          <w:color w:val="auto"/>
          <w:sz w:val="32"/>
          <w:szCs w:val="32"/>
          <w:lang w:val="en-US" w:eastAsia="zh-CN"/>
        </w:rPr>
        <w:t>38.82</w:t>
      </w:r>
      <w:r>
        <w:rPr>
          <w:rFonts w:ascii="Times New Roman" w:hAnsi="Times New Roman" w:eastAsia="方正仿宋_GBK" w:cs="Times New Roman"/>
          <w:color w:val="auto"/>
          <w:sz w:val="32"/>
          <w:szCs w:val="32"/>
        </w:rPr>
        <w:t>万人，其中城镇人口</w:t>
      </w:r>
      <w:r>
        <w:rPr>
          <w:rFonts w:hint="eastAsia" w:ascii="Times New Roman" w:hAnsi="Times New Roman" w:eastAsia="方正仿宋_GBK" w:cs="Times New Roman"/>
          <w:color w:val="auto"/>
          <w:sz w:val="32"/>
          <w:szCs w:val="32"/>
          <w:lang w:val="en-US" w:eastAsia="zh-CN"/>
        </w:rPr>
        <w:t>23.06</w:t>
      </w:r>
      <w:r>
        <w:rPr>
          <w:rFonts w:ascii="Times New Roman" w:hAnsi="Times New Roman" w:eastAsia="方正仿宋_GBK" w:cs="Times New Roman"/>
          <w:color w:val="auto"/>
          <w:sz w:val="32"/>
          <w:szCs w:val="32"/>
        </w:rPr>
        <w:t>万人，常住人口城镇化率为</w:t>
      </w:r>
      <w:r>
        <w:rPr>
          <w:rFonts w:hint="eastAsia" w:ascii="Times New Roman" w:hAnsi="Times New Roman" w:eastAsia="方正仿宋_GBK" w:cs="Times New Roman"/>
          <w:color w:val="auto"/>
          <w:sz w:val="32"/>
          <w:szCs w:val="32"/>
          <w:lang w:val="en-US" w:eastAsia="zh-CN"/>
        </w:rPr>
        <w:t>59.40</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，比上年提高</w:t>
      </w:r>
      <w:r>
        <w:rPr>
          <w:rFonts w:hint="eastAsia" w:ascii="Times New Roman" w:hAnsi="Times New Roman" w:eastAsia="方正仿宋_GBK" w:cs="Times New Roman"/>
          <w:color w:val="auto"/>
          <w:sz w:val="32"/>
          <w:szCs w:val="32"/>
          <w:lang w:val="en-US" w:eastAsia="zh-CN"/>
        </w:rPr>
        <w:t>0.34</w:t>
      </w:r>
      <w:r>
        <w:rPr>
          <w:rFonts w:hint="eastAsia" w:ascii="Times New Roman" w:hAnsi="Times New Roman" w:eastAsia="方正仿宋_GBK" w:cs="Times New Roman"/>
          <w:color w:val="auto"/>
          <w:sz w:val="32"/>
          <w:szCs w:val="32"/>
        </w:rPr>
        <w:t>个百分点</w:t>
      </w:r>
      <w:r>
        <w:rPr>
          <w:rFonts w:ascii="Times New Roman" w:hAnsi="Times New Roman" w:eastAsia="方正仿宋_GBK" w:cs="Times New Roman"/>
          <w:color w:val="auto"/>
          <w:sz w:val="32"/>
          <w:szCs w:val="32"/>
        </w:rPr>
        <w:t>。公安户籍口径出生人口</w:t>
      </w:r>
      <w:r>
        <w:rPr>
          <w:rFonts w:hint="eastAsia" w:ascii="Times New Roman" w:hAnsi="Times New Roman" w:eastAsia="方正仿宋_GBK" w:cs="Times New Roman"/>
          <w:color w:val="auto"/>
          <w:sz w:val="32"/>
          <w:szCs w:val="32"/>
          <w:lang w:val="en-US" w:eastAsia="zh-CN"/>
        </w:rPr>
        <w:t>3495</w:t>
      </w:r>
      <w:r>
        <w:rPr>
          <w:rFonts w:ascii="Times New Roman" w:hAnsi="Times New Roman" w:eastAsia="方正仿宋_GBK" w:cs="Times New Roman"/>
          <w:color w:val="auto"/>
          <w:sz w:val="32"/>
          <w:szCs w:val="32"/>
        </w:rPr>
        <w:t>人，出生率</w:t>
      </w:r>
      <w:r>
        <w:rPr>
          <w:rFonts w:hint="eastAsia" w:ascii="Times New Roman" w:hAnsi="Times New Roman" w:eastAsia="方正仿宋_GBK" w:cs="Times New Roman"/>
          <w:color w:val="auto"/>
          <w:sz w:val="32"/>
          <w:szCs w:val="32"/>
          <w:lang w:val="en-US" w:eastAsia="zh-CN"/>
        </w:rPr>
        <w:t>6.44</w:t>
      </w:r>
      <w:r>
        <w:rPr>
          <w:rFonts w:ascii="Times New Roman" w:hAnsi="Times New Roman" w:eastAsia="方正仿宋_GBK" w:cs="Times New Roman"/>
          <w:color w:val="auto"/>
          <w:sz w:val="32"/>
          <w:szCs w:val="32"/>
        </w:rPr>
        <w:t>‰，死亡人口</w:t>
      </w:r>
      <w:r>
        <w:rPr>
          <w:rFonts w:hint="eastAsia" w:ascii="Times New Roman" w:hAnsi="Times New Roman" w:eastAsia="方正仿宋_GBK" w:cs="Times New Roman"/>
          <w:color w:val="auto"/>
          <w:sz w:val="32"/>
          <w:szCs w:val="32"/>
          <w:lang w:val="en-US" w:eastAsia="zh-CN"/>
        </w:rPr>
        <w:t>4111</w:t>
      </w:r>
      <w:r>
        <w:rPr>
          <w:rFonts w:ascii="Times New Roman" w:hAnsi="Times New Roman" w:eastAsia="方正仿宋_GBK" w:cs="Times New Roman"/>
          <w:color w:val="auto"/>
          <w:sz w:val="32"/>
          <w:szCs w:val="32"/>
        </w:rPr>
        <w:t>人，死亡率</w:t>
      </w:r>
      <w:r>
        <w:rPr>
          <w:rFonts w:hint="eastAsia" w:ascii="Times New Roman" w:hAnsi="Times New Roman" w:eastAsia="方正仿宋_GBK" w:cs="Times New Roman"/>
          <w:color w:val="auto"/>
          <w:sz w:val="32"/>
          <w:szCs w:val="32"/>
          <w:lang w:val="en-US" w:eastAsia="zh-CN"/>
        </w:rPr>
        <w:t>7.57</w:t>
      </w:r>
      <w:r>
        <w:rPr>
          <w:rFonts w:ascii="Times New Roman" w:hAnsi="Times New Roman" w:eastAsia="方正仿宋_GBK" w:cs="Times New Roman"/>
          <w:color w:val="auto"/>
          <w:sz w:val="32"/>
          <w:szCs w:val="32"/>
        </w:rPr>
        <w:t>‰，人口自然增长率为</w:t>
      </w:r>
      <w:r>
        <w:rPr>
          <w:rFonts w:hint="eastAsia" w:ascii="Times New Roman" w:hAnsi="Times New Roman" w:eastAsia="方正仿宋_GBK" w:cs="Times New Roman"/>
          <w:color w:val="auto"/>
          <w:sz w:val="32"/>
          <w:szCs w:val="32"/>
          <w:lang w:val="en-US" w:eastAsia="zh-CN"/>
        </w:rPr>
        <w:t>-1.13</w:t>
      </w:r>
      <w:r>
        <w:rPr>
          <w:rFonts w:ascii="Times New Roman" w:hAnsi="Times New Roman" w:eastAsia="方正仿宋_GBK" w:cs="Times New Roman"/>
          <w:color w:val="auto"/>
          <w:sz w:val="32"/>
          <w:szCs w:val="32"/>
        </w:rPr>
        <w:t>‰。年末全县城镇新增就业</w:t>
      </w:r>
      <w:r>
        <w:rPr>
          <w:rFonts w:hint="eastAsia" w:ascii="Times New Roman" w:hAnsi="Times New Roman" w:eastAsia="方正仿宋_GBK" w:cs="Times New Roman"/>
          <w:color w:val="auto"/>
          <w:sz w:val="32"/>
          <w:szCs w:val="32"/>
          <w:lang w:val="en-US" w:eastAsia="zh-CN"/>
        </w:rPr>
        <w:t>4808</w:t>
      </w:r>
      <w:r>
        <w:rPr>
          <w:rFonts w:ascii="Times New Roman" w:hAnsi="Times New Roman" w:eastAsia="方正仿宋_GBK" w:cs="Times New Roman"/>
          <w:color w:val="auto"/>
          <w:sz w:val="32"/>
          <w:szCs w:val="32"/>
        </w:rPr>
        <w:t>人。</w:t>
      </w:r>
    </w:p>
    <w:p>
      <w:pPr>
        <w:spacing w:after="0" w:line="560" w:lineRule="exact"/>
        <w:jc w:val="center"/>
        <w:rPr>
          <w:rFonts w:ascii="宋体" w:hAnsi="宋体" w:eastAsia="宋体" w:cs="Times New Roman"/>
          <w:color w:val="auto"/>
          <w:sz w:val="24"/>
        </w:rPr>
      </w:pPr>
      <w:r>
        <w:rPr>
          <w:rFonts w:ascii="宋体" w:hAnsi="宋体" w:eastAsia="宋体" w:cs="Times New Roman"/>
          <w:b/>
          <w:bCs/>
          <w:color w:val="auto"/>
          <w:sz w:val="24"/>
        </w:rPr>
        <w:t>表1  202</w:t>
      </w:r>
      <w:r>
        <w:rPr>
          <w:rFonts w:hint="eastAsia" w:ascii="宋体" w:hAnsi="宋体" w:eastAsia="宋体" w:cs="Times New Roman"/>
          <w:b/>
          <w:bCs/>
          <w:color w:val="auto"/>
          <w:sz w:val="24"/>
          <w:lang w:val="en-US" w:eastAsia="zh-CN"/>
        </w:rPr>
        <w:t>3</w:t>
      </w:r>
      <w:r>
        <w:rPr>
          <w:rFonts w:ascii="宋体" w:hAnsi="宋体" w:eastAsia="宋体" w:cs="Times New Roman"/>
          <w:b/>
          <w:bCs/>
          <w:color w:val="auto"/>
          <w:sz w:val="24"/>
        </w:rPr>
        <w:t>年末石柱县户籍人口数及构成</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84"/>
        <w:gridCol w:w="2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5"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指</w:t>
            </w:r>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标</w:t>
            </w:r>
          </w:p>
        </w:tc>
        <w:tc>
          <w:tcPr>
            <w:tcW w:w="1668"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年末数（人）</w:t>
            </w:r>
          </w:p>
        </w:tc>
        <w:tc>
          <w:tcPr>
            <w:tcW w:w="1667"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bottom w:val="nil"/>
            </w:tcBorders>
            <w:vAlign w:val="center"/>
          </w:tcPr>
          <w:p>
            <w:pPr>
              <w:spacing w:after="0" w:line="30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全县户籍人口</w:t>
            </w:r>
          </w:p>
        </w:tc>
        <w:tc>
          <w:tcPr>
            <w:tcW w:w="1668" w:type="pct"/>
            <w:tcBorders>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541776</w:t>
            </w:r>
          </w:p>
        </w:tc>
        <w:tc>
          <w:tcPr>
            <w:tcW w:w="1667" w:type="pct"/>
            <w:tcBorders>
              <w:bottom w:val="nil"/>
            </w:tcBorders>
            <w:vAlign w:val="center"/>
          </w:tcPr>
          <w:p>
            <w:pPr>
              <w:spacing w:after="0" w:line="300" w:lineRule="exact"/>
              <w:ind w:firstLine="420" w:firstLineChars="20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按城乡分</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#乡村人口</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379953</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城镇人口</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161823</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按年龄段分</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#18岁以下</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90538</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18-34岁</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137311</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35-59岁</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205882</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single" w:color="auto" w:sz="12" w:space="0"/>
            </w:tcBorders>
            <w:vAlign w:val="center"/>
          </w:tcPr>
          <w:p>
            <w:pPr>
              <w:spacing w:after="0" w:line="300" w:lineRule="exact"/>
              <w:ind w:firstLine="315" w:firstLine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60岁及以上</w:t>
            </w:r>
          </w:p>
        </w:tc>
        <w:tc>
          <w:tcPr>
            <w:tcW w:w="1668"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108045</w:t>
            </w:r>
          </w:p>
        </w:tc>
        <w:tc>
          <w:tcPr>
            <w:tcW w:w="1667"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19.9</w:t>
            </w:r>
          </w:p>
        </w:tc>
      </w:tr>
    </w:tbl>
    <w:p>
      <w:pPr>
        <w:spacing w:after="0" w:line="560" w:lineRule="exact"/>
        <w:ind w:firstLine="640" w:firstLineChars="200"/>
        <w:jc w:val="both"/>
        <w:rPr>
          <w:rFonts w:ascii="Times New Roman" w:hAnsi="Times New Roman" w:eastAsia="方正仿宋_GBK" w:cs="Times New Roman"/>
          <w:color w:val="auto"/>
          <w:spacing w:val="-6"/>
          <w:sz w:val="32"/>
          <w:szCs w:val="32"/>
        </w:rPr>
      </w:pPr>
      <w:r>
        <w:rPr>
          <w:rFonts w:ascii="Times New Roman" w:hAnsi="Times New Roman" w:eastAsia="方正仿宋_GBK" w:cs="Times New Roman"/>
          <w:color w:val="auto"/>
          <w:sz w:val="32"/>
          <w:szCs w:val="32"/>
        </w:rPr>
        <w:t>招</w:t>
      </w:r>
      <w:r>
        <w:rPr>
          <w:rFonts w:ascii="Times New Roman" w:hAnsi="Times New Roman" w:eastAsia="方正仿宋_GBK" w:cs="Times New Roman"/>
          <w:color w:val="auto"/>
          <w:spacing w:val="-6"/>
          <w:sz w:val="32"/>
          <w:szCs w:val="32"/>
        </w:rPr>
        <w:t>商工作全面推进，全年招商引资签约项目</w:t>
      </w:r>
      <w:r>
        <w:rPr>
          <w:rFonts w:hint="eastAsia" w:ascii="Times New Roman" w:hAnsi="Times New Roman" w:eastAsia="方正仿宋_GBK" w:cs="Times New Roman"/>
          <w:color w:val="auto"/>
          <w:spacing w:val="-6"/>
          <w:sz w:val="32"/>
          <w:szCs w:val="32"/>
          <w:lang w:val="en-US" w:eastAsia="zh-CN"/>
        </w:rPr>
        <w:t>66</w:t>
      </w:r>
      <w:r>
        <w:rPr>
          <w:rFonts w:ascii="Times New Roman" w:hAnsi="Times New Roman" w:eastAsia="方正仿宋_GBK" w:cs="Times New Roman"/>
          <w:color w:val="auto"/>
          <w:spacing w:val="-6"/>
          <w:sz w:val="32"/>
          <w:szCs w:val="32"/>
        </w:rPr>
        <w:t>个，合同引资</w:t>
      </w:r>
      <w:r>
        <w:rPr>
          <w:rFonts w:hint="eastAsia" w:ascii="Times New Roman" w:hAnsi="Times New Roman" w:eastAsia="方正仿宋_GBK" w:cs="Times New Roman"/>
          <w:color w:val="auto"/>
          <w:spacing w:val="-6"/>
          <w:sz w:val="32"/>
          <w:szCs w:val="32"/>
          <w:lang w:val="en-US" w:eastAsia="zh-CN"/>
        </w:rPr>
        <w:t>200.5</w:t>
      </w:r>
      <w:r>
        <w:rPr>
          <w:rFonts w:ascii="Times New Roman" w:hAnsi="Times New Roman" w:eastAsia="方正仿宋_GBK" w:cs="Times New Roman"/>
          <w:color w:val="auto"/>
          <w:spacing w:val="-6"/>
          <w:sz w:val="32"/>
          <w:szCs w:val="32"/>
        </w:rPr>
        <w:t>亿元，含续建项目在内的实际到位资金</w:t>
      </w:r>
      <w:r>
        <w:rPr>
          <w:rFonts w:hint="eastAsia" w:ascii="Times New Roman" w:hAnsi="Times New Roman" w:eastAsia="方正仿宋_GBK" w:cs="Times New Roman"/>
          <w:color w:val="auto"/>
          <w:spacing w:val="-6"/>
          <w:sz w:val="32"/>
          <w:szCs w:val="32"/>
          <w:lang w:val="en-US" w:eastAsia="zh-CN"/>
        </w:rPr>
        <w:t>46.12</w:t>
      </w:r>
      <w:r>
        <w:rPr>
          <w:rFonts w:ascii="Times New Roman" w:hAnsi="Times New Roman" w:eastAsia="方正仿宋_GBK" w:cs="Times New Roman"/>
          <w:color w:val="auto"/>
          <w:spacing w:val="-6"/>
          <w:sz w:val="32"/>
          <w:szCs w:val="32"/>
        </w:rPr>
        <w:t>亿元。</w:t>
      </w:r>
    </w:p>
    <w:p>
      <w:pPr>
        <w:spacing w:after="0" w:line="560" w:lineRule="exact"/>
        <w:ind w:firstLine="640" w:firstLineChars="200"/>
        <w:jc w:val="both"/>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二、农业</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全年完成农林牧渔业总产值</w:t>
      </w:r>
      <w:r>
        <w:rPr>
          <w:rFonts w:hint="eastAsia" w:ascii="Times New Roman" w:hAnsi="Times New Roman" w:eastAsia="方正仿宋_GBK" w:cs="Times New Roman"/>
          <w:color w:val="auto"/>
          <w:sz w:val="32"/>
          <w:szCs w:val="32"/>
          <w:lang w:val="en-US" w:eastAsia="zh-CN"/>
        </w:rPr>
        <w:t>60.45</w:t>
      </w:r>
      <w:r>
        <w:rPr>
          <w:rFonts w:ascii="Times New Roman" w:hAnsi="Times New Roman" w:eastAsia="方正仿宋_GBK" w:cs="Times New Roman"/>
          <w:color w:val="auto"/>
          <w:sz w:val="32"/>
          <w:szCs w:val="32"/>
        </w:rPr>
        <w:t>亿元，比上年增长</w:t>
      </w:r>
      <w:r>
        <w:rPr>
          <w:rFonts w:hint="eastAsia" w:ascii="Times New Roman" w:hAnsi="Times New Roman" w:eastAsia="方正仿宋_GBK" w:cs="Times New Roman"/>
          <w:color w:val="auto"/>
          <w:sz w:val="32"/>
          <w:szCs w:val="32"/>
          <w:lang w:val="en-US" w:eastAsia="zh-CN"/>
        </w:rPr>
        <w:t>5.3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可比价</w:t>
      </w:r>
      <w:r>
        <w:rPr>
          <w:rFonts w:ascii="Times New Roman" w:hAnsi="Times New Roman" w:eastAsia="方正仿宋_GBK" w:cs="Times New Roman"/>
          <w:color w:val="auto"/>
          <w:sz w:val="32"/>
          <w:szCs w:val="32"/>
        </w:rPr>
        <w:t>）。其中，农业产值</w:t>
      </w:r>
      <w:r>
        <w:rPr>
          <w:rFonts w:hint="eastAsia" w:ascii="Times New Roman" w:hAnsi="Times New Roman" w:eastAsia="方正仿宋_GBK" w:cs="Times New Roman"/>
          <w:color w:val="auto"/>
          <w:sz w:val="32"/>
          <w:szCs w:val="32"/>
          <w:lang w:val="en-US" w:eastAsia="zh-CN"/>
        </w:rPr>
        <w:t>44.55</w:t>
      </w:r>
      <w:r>
        <w:rPr>
          <w:rFonts w:ascii="Times New Roman" w:hAnsi="Times New Roman" w:eastAsia="方正仿宋_GBK" w:cs="Times New Roman"/>
          <w:color w:val="auto"/>
          <w:sz w:val="32"/>
          <w:szCs w:val="32"/>
        </w:rPr>
        <w:t>亿元，林业产值</w:t>
      </w:r>
      <w:r>
        <w:rPr>
          <w:rFonts w:hint="eastAsia" w:ascii="Times New Roman" w:hAnsi="Times New Roman" w:eastAsia="方正仿宋_GBK" w:cs="Times New Roman"/>
          <w:color w:val="auto"/>
          <w:sz w:val="32"/>
          <w:szCs w:val="32"/>
          <w:lang w:val="en-US" w:eastAsia="zh-CN"/>
        </w:rPr>
        <w:t>3.14</w:t>
      </w:r>
      <w:r>
        <w:rPr>
          <w:rFonts w:ascii="Times New Roman" w:hAnsi="Times New Roman" w:eastAsia="方正仿宋_GBK" w:cs="Times New Roman"/>
          <w:color w:val="auto"/>
          <w:sz w:val="32"/>
          <w:szCs w:val="32"/>
        </w:rPr>
        <w:t>亿元，牧业产值</w:t>
      </w:r>
      <w:r>
        <w:rPr>
          <w:rFonts w:hint="eastAsia" w:ascii="Times New Roman" w:hAnsi="Times New Roman" w:eastAsia="方正仿宋_GBK" w:cs="Times New Roman"/>
          <w:color w:val="auto"/>
          <w:sz w:val="32"/>
          <w:szCs w:val="32"/>
          <w:lang w:val="en-US" w:eastAsia="zh-CN"/>
        </w:rPr>
        <w:t>9.89</w:t>
      </w:r>
      <w:r>
        <w:rPr>
          <w:rFonts w:ascii="Times New Roman" w:hAnsi="Times New Roman" w:eastAsia="方正仿宋_GBK" w:cs="Times New Roman"/>
          <w:color w:val="auto"/>
          <w:sz w:val="32"/>
          <w:szCs w:val="32"/>
        </w:rPr>
        <w:t>亿元，渔业产值</w:t>
      </w:r>
      <w:r>
        <w:rPr>
          <w:rFonts w:hint="eastAsia" w:ascii="Times New Roman" w:hAnsi="Times New Roman" w:eastAsia="方正仿宋_GBK" w:cs="Times New Roman"/>
          <w:color w:val="auto"/>
          <w:sz w:val="32"/>
          <w:szCs w:val="32"/>
          <w:lang w:val="en-US" w:eastAsia="zh-CN"/>
        </w:rPr>
        <w:t>2.09</w:t>
      </w:r>
      <w:r>
        <w:rPr>
          <w:rFonts w:ascii="Times New Roman" w:hAnsi="Times New Roman" w:eastAsia="方正仿宋_GBK" w:cs="Times New Roman"/>
          <w:color w:val="auto"/>
          <w:sz w:val="32"/>
          <w:szCs w:val="32"/>
        </w:rPr>
        <w:t>亿元，农林牧渔服务业产值</w:t>
      </w:r>
      <w:r>
        <w:rPr>
          <w:rFonts w:hint="eastAsia" w:ascii="Times New Roman" w:hAnsi="Times New Roman" w:eastAsia="方正仿宋_GBK" w:cs="Times New Roman"/>
          <w:color w:val="auto"/>
          <w:sz w:val="32"/>
          <w:szCs w:val="32"/>
          <w:lang w:val="en-US" w:eastAsia="zh-CN"/>
        </w:rPr>
        <w:t>0.78</w:t>
      </w:r>
      <w:r>
        <w:rPr>
          <w:rFonts w:ascii="Times New Roman" w:hAnsi="Times New Roman" w:eastAsia="方正仿宋_GBK" w:cs="Times New Roman"/>
          <w:color w:val="auto"/>
          <w:sz w:val="32"/>
          <w:szCs w:val="32"/>
        </w:rPr>
        <w:t>亿元。实现农林牧渔业增加值</w:t>
      </w:r>
      <w:r>
        <w:rPr>
          <w:rFonts w:hint="eastAsia" w:ascii="Times New Roman" w:hAnsi="Times New Roman" w:eastAsia="方正仿宋_GBK" w:cs="Times New Roman"/>
          <w:color w:val="auto"/>
          <w:sz w:val="32"/>
          <w:szCs w:val="32"/>
          <w:lang w:val="en-US" w:eastAsia="zh-CN"/>
        </w:rPr>
        <w:t>39.02</w:t>
      </w:r>
      <w:r>
        <w:rPr>
          <w:rFonts w:ascii="Times New Roman" w:hAnsi="Times New Roman" w:eastAsia="方正仿宋_GBK" w:cs="Times New Roman"/>
          <w:color w:val="auto"/>
          <w:sz w:val="32"/>
          <w:szCs w:val="32"/>
        </w:rPr>
        <w:t>亿元（含农林牧渔专业及辅助性活动），</w:t>
      </w:r>
      <w:r>
        <w:rPr>
          <w:rFonts w:hint="eastAsia" w:ascii="Times New Roman" w:hAnsi="Times New Roman" w:eastAsia="方正仿宋_GBK" w:cs="Times New Roman"/>
          <w:color w:val="auto"/>
          <w:sz w:val="32"/>
          <w:szCs w:val="32"/>
          <w:lang w:eastAsia="zh-CN"/>
        </w:rPr>
        <w:t>按可比价计算，比上年</w:t>
      </w:r>
      <w:r>
        <w:rPr>
          <w:rFonts w:ascii="Times New Roman" w:hAnsi="Times New Roman" w:eastAsia="方正仿宋_GBK" w:cs="Times New Roman"/>
          <w:color w:val="auto"/>
          <w:sz w:val="32"/>
          <w:szCs w:val="32"/>
        </w:rPr>
        <w:t>增长</w:t>
      </w:r>
      <w:r>
        <w:rPr>
          <w:rFonts w:hint="eastAsia" w:ascii="Times New Roman" w:hAnsi="Times New Roman" w:eastAsia="方正仿宋_GBK" w:cs="Times New Roman"/>
          <w:color w:val="auto"/>
          <w:sz w:val="32"/>
          <w:szCs w:val="32"/>
          <w:lang w:val="en-US" w:eastAsia="zh-CN"/>
        </w:rPr>
        <w:t>5.2</w:t>
      </w:r>
      <w:r>
        <w:rPr>
          <w:rFonts w:ascii="Times New Roman" w:hAnsi="Times New Roman" w:eastAsia="方正仿宋_GBK" w:cs="Times New Roman"/>
          <w:color w:val="auto"/>
          <w:sz w:val="32"/>
          <w:szCs w:val="32"/>
        </w:rPr>
        <w:t>%。</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全年粮食播种面积</w:t>
      </w:r>
      <w:r>
        <w:rPr>
          <w:rFonts w:hint="eastAsia" w:ascii="Times New Roman" w:hAnsi="Times New Roman" w:eastAsia="方正仿宋_GBK" w:cs="Times New Roman"/>
          <w:color w:val="auto"/>
          <w:sz w:val="32"/>
          <w:szCs w:val="32"/>
          <w:lang w:val="en-US" w:eastAsia="zh-CN"/>
        </w:rPr>
        <w:t>67.59</w:t>
      </w:r>
      <w:r>
        <w:rPr>
          <w:rFonts w:ascii="Times New Roman" w:hAnsi="Times New Roman" w:eastAsia="方正仿宋_GBK" w:cs="Times New Roman"/>
          <w:color w:val="auto"/>
          <w:sz w:val="32"/>
          <w:szCs w:val="32"/>
        </w:rPr>
        <w:t>万亩，比上年</w:t>
      </w:r>
      <w:r>
        <w:rPr>
          <w:rFonts w:hint="eastAsia" w:ascii="Times New Roman" w:hAnsi="Times New Roman" w:eastAsia="方正仿宋_GBK" w:cs="Times New Roman"/>
          <w:color w:val="auto"/>
          <w:sz w:val="32"/>
          <w:szCs w:val="32"/>
          <w:lang w:eastAsia="zh-CN"/>
        </w:rPr>
        <w:t>减少</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%。其中，稻谷种植面积</w:t>
      </w:r>
      <w:r>
        <w:rPr>
          <w:rFonts w:hint="eastAsia" w:ascii="Times New Roman" w:hAnsi="Times New Roman" w:eastAsia="方正仿宋_GBK" w:cs="Times New Roman"/>
          <w:color w:val="auto"/>
          <w:sz w:val="32"/>
          <w:szCs w:val="32"/>
          <w:lang w:val="en-US" w:eastAsia="zh-CN"/>
        </w:rPr>
        <w:t>18.37</w:t>
      </w:r>
      <w:r>
        <w:rPr>
          <w:rFonts w:ascii="Times New Roman" w:hAnsi="Times New Roman" w:eastAsia="方正仿宋_GBK" w:cs="Times New Roman"/>
          <w:color w:val="auto"/>
          <w:sz w:val="32"/>
          <w:szCs w:val="32"/>
        </w:rPr>
        <w:t>万亩，增长0.</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%；玉米种植面积</w:t>
      </w:r>
      <w:r>
        <w:rPr>
          <w:rFonts w:hint="eastAsia" w:ascii="Times New Roman" w:hAnsi="Times New Roman" w:eastAsia="方正仿宋_GBK" w:cs="Times New Roman"/>
          <w:color w:val="auto"/>
          <w:sz w:val="32"/>
          <w:szCs w:val="32"/>
          <w:lang w:val="en-US" w:eastAsia="zh-CN"/>
        </w:rPr>
        <w:t>13.09</w:t>
      </w:r>
      <w:r>
        <w:rPr>
          <w:rFonts w:ascii="Times New Roman" w:hAnsi="Times New Roman" w:eastAsia="方正仿宋_GBK" w:cs="Times New Roman"/>
          <w:color w:val="auto"/>
          <w:sz w:val="32"/>
          <w:szCs w:val="32"/>
        </w:rPr>
        <w:t>万亩，</w:t>
      </w:r>
      <w:r>
        <w:rPr>
          <w:rFonts w:hint="eastAsia" w:ascii="Times New Roman" w:hAnsi="Times New Roman" w:eastAsia="方正仿宋_GBK" w:cs="Times New Roman"/>
          <w:color w:val="auto"/>
          <w:sz w:val="32"/>
          <w:szCs w:val="32"/>
          <w:lang w:eastAsia="zh-CN"/>
        </w:rPr>
        <w:t>减少</w:t>
      </w:r>
      <w:r>
        <w:rPr>
          <w:rFonts w:hint="eastAsia" w:ascii="Times New Roman" w:hAnsi="Times New Roman" w:eastAsia="方正仿宋_GBK" w:cs="Times New Roman"/>
          <w:color w:val="auto"/>
          <w:sz w:val="32"/>
          <w:szCs w:val="32"/>
          <w:lang w:val="en-US" w:eastAsia="zh-CN"/>
        </w:rPr>
        <w:t>1.7</w:t>
      </w:r>
      <w:r>
        <w:rPr>
          <w:rFonts w:ascii="Times New Roman" w:hAnsi="Times New Roman" w:eastAsia="方正仿宋_GBK" w:cs="Times New Roman"/>
          <w:color w:val="auto"/>
          <w:sz w:val="32"/>
          <w:szCs w:val="32"/>
        </w:rPr>
        <w:t>%。油料种植面积5.</w:t>
      </w:r>
      <w:r>
        <w:rPr>
          <w:rFonts w:hint="eastAsia" w:ascii="Times New Roman" w:hAnsi="Times New Roman" w:eastAsia="方正仿宋_GBK" w:cs="Times New Roman"/>
          <w:color w:val="auto"/>
          <w:sz w:val="32"/>
          <w:szCs w:val="32"/>
          <w:lang w:val="en-US" w:eastAsia="zh-CN"/>
        </w:rPr>
        <w:t>96</w:t>
      </w:r>
      <w:r>
        <w:rPr>
          <w:rFonts w:ascii="Times New Roman" w:hAnsi="Times New Roman" w:eastAsia="方正仿宋_GBK" w:cs="Times New Roman"/>
          <w:color w:val="auto"/>
          <w:sz w:val="32"/>
          <w:szCs w:val="32"/>
        </w:rPr>
        <w:t>万亩，增长</w:t>
      </w:r>
      <w:r>
        <w:rPr>
          <w:rFonts w:hint="eastAsia" w:ascii="Times New Roman" w:hAnsi="Times New Roman" w:eastAsia="方正仿宋_GBK" w:cs="Times New Roman"/>
          <w:color w:val="auto"/>
          <w:sz w:val="32"/>
          <w:szCs w:val="32"/>
          <w:lang w:val="en-US" w:eastAsia="zh-CN"/>
        </w:rPr>
        <w:t>12.7</w:t>
      </w:r>
      <w:r>
        <w:rPr>
          <w:rFonts w:ascii="Times New Roman" w:hAnsi="Times New Roman" w:eastAsia="方正仿宋_GBK" w:cs="Times New Roman"/>
          <w:color w:val="auto"/>
          <w:sz w:val="32"/>
          <w:szCs w:val="32"/>
        </w:rPr>
        <w:t>%；烟叶种植面积</w:t>
      </w:r>
      <w:r>
        <w:rPr>
          <w:rFonts w:hint="eastAsia" w:ascii="Times New Roman" w:hAnsi="Times New Roman" w:eastAsia="方正仿宋_GBK" w:cs="Times New Roman"/>
          <w:color w:val="auto"/>
          <w:sz w:val="32"/>
          <w:szCs w:val="32"/>
          <w:lang w:val="en-US" w:eastAsia="zh-CN"/>
        </w:rPr>
        <w:t>2.63</w:t>
      </w:r>
      <w:r>
        <w:rPr>
          <w:rFonts w:ascii="Times New Roman" w:hAnsi="Times New Roman" w:eastAsia="方正仿宋_GBK" w:cs="Times New Roman"/>
          <w:color w:val="auto"/>
          <w:sz w:val="32"/>
          <w:szCs w:val="32"/>
        </w:rPr>
        <w:t>万亩，</w:t>
      </w:r>
      <w:r>
        <w:rPr>
          <w:rFonts w:hint="eastAsia" w:ascii="Times New Roman" w:hAnsi="Times New Roman" w:eastAsia="方正仿宋_GBK" w:cs="Times New Roman"/>
          <w:color w:val="auto"/>
          <w:sz w:val="32"/>
          <w:szCs w:val="32"/>
          <w:lang w:eastAsia="zh-CN"/>
        </w:rPr>
        <w:t>减少</w:t>
      </w:r>
      <w:r>
        <w:rPr>
          <w:rFonts w:hint="eastAsia" w:ascii="Times New Roman" w:hAnsi="Times New Roman" w:eastAsia="方正仿宋_GBK" w:cs="Times New Roman"/>
          <w:color w:val="auto"/>
          <w:sz w:val="32"/>
          <w:szCs w:val="32"/>
          <w:lang w:val="en-US" w:eastAsia="zh-CN"/>
        </w:rPr>
        <w:t>9.3</w:t>
      </w:r>
      <w:r>
        <w:rPr>
          <w:rFonts w:ascii="Times New Roman" w:hAnsi="Times New Roman" w:eastAsia="方正仿宋_GBK" w:cs="Times New Roman"/>
          <w:color w:val="auto"/>
          <w:sz w:val="32"/>
          <w:szCs w:val="32"/>
        </w:rPr>
        <w:t>%。</w:t>
      </w:r>
    </w:p>
    <w:p>
      <w:pPr>
        <w:pStyle w:val="3"/>
        <w:keepNext/>
        <w:spacing w:before="180" w:beforeLines="50" w:after="180" w:afterLines="50"/>
        <w:jc w:val="center"/>
        <w:rPr>
          <w:rFonts w:ascii="宋体" w:hAnsi="宋体" w:eastAsia="宋体"/>
          <w:b/>
          <w:color w:val="auto"/>
          <w:sz w:val="24"/>
          <w:szCs w:val="24"/>
        </w:rPr>
      </w:pPr>
      <w:r>
        <w:rPr>
          <w:rFonts w:hint="eastAsia" w:ascii="宋体" w:hAnsi="宋体" w:eastAsia="宋体"/>
          <w:b/>
          <w:color w:val="auto"/>
          <w:sz w:val="24"/>
          <w:szCs w:val="24"/>
        </w:rPr>
        <w:t>图2  20</w:t>
      </w:r>
      <w:r>
        <w:rPr>
          <w:rFonts w:hint="eastAsia" w:ascii="宋体" w:hAnsi="宋体" w:eastAsia="宋体"/>
          <w:b/>
          <w:color w:val="auto"/>
          <w:sz w:val="24"/>
          <w:szCs w:val="24"/>
          <w:lang w:val="en-US" w:eastAsia="zh-CN"/>
        </w:rPr>
        <w:t>19</w:t>
      </w:r>
      <w:r>
        <w:rPr>
          <w:rFonts w:hint="eastAsia" w:ascii="宋体" w:hAnsi="宋体" w:eastAsia="宋体"/>
          <w:b/>
          <w:color w:val="auto"/>
          <w:sz w:val="24"/>
          <w:szCs w:val="24"/>
        </w:rPr>
        <w:t>-202</w:t>
      </w:r>
      <w:r>
        <w:rPr>
          <w:rFonts w:hint="eastAsia" w:ascii="宋体" w:hAnsi="宋体" w:eastAsia="宋体"/>
          <w:b/>
          <w:color w:val="auto"/>
          <w:sz w:val="24"/>
          <w:szCs w:val="24"/>
          <w:lang w:val="en-US" w:eastAsia="zh-CN"/>
        </w:rPr>
        <w:t>3</w:t>
      </w:r>
      <w:r>
        <w:rPr>
          <w:rFonts w:hint="eastAsia" w:ascii="宋体" w:hAnsi="宋体" w:eastAsia="宋体"/>
          <w:b/>
          <w:color w:val="auto"/>
          <w:sz w:val="24"/>
          <w:szCs w:val="24"/>
        </w:rPr>
        <w:t>年粮食产量及其增长速度</w:t>
      </w:r>
    </w:p>
    <w:p>
      <w:pPr>
        <w:spacing w:after="0"/>
        <w:rPr>
          <w:color w:val="auto"/>
        </w:rPr>
      </w:pPr>
      <w:r>
        <w:rPr>
          <w:color w:val="auto"/>
        </w:rPr>
        <w:drawing>
          <wp:inline distT="0" distB="0" distL="0" distR="0">
            <wp:extent cx="5486400" cy="234315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全年粮食产量</w:t>
      </w:r>
      <w:r>
        <w:rPr>
          <w:rFonts w:hint="eastAsia" w:ascii="Times New Roman" w:hAnsi="Times New Roman" w:eastAsia="方正仿宋_GBK" w:cs="Times New Roman"/>
          <w:color w:val="auto"/>
          <w:sz w:val="32"/>
          <w:szCs w:val="32"/>
          <w:lang w:val="en-US" w:eastAsia="zh-CN"/>
        </w:rPr>
        <w:t>22.46</w:t>
      </w:r>
      <w:r>
        <w:rPr>
          <w:rFonts w:ascii="Times New Roman" w:hAnsi="Times New Roman" w:eastAsia="方正仿宋_GBK" w:cs="Times New Roman"/>
          <w:color w:val="auto"/>
          <w:sz w:val="32"/>
          <w:szCs w:val="32"/>
        </w:rPr>
        <w:t>万吨，比上年</w:t>
      </w:r>
      <w:r>
        <w:rPr>
          <w:rFonts w:hint="eastAsia" w:ascii="Times New Roman" w:hAnsi="Times New Roman" w:eastAsia="方正仿宋_GBK" w:cs="Times New Roman"/>
          <w:color w:val="auto"/>
          <w:sz w:val="32"/>
          <w:szCs w:val="32"/>
          <w:lang w:eastAsia="zh-CN"/>
        </w:rPr>
        <w:t>增加</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35</w:t>
      </w:r>
      <w:r>
        <w:rPr>
          <w:rFonts w:ascii="Times New Roman" w:hAnsi="Times New Roman" w:eastAsia="方正仿宋_GBK" w:cs="Times New Roman"/>
          <w:color w:val="auto"/>
          <w:sz w:val="32"/>
          <w:szCs w:val="32"/>
        </w:rPr>
        <w:t>万吨，</w:t>
      </w:r>
      <w:r>
        <w:rPr>
          <w:rFonts w:hint="eastAsia" w:ascii="Times New Roman" w:hAnsi="Times New Roman" w:eastAsia="方正仿宋_GBK" w:cs="Times New Roman"/>
          <w:color w:val="auto"/>
          <w:sz w:val="32"/>
          <w:szCs w:val="32"/>
          <w:lang w:eastAsia="zh-CN"/>
        </w:rPr>
        <w:t>增产</w:t>
      </w:r>
      <w:r>
        <w:rPr>
          <w:rFonts w:hint="eastAsia" w:ascii="Times New Roman" w:hAnsi="Times New Roman" w:eastAsia="方正仿宋_GBK" w:cs="Times New Roman"/>
          <w:color w:val="auto"/>
          <w:sz w:val="32"/>
          <w:szCs w:val="32"/>
          <w:lang w:val="en-US" w:eastAsia="zh-CN"/>
        </w:rPr>
        <w:t>1.6</w:t>
      </w:r>
      <w:r>
        <w:rPr>
          <w:rFonts w:ascii="Times New Roman" w:hAnsi="Times New Roman" w:eastAsia="方正仿宋_GBK" w:cs="Times New Roman"/>
          <w:color w:val="auto"/>
          <w:sz w:val="32"/>
          <w:szCs w:val="32"/>
        </w:rPr>
        <w:t>%。其中，夏粮产量</w:t>
      </w:r>
      <w:r>
        <w:rPr>
          <w:rFonts w:hint="eastAsia" w:ascii="Times New Roman" w:hAnsi="Times New Roman" w:eastAsia="方正仿宋_GBK" w:cs="Times New Roman"/>
          <w:color w:val="auto"/>
          <w:sz w:val="32"/>
          <w:szCs w:val="32"/>
          <w:lang w:val="en-US" w:eastAsia="zh-CN"/>
        </w:rPr>
        <w:t>6.01</w:t>
      </w:r>
      <w:r>
        <w:rPr>
          <w:rFonts w:ascii="Times New Roman" w:hAnsi="Times New Roman" w:eastAsia="方正仿宋_GBK" w:cs="Times New Roman"/>
          <w:color w:val="auto"/>
          <w:sz w:val="32"/>
          <w:szCs w:val="32"/>
        </w:rPr>
        <w:t>万吨，</w:t>
      </w:r>
      <w:r>
        <w:rPr>
          <w:rFonts w:hint="eastAsia" w:ascii="Times New Roman" w:hAnsi="Times New Roman" w:eastAsia="方正仿宋_GBK" w:cs="Times New Roman"/>
          <w:color w:val="auto"/>
          <w:sz w:val="32"/>
          <w:szCs w:val="32"/>
          <w:lang w:eastAsia="zh-CN"/>
        </w:rPr>
        <w:t>增产</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%；秋粮产量16.</w:t>
      </w:r>
      <w:r>
        <w:rPr>
          <w:rFonts w:hint="eastAsia" w:ascii="Times New Roman" w:hAnsi="Times New Roman" w:eastAsia="方正仿宋_GBK" w:cs="Times New Roman"/>
          <w:color w:val="auto"/>
          <w:sz w:val="32"/>
          <w:szCs w:val="32"/>
          <w:lang w:val="en-US" w:eastAsia="zh-CN"/>
        </w:rPr>
        <w:t>45</w:t>
      </w:r>
      <w:r>
        <w:rPr>
          <w:rFonts w:ascii="Times New Roman" w:hAnsi="Times New Roman" w:eastAsia="方正仿宋_GBK" w:cs="Times New Roman"/>
          <w:color w:val="auto"/>
          <w:sz w:val="32"/>
          <w:szCs w:val="32"/>
        </w:rPr>
        <w:t>万吨，</w:t>
      </w:r>
      <w:r>
        <w:rPr>
          <w:rFonts w:hint="eastAsia" w:ascii="Times New Roman" w:hAnsi="Times New Roman" w:eastAsia="方正仿宋_GBK" w:cs="Times New Roman"/>
          <w:color w:val="auto"/>
          <w:sz w:val="32"/>
          <w:szCs w:val="32"/>
          <w:lang w:eastAsia="zh-CN"/>
        </w:rPr>
        <w:t>增产</w:t>
      </w:r>
      <w:r>
        <w:rPr>
          <w:rFonts w:hint="eastAsia" w:ascii="Times New Roman" w:hAnsi="Times New Roman" w:eastAsia="方正仿宋_GBK" w:cs="Times New Roman"/>
          <w:color w:val="auto"/>
          <w:sz w:val="32"/>
          <w:szCs w:val="32"/>
          <w:lang w:val="en-US" w:eastAsia="zh-CN"/>
        </w:rPr>
        <w:t>2.1</w:t>
      </w:r>
      <w:r>
        <w:rPr>
          <w:rFonts w:ascii="Times New Roman" w:hAnsi="Times New Roman" w:eastAsia="方正仿宋_GBK" w:cs="Times New Roman"/>
          <w:color w:val="auto"/>
          <w:sz w:val="32"/>
          <w:szCs w:val="32"/>
        </w:rPr>
        <w:t>%。粮食综合单产</w:t>
      </w:r>
      <w:r>
        <w:rPr>
          <w:rFonts w:hint="eastAsia" w:ascii="Times New Roman" w:hAnsi="Times New Roman" w:eastAsia="方正仿宋_GBK" w:cs="Times New Roman"/>
          <w:color w:val="auto"/>
          <w:sz w:val="32"/>
          <w:szCs w:val="32"/>
          <w:lang w:val="en-US" w:eastAsia="zh-CN"/>
        </w:rPr>
        <w:t>332.29</w:t>
      </w:r>
      <w:r>
        <w:rPr>
          <w:rFonts w:ascii="Times New Roman" w:hAnsi="Times New Roman" w:eastAsia="方正仿宋_GBK" w:cs="Times New Roman"/>
          <w:color w:val="auto"/>
          <w:sz w:val="32"/>
          <w:szCs w:val="32"/>
        </w:rPr>
        <w:t>公斤/亩，</w:t>
      </w:r>
      <w:r>
        <w:rPr>
          <w:rFonts w:hint="eastAsia" w:ascii="Times New Roman" w:hAnsi="Times New Roman" w:eastAsia="方正仿宋_GBK" w:cs="Times New Roman"/>
          <w:color w:val="auto"/>
          <w:sz w:val="32"/>
          <w:szCs w:val="32"/>
          <w:lang w:eastAsia="zh-CN"/>
        </w:rPr>
        <w:t>增产</w:t>
      </w:r>
      <w:r>
        <w:rPr>
          <w:rFonts w:hint="eastAsia" w:ascii="Times New Roman" w:hAnsi="Times New Roman" w:eastAsia="方正仿宋_GBK" w:cs="Times New Roman"/>
          <w:color w:val="auto"/>
          <w:sz w:val="32"/>
          <w:szCs w:val="32"/>
          <w:lang w:val="en-US" w:eastAsia="zh-CN"/>
        </w:rPr>
        <w:t>2.6</w:t>
      </w:r>
      <w:r>
        <w:rPr>
          <w:rFonts w:ascii="Times New Roman" w:hAnsi="Times New Roman" w:eastAsia="方正仿宋_GBK" w:cs="Times New Roman"/>
          <w:color w:val="auto"/>
          <w:sz w:val="32"/>
          <w:szCs w:val="32"/>
        </w:rPr>
        <w:t>%。主要粮食品种中，稻谷产量</w:t>
      </w:r>
      <w:r>
        <w:rPr>
          <w:rFonts w:hint="eastAsia" w:ascii="Times New Roman" w:hAnsi="Times New Roman" w:eastAsia="方正仿宋_GBK" w:cs="Times New Roman"/>
          <w:color w:val="auto"/>
          <w:sz w:val="32"/>
          <w:szCs w:val="32"/>
          <w:lang w:val="en-US" w:eastAsia="zh-CN"/>
        </w:rPr>
        <w:t>8.31</w:t>
      </w:r>
      <w:r>
        <w:rPr>
          <w:rFonts w:ascii="Times New Roman" w:hAnsi="Times New Roman" w:eastAsia="方正仿宋_GBK" w:cs="Times New Roman"/>
          <w:color w:val="auto"/>
          <w:sz w:val="32"/>
          <w:szCs w:val="32"/>
        </w:rPr>
        <w:t>万吨，</w:t>
      </w:r>
      <w:r>
        <w:rPr>
          <w:rFonts w:hint="eastAsia" w:ascii="Times New Roman" w:hAnsi="Times New Roman" w:eastAsia="方正仿宋_GBK" w:cs="Times New Roman"/>
          <w:color w:val="auto"/>
          <w:sz w:val="32"/>
          <w:szCs w:val="32"/>
          <w:lang w:eastAsia="zh-CN"/>
        </w:rPr>
        <w:t>增产</w:t>
      </w:r>
      <w:r>
        <w:rPr>
          <w:rFonts w:hint="eastAsia" w:ascii="Times New Roman" w:hAnsi="Times New Roman" w:eastAsia="方正仿宋_GBK" w:cs="Times New Roman"/>
          <w:color w:val="auto"/>
          <w:sz w:val="32"/>
          <w:szCs w:val="32"/>
          <w:lang w:val="en-US" w:eastAsia="zh-CN"/>
        </w:rPr>
        <w:t>2.6</w:t>
      </w:r>
      <w:r>
        <w:rPr>
          <w:rFonts w:ascii="Times New Roman" w:hAnsi="Times New Roman" w:eastAsia="方正仿宋_GBK" w:cs="Times New Roman"/>
          <w:color w:val="auto"/>
          <w:sz w:val="32"/>
          <w:szCs w:val="32"/>
        </w:rPr>
        <w:t>%；玉米产量5.</w:t>
      </w:r>
      <w:r>
        <w:rPr>
          <w:rFonts w:hint="eastAsia" w:ascii="Times New Roman" w:hAnsi="Times New Roman" w:eastAsia="方正仿宋_GBK" w:cs="Times New Roman"/>
          <w:color w:val="auto"/>
          <w:sz w:val="32"/>
          <w:szCs w:val="32"/>
          <w:lang w:val="en-US" w:eastAsia="zh-CN"/>
        </w:rPr>
        <w:t>48</w:t>
      </w:r>
      <w:r>
        <w:rPr>
          <w:rFonts w:ascii="Times New Roman" w:hAnsi="Times New Roman" w:eastAsia="方正仿宋_GBK" w:cs="Times New Roman"/>
          <w:color w:val="auto"/>
          <w:sz w:val="32"/>
          <w:szCs w:val="32"/>
        </w:rPr>
        <w:t>万吨，</w:t>
      </w:r>
      <w:r>
        <w:rPr>
          <w:rFonts w:hint="eastAsia" w:ascii="Times New Roman" w:hAnsi="Times New Roman" w:eastAsia="方正仿宋_GBK" w:cs="Times New Roman"/>
          <w:color w:val="auto"/>
          <w:sz w:val="32"/>
          <w:szCs w:val="32"/>
          <w:lang w:eastAsia="zh-CN"/>
        </w:rPr>
        <w:t>减产</w:t>
      </w:r>
      <w:r>
        <w:rPr>
          <w:rFonts w:hint="eastAsia" w:ascii="Times New Roman" w:hAnsi="Times New Roman" w:eastAsia="方正仿宋_GBK" w:cs="Times New Roman"/>
          <w:color w:val="auto"/>
          <w:sz w:val="32"/>
          <w:szCs w:val="32"/>
          <w:lang w:val="en-US" w:eastAsia="zh-CN"/>
        </w:rPr>
        <w:t>0.7</w:t>
      </w:r>
      <w:r>
        <w:rPr>
          <w:rFonts w:ascii="Times New Roman" w:hAnsi="Times New Roman" w:eastAsia="方正仿宋_GBK" w:cs="Times New Roman"/>
          <w:color w:val="auto"/>
          <w:sz w:val="32"/>
          <w:szCs w:val="32"/>
        </w:rPr>
        <w:t>%；薯类产量7.9</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万吨，</w:t>
      </w:r>
      <w:r>
        <w:rPr>
          <w:rFonts w:hint="eastAsia" w:ascii="Times New Roman" w:hAnsi="Times New Roman" w:eastAsia="方正仿宋_GBK" w:cs="Times New Roman"/>
          <w:color w:val="auto"/>
          <w:sz w:val="32"/>
          <w:szCs w:val="32"/>
          <w:lang w:eastAsia="zh-CN"/>
        </w:rPr>
        <w:t>增产</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w:t>
      </w:r>
      <w:r>
        <w:rPr>
          <w:rFonts w:ascii="Times New Roman" w:hAnsi="Times New Roman" w:eastAsia="方正仿宋_GBK" w:cs="Times New Roman"/>
          <w:color w:val="auto"/>
          <w:spacing w:val="-12"/>
          <w:sz w:val="32"/>
          <w:szCs w:val="32"/>
        </w:rPr>
        <w:t>油料产量</w:t>
      </w:r>
      <w:r>
        <w:rPr>
          <w:rFonts w:hint="eastAsia" w:ascii="Times New Roman" w:hAnsi="Times New Roman" w:eastAsia="方正仿宋_GBK" w:cs="Times New Roman"/>
          <w:color w:val="auto"/>
          <w:spacing w:val="-12"/>
          <w:sz w:val="32"/>
          <w:szCs w:val="32"/>
          <w:lang w:val="en-US" w:eastAsia="zh-CN"/>
        </w:rPr>
        <w:t>0.81</w:t>
      </w:r>
      <w:r>
        <w:rPr>
          <w:rFonts w:ascii="Times New Roman" w:hAnsi="Times New Roman" w:eastAsia="方正仿宋_GBK" w:cs="Times New Roman"/>
          <w:color w:val="auto"/>
          <w:spacing w:val="-12"/>
          <w:sz w:val="32"/>
          <w:szCs w:val="32"/>
        </w:rPr>
        <w:t>万吨，</w:t>
      </w:r>
      <w:r>
        <w:rPr>
          <w:rFonts w:hint="eastAsia" w:ascii="Times New Roman" w:hAnsi="Times New Roman" w:eastAsia="方正仿宋_GBK" w:cs="Times New Roman"/>
          <w:color w:val="auto"/>
          <w:spacing w:val="-12"/>
          <w:sz w:val="32"/>
          <w:szCs w:val="32"/>
          <w:lang w:eastAsia="zh-CN"/>
        </w:rPr>
        <w:t>增产</w:t>
      </w:r>
      <w:r>
        <w:rPr>
          <w:rFonts w:hint="eastAsia" w:ascii="Times New Roman" w:hAnsi="Times New Roman" w:eastAsia="方正仿宋_GBK" w:cs="Times New Roman"/>
          <w:color w:val="auto"/>
          <w:spacing w:val="-12"/>
          <w:sz w:val="32"/>
          <w:szCs w:val="32"/>
          <w:lang w:val="en-US" w:eastAsia="zh-CN"/>
        </w:rPr>
        <w:t>15.6</w:t>
      </w:r>
      <w:r>
        <w:rPr>
          <w:rFonts w:ascii="Times New Roman" w:hAnsi="Times New Roman" w:eastAsia="方正仿宋_GBK" w:cs="Times New Roman"/>
          <w:color w:val="auto"/>
          <w:spacing w:val="-12"/>
          <w:sz w:val="32"/>
          <w:szCs w:val="32"/>
        </w:rPr>
        <w:t>%；烟叶产量0.</w:t>
      </w:r>
      <w:r>
        <w:rPr>
          <w:rFonts w:hint="eastAsia" w:ascii="Times New Roman" w:hAnsi="Times New Roman" w:eastAsia="方正仿宋_GBK" w:cs="Times New Roman"/>
          <w:color w:val="auto"/>
          <w:spacing w:val="-12"/>
          <w:sz w:val="32"/>
          <w:szCs w:val="32"/>
          <w:lang w:val="en-US" w:eastAsia="zh-CN"/>
        </w:rPr>
        <w:t>33</w:t>
      </w:r>
      <w:r>
        <w:rPr>
          <w:rFonts w:ascii="Times New Roman" w:hAnsi="Times New Roman" w:eastAsia="方正仿宋_GBK" w:cs="Times New Roman"/>
          <w:color w:val="auto"/>
          <w:spacing w:val="-12"/>
          <w:sz w:val="32"/>
          <w:szCs w:val="32"/>
        </w:rPr>
        <w:t>万</w:t>
      </w:r>
      <w:r>
        <w:rPr>
          <w:rFonts w:ascii="Times New Roman" w:hAnsi="Times New Roman" w:eastAsia="方正仿宋_GBK" w:cs="Times New Roman"/>
          <w:color w:val="auto"/>
          <w:spacing w:val="-6"/>
          <w:sz w:val="32"/>
          <w:szCs w:val="32"/>
        </w:rPr>
        <w:t>吨，</w:t>
      </w:r>
      <w:r>
        <w:rPr>
          <w:rFonts w:hint="eastAsia" w:ascii="Times New Roman" w:hAnsi="Times New Roman" w:eastAsia="方正仿宋_GBK" w:cs="Times New Roman"/>
          <w:color w:val="auto"/>
          <w:spacing w:val="-6"/>
          <w:sz w:val="32"/>
          <w:szCs w:val="32"/>
          <w:lang w:eastAsia="zh-CN"/>
        </w:rPr>
        <w:t>减产</w:t>
      </w:r>
      <w:r>
        <w:rPr>
          <w:rFonts w:hint="eastAsia" w:ascii="Times New Roman" w:hAnsi="Times New Roman" w:eastAsia="方正仿宋_GBK" w:cs="Times New Roman"/>
          <w:color w:val="auto"/>
          <w:spacing w:val="-6"/>
          <w:sz w:val="32"/>
          <w:szCs w:val="32"/>
          <w:lang w:val="en-US" w:eastAsia="zh-CN"/>
        </w:rPr>
        <w:t>6.5</w:t>
      </w:r>
      <w:r>
        <w:rPr>
          <w:rFonts w:ascii="Times New Roman" w:hAnsi="Times New Roman" w:eastAsia="方正仿宋_GBK" w:cs="Times New Roman"/>
          <w:color w:val="auto"/>
          <w:spacing w:val="-6"/>
          <w:sz w:val="32"/>
          <w:szCs w:val="32"/>
        </w:rPr>
        <w:t>%；蔬菜产量</w:t>
      </w:r>
      <w:r>
        <w:rPr>
          <w:rFonts w:hint="eastAsia" w:ascii="Times New Roman" w:hAnsi="Times New Roman" w:eastAsia="方正仿宋_GBK" w:cs="Times New Roman"/>
          <w:color w:val="auto"/>
          <w:spacing w:val="-6"/>
          <w:sz w:val="32"/>
          <w:szCs w:val="32"/>
          <w:lang w:val="en-US" w:eastAsia="zh-CN"/>
        </w:rPr>
        <w:t>54.61</w:t>
      </w:r>
      <w:r>
        <w:rPr>
          <w:rFonts w:ascii="Times New Roman" w:hAnsi="Times New Roman" w:eastAsia="方正仿宋_GBK" w:cs="Times New Roman"/>
          <w:color w:val="auto"/>
          <w:spacing w:val="-6"/>
          <w:sz w:val="32"/>
          <w:szCs w:val="32"/>
        </w:rPr>
        <w:t>万吨，</w:t>
      </w:r>
      <w:r>
        <w:rPr>
          <w:rFonts w:hint="eastAsia" w:ascii="Times New Roman" w:hAnsi="Times New Roman" w:eastAsia="方正仿宋_GBK" w:cs="Times New Roman"/>
          <w:color w:val="auto"/>
          <w:spacing w:val="-6"/>
          <w:sz w:val="32"/>
          <w:szCs w:val="32"/>
          <w:lang w:eastAsia="zh-CN"/>
        </w:rPr>
        <w:t>增产</w:t>
      </w:r>
      <w:r>
        <w:rPr>
          <w:rFonts w:hint="eastAsia" w:ascii="Times New Roman" w:hAnsi="Times New Roman" w:eastAsia="方正仿宋_GBK" w:cs="Times New Roman"/>
          <w:color w:val="auto"/>
          <w:spacing w:val="-6"/>
          <w:sz w:val="32"/>
          <w:szCs w:val="32"/>
          <w:lang w:val="en-US" w:eastAsia="zh-CN"/>
        </w:rPr>
        <w:t>6.0</w:t>
      </w:r>
      <w:r>
        <w:rPr>
          <w:rFonts w:ascii="Times New Roman" w:hAnsi="Times New Roman" w:eastAsia="方正仿宋_GBK" w:cs="Times New Roman"/>
          <w:color w:val="auto"/>
          <w:spacing w:val="-6"/>
          <w:sz w:val="32"/>
          <w:szCs w:val="32"/>
        </w:rPr>
        <w:t>%。</w:t>
      </w:r>
    </w:p>
    <w:p>
      <w:pPr>
        <w:spacing w:after="0" w:line="560" w:lineRule="exact"/>
        <w:ind w:firstLine="640" w:firstLineChars="200"/>
        <w:jc w:val="both"/>
        <w:rPr>
          <w:rFonts w:ascii="宋体" w:hAnsi="宋体" w:eastAsia="宋体" w:cs="宋体"/>
          <w:b/>
          <w:bCs/>
          <w:color w:val="auto"/>
          <w:sz w:val="24"/>
        </w:rPr>
      </w:pPr>
      <w:r>
        <w:rPr>
          <w:rFonts w:ascii="Times New Roman" w:hAnsi="Times New Roman" w:eastAsia="方正仿宋_GBK" w:cs="Times New Roman"/>
          <w:color w:val="auto"/>
          <w:sz w:val="32"/>
          <w:szCs w:val="32"/>
        </w:rPr>
        <w:t>全</w:t>
      </w:r>
      <w:r>
        <w:rPr>
          <w:rFonts w:ascii="Times New Roman" w:hAnsi="Times New Roman" w:eastAsia="方正仿宋_GBK" w:cs="Times New Roman"/>
          <w:color w:val="auto"/>
          <w:spacing w:val="-8"/>
          <w:sz w:val="32"/>
          <w:szCs w:val="32"/>
        </w:rPr>
        <w:t>年肉类总产量</w:t>
      </w:r>
      <w:r>
        <w:rPr>
          <w:rFonts w:hint="eastAsia" w:ascii="Times New Roman" w:hAnsi="Times New Roman" w:eastAsia="方正仿宋_GBK" w:cs="Times New Roman"/>
          <w:color w:val="auto"/>
          <w:spacing w:val="-8"/>
          <w:sz w:val="32"/>
          <w:szCs w:val="32"/>
          <w:lang w:val="en-US" w:eastAsia="zh-CN"/>
        </w:rPr>
        <w:t>3.13</w:t>
      </w:r>
      <w:r>
        <w:rPr>
          <w:rFonts w:ascii="Times New Roman" w:hAnsi="Times New Roman" w:eastAsia="方正仿宋_GBK" w:cs="Times New Roman"/>
          <w:color w:val="auto"/>
          <w:spacing w:val="-8"/>
          <w:sz w:val="32"/>
          <w:szCs w:val="32"/>
        </w:rPr>
        <w:t>万吨（不含兔肉及其他肉产量），比上年增长</w:t>
      </w:r>
      <w:r>
        <w:rPr>
          <w:rFonts w:hint="eastAsia" w:ascii="Times New Roman" w:hAnsi="Times New Roman" w:eastAsia="方正仿宋_GBK" w:cs="Times New Roman"/>
          <w:color w:val="auto"/>
          <w:spacing w:val="-8"/>
          <w:sz w:val="32"/>
          <w:szCs w:val="32"/>
          <w:lang w:val="en-US" w:eastAsia="zh-CN"/>
        </w:rPr>
        <w:t>6.1</w:t>
      </w:r>
      <w:r>
        <w:rPr>
          <w:rFonts w:ascii="Times New Roman" w:hAnsi="Times New Roman" w:eastAsia="方正仿宋_GBK" w:cs="Times New Roman"/>
          <w:color w:val="auto"/>
          <w:spacing w:val="-8"/>
          <w:sz w:val="32"/>
          <w:szCs w:val="32"/>
        </w:rPr>
        <w:t>%。其中，猪肉产量</w:t>
      </w:r>
      <w:r>
        <w:rPr>
          <w:rFonts w:hint="eastAsia" w:ascii="Times New Roman" w:hAnsi="Times New Roman" w:eastAsia="方正仿宋_GBK" w:cs="Times New Roman"/>
          <w:color w:val="auto"/>
          <w:spacing w:val="-8"/>
          <w:sz w:val="32"/>
          <w:szCs w:val="32"/>
          <w:lang w:val="en-US" w:eastAsia="zh-CN"/>
        </w:rPr>
        <w:t>2.32</w:t>
      </w:r>
      <w:r>
        <w:rPr>
          <w:rFonts w:ascii="Times New Roman" w:hAnsi="Times New Roman" w:eastAsia="方正仿宋_GBK" w:cs="Times New Roman"/>
          <w:color w:val="auto"/>
          <w:spacing w:val="-8"/>
          <w:sz w:val="32"/>
          <w:szCs w:val="32"/>
        </w:rPr>
        <w:t>万吨，增长</w:t>
      </w:r>
      <w:r>
        <w:rPr>
          <w:rFonts w:hint="eastAsia" w:ascii="Times New Roman" w:hAnsi="Times New Roman" w:eastAsia="方正仿宋_GBK" w:cs="Times New Roman"/>
          <w:color w:val="auto"/>
          <w:spacing w:val="-8"/>
          <w:sz w:val="32"/>
          <w:szCs w:val="32"/>
          <w:lang w:val="en-US" w:eastAsia="zh-CN"/>
        </w:rPr>
        <w:t>8.1</w:t>
      </w:r>
      <w:r>
        <w:rPr>
          <w:rFonts w:ascii="Times New Roman" w:hAnsi="Times New Roman" w:eastAsia="方正仿宋_GBK" w:cs="Times New Roman"/>
          <w:color w:val="auto"/>
          <w:spacing w:val="-8"/>
          <w:sz w:val="32"/>
          <w:szCs w:val="32"/>
        </w:rPr>
        <w:t>%；牛肉产量</w:t>
      </w:r>
      <w:r>
        <w:rPr>
          <w:rFonts w:hint="eastAsia" w:ascii="Times New Roman" w:hAnsi="Times New Roman" w:eastAsia="方正仿宋_GBK" w:cs="Times New Roman"/>
          <w:color w:val="auto"/>
          <w:spacing w:val="-8"/>
          <w:sz w:val="32"/>
          <w:szCs w:val="32"/>
          <w:lang w:val="en-US" w:eastAsia="zh-CN"/>
        </w:rPr>
        <w:t>0.43</w:t>
      </w:r>
      <w:r>
        <w:rPr>
          <w:rFonts w:ascii="Times New Roman" w:hAnsi="Times New Roman" w:eastAsia="方正仿宋_GBK" w:cs="Times New Roman"/>
          <w:color w:val="auto"/>
          <w:spacing w:val="-8"/>
          <w:sz w:val="32"/>
          <w:szCs w:val="32"/>
        </w:rPr>
        <w:t>万吨，增长</w:t>
      </w:r>
      <w:r>
        <w:rPr>
          <w:rFonts w:hint="eastAsia" w:ascii="Times New Roman" w:hAnsi="Times New Roman" w:eastAsia="方正仿宋_GBK" w:cs="Times New Roman"/>
          <w:color w:val="auto"/>
          <w:spacing w:val="-8"/>
          <w:sz w:val="32"/>
          <w:szCs w:val="32"/>
          <w:lang w:val="en-US" w:eastAsia="zh-CN"/>
        </w:rPr>
        <w:t>3.0</w:t>
      </w:r>
      <w:r>
        <w:rPr>
          <w:rFonts w:ascii="Times New Roman" w:hAnsi="Times New Roman" w:eastAsia="方正仿宋_GBK" w:cs="Times New Roman"/>
          <w:color w:val="auto"/>
          <w:spacing w:val="-8"/>
          <w:sz w:val="32"/>
          <w:szCs w:val="32"/>
        </w:rPr>
        <w:t>%；羊肉产量</w:t>
      </w:r>
      <w:r>
        <w:rPr>
          <w:rFonts w:hint="eastAsia" w:ascii="Times New Roman" w:hAnsi="Times New Roman" w:eastAsia="方正仿宋_GBK" w:cs="Times New Roman"/>
          <w:color w:val="auto"/>
          <w:spacing w:val="-8"/>
          <w:sz w:val="32"/>
          <w:szCs w:val="32"/>
          <w:lang w:val="en-US" w:eastAsia="zh-CN"/>
        </w:rPr>
        <w:t>0.09</w:t>
      </w:r>
      <w:r>
        <w:rPr>
          <w:rFonts w:ascii="Times New Roman" w:hAnsi="Times New Roman" w:eastAsia="方正仿宋_GBK" w:cs="Times New Roman"/>
          <w:color w:val="auto"/>
          <w:spacing w:val="-8"/>
          <w:sz w:val="32"/>
          <w:szCs w:val="32"/>
        </w:rPr>
        <w:t>万吨，</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pacing w:val="-8"/>
          <w:sz w:val="32"/>
          <w:szCs w:val="32"/>
          <w:lang w:val="en-US" w:eastAsia="zh-CN"/>
        </w:rPr>
        <w:t>8.7</w:t>
      </w:r>
      <w:r>
        <w:rPr>
          <w:rFonts w:ascii="Times New Roman" w:hAnsi="Times New Roman" w:eastAsia="方正仿宋_GBK" w:cs="Times New Roman"/>
          <w:color w:val="auto"/>
          <w:spacing w:val="-8"/>
          <w:sz w:val="32"/>
          <w:szCs w:val="32"/>
        </w:rPr>
        <w:t>%；禽肉产量0.</w:t>
      </w:r>
      <w:r>
        <w:rPr>
          <w:rFonts w:hint="eastAsia" w:ascii="Times New Roman" w:hAnsi="Times New Roman" w:eastAsia="方正仿宋_GBK" w:cs="Times New Roman"/>
          <w:color w:val="auto"/>
          <w:spacing w:val="-8"/>
          <w:sz w:val="32"/>
          <w:szCs w:val="32"/>
          <w:lang w:val="en-US" w:eastAsia="zh-CN"/>
        </w:rPr>
        <w:t>29</w:t>
      </w:r>
      <w:r>
        <w:rPr>
          <w:rFonts w:ascii="Times New Roman" w:hAnsi="Times New Roman" w:eastAsia="方正仿宋_GBK" w:cs="Times New Roman"/>
          <w:color w:val="auto"/>
          <w:spacing w:val="-8"/>
          <w:sz w:val="32"/>
          <w:szCs w:val="32"/>
        </w:rPr>
        <w:t>万吨，增长</w:t>
      </w:r>
      <w:r>
        <w:rPr>
          <w:rFonts w:hint="eastAsia" w:ascii="Times New Roman" w:hAnsi="Times New Roman" w:eastAsia="方正仿宋_GBK" w:cs="Times New Roman"/>
          <w:color w:val="auto"/>
          <w:spacing w:val="-8"/>
          <w:sz w:val="32"/>
          <w:szCs w:val="32"/>
          <w:lang w:val="en-US" w:eastAsia="zh-CN"/>
        </w:rPr>
        <w:t>0.5</w:t>
      </w:r>
      <w:r>
        <w:rPr>
          <w:rFonts w:ascii="Times New Roman" w:hAnsi="Times New Roman" w:eastAsia="方正仿宋_GBK" w:cs="Times New Roman"/>
          <w:color w:val="auto"/>
          <w:spacing w:val="-8"/>
          <w:sz w:val="32"/>
          <w:szCs w:val="32"/>
        </w:rPr>
        <w:t>%。生猪出栏</w:t>
      </w:r>
      <w:r>
        <w:rPr>
          <w:rFonts w:hint="eastAsia" w:ascii="Times New Roman" w:hAnsi="Times New Roman" w:eastAsia="方正仿宋_GBK" w:cs="Times New Roman"/>
          <w:color w:val="auto"/>
          <w:spacing w:val="-8"/>
          <w:sz w:val="32"/>
          <w:szCs w:val="32"/>
          <w:lang w:val="en-US" w:eastAsia="zh-CN"/>
        </w:rPr>
        <w:t>28.60</w:t>
      </w:r>
      <w:r>
        <w:rPr>
          <w:rFonts w:ascii="Times New Roman" w:hAnsi="Times New Roman" w:eastAsia="方正仿宋_GBK" w:cs="Times New Roman"/>
          <w:color w:val="auto"/>
          <w:spacing w:val="-8"/>
          <w:sz w:val="32"/>
          <w:szCs w:val="32"/>
        </w:rPr>
        <w:t>万头，增长</w:t>
      </w:r>
      <w:r>
        <w:rPr>
          <w:rFonts w:hint="eastAsia" w:ascii="Times New Roman" w:hAnsi="Times New Roman" w:eastAsia="方正仿宋_GBK" w:cs="Times New Roman"/>
          <w:color w:val="auto"/>
          <w:spacing w:val="-8"/>
          <w:sz w:val="32"/>
          <w:szCs w:val="32"/>
          <w:lang w:val="en-US" w:eastAsia="zh-CN"/>
        </w:rPr>
        <w:t>5.1</w:t>
      </w:r>
      <w:r>
        <w:rPr>
          <w:rFonts w:ascii="Times New Roman" w:hAnsi="Times New Roman" w:eastAsia="方正仿宋_GBK" w:cs="Times New Roman"/>
          <w:color w:val="auto"/>
          <w:spacing w:val="-8"/>
          <w:sz w:val="32"/>
          <w:szCs w:val="32"/>
        </w:rPr>
        <w:t>%</w:t>
      </w:r>
      <w:r>
        <w:rPr>
          <w:rFonts w:hint="eastAsia" w:ascii="Times New Roman" w:hAnsi="Times New Roman" w:eastAsia="方正仿宋_GBK" w:cs="Times New Roman"/>
          <w:color w:val="auto"/>
          <w:spacing w:val="-8"/>
          <w:sz w:val="32"/>
          <w:szCs w:val="32"/>
        </w:rPr>
        <w:t>。</w:t>
      </w:r>
      <w:r>
        <w:rPr>
          <w:rFonts w:ascii="Times New Roman" w:hAnsi="Times New Roman" w:eastAsia="方正仿宋_GBK" w:cs="Times New Roman"/>
          <w:color w:val="auto"/>
          <w:spacing w:val="-8"/>
          <w:sz w:val="32"/>
          <w:szCs w:val="32"/>
        </w:rPr>
        <w:t>年末生猪存栏</w:t>
      </w:r>
      <w:r>
        <w:rPr>
          <w:rFonts w:hint="eastAsia" w:ascii="Times New Roman" w:hAnsi="Times New Roman" w:eastAsia="方正仿宋_GBK" w:cs="Times New Roman"/>
          <w:color w:val="auto"/>
          <w:spacing w:val="-8"/>
          <w:sz w:val="32"/>
          <w:szCs w:val="32"/>
          <w:lang w:val="en-US" w:eastAsia="zh-CN"/>
        </w:rPr>
        <w:t>14.67</w:t>
      </w:r>
      <w:r>
        <w:rPr>
          <w:rFonts w:ascii="Times New Roman" w:hAnsi="Times New Roman" w:eastAsia="方正仿宋_GBK" w:cs="Times New Roman"/>
          <w:color w:val="auto"/>
          <w:spacing w:val="-8"/>
          <w:sz w:val="32"/>
          <w:szCs w:val="32"/>
        </w:rPr>
        <w:t>万头，</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pacing w:val="-8"/>
          <w:sz w:val="32"/>
          <w:szCs w:val="32"/>
          <w:lang w:val="en-US" w:eastAsia="zh-CN"/>
        </w:rPr>
        <w:t>5.7</w:t>
      </w:r>
      <w:r>
        <w:rPr>
          <w:rFonts w:ascii="Times New Roman" w:hAnsi="Times New Roman" w:eastAsia="方正仿宋_GBK" w:cs="Times New Roman"/>
          <w:color w:val="auto"/>
          <w:spacing w:val="-8"/>
          <w:sz w:val="32"/>
          <w:szCs w:val="32"/>
        </w:rPr>
        <w:t>%</w:t>
      </w:r>
      <w:r>
        <w:rPr>
          <w:rFonts w:hint="eastAsia" w:ascii="Times New Roman" w:hAnsi="Times New Roman" w:eastAsia="方正仿宋_GBK" w:cs="Times New Roman"/>
          <w:color w:val="auto"/>
          <w:spacing w:val="-8"/>
          <w:sz w:val="32"/>
          <w:szCs w:val="32"/>
        </w:rPr>
        <w:t>。</w:t>
      </w:r>
      <w:r>
        <w:rPr>
          <w:rFonts w:ascii="Times New Roman" w:hAnsi="Times New Roman" w:eastAsia="方正仿宋_GBK" w:cs="Times New Roman"/>
          <w:color w:val="auto"/>
          <w:spacing w:val="-8"/>
          <w:sz w:val="32"/>
          <w:szCs w:val="32"/>
        </w:rPr>
        <w:t>禽蛋产量0</w:t>
      </w:r>
      <w:r>
        <w:rPr>
          <w:rFonts w:hint="eastAsia" w:ascii="Times New Roman" w:hAnsi="Times New Roman" w:eastAsia="方正仿宋_GBK" w:cs="Times New Roman"/>
          <w:color w:val="auto"/>
          <w:spacing w:val="-8"/>
          <w:sz w:val="32"/>
          <w:szCs w:val="32"/>
          <w:lang w:val="en-US" w:eastAsia="zh-CN"/>
        </w:rPr>
        <w:t>.51</w:t>
      </w:r>
      <w:r>
        <w:rPr>
          <w:rFonts w:ascii="Times New Roman" w:hAnsi="Times New Roman" w:eastAsia="方正仿宋_GBK" w:cs="Times New Roman"/>
          <w:color w:val="auto"/>
          <w:spacing w:val="-8"/>
          <w:sz w:val="32"/>
          <w:szCs w:val="32"/>
        </w:rPr>
        <w:t>万吨，</w:t>
      </w:r>
      <w:r>
        <w:rPr>
          <w:rFonts w:hint="eastAsia" w:ascii="Times New Roman" w:hAnsi="Times New Roman" w:eastAsia="方正仿宋_GBK" w:cs="Times New Roman"/>
          <w:color w:val="auto"/>
          <w:spacing w:val="-8"/>
          <w:sz w:val="32"/>
          <w:szCs w:val="32"/>
          <w:lang w:eastAsia="zh-CN"/>
        </w:rPr>
        <w:t>增长</w:t>
      </w:r>
      <w:r>
        <w:rPr>
          <w:rFonts w:hint="eastAsia" w:ascii="Times New Roman" w:hAnsi="Times New Roman" w:eastAsia="方正仿宋_GBK" w:cs="Times New Roman"/>
          <w:color w:val="auto"/>
          <w:spacing w:val="-8"/>
          <w:sz w:val="32"/>
          <w:szCs w:val="32"/>
          <w:lang w:val="en-US" w:eastAsia="zh-CN"/>
        </w:rPr>
        <w:t>19.4</w:t>
      </w:r>
      <w:r>
        <w:rPr>
          <w:rFonts w:ascii="Times New Roman" w:hAnsi="Times New Roman" w:eastAsia="方正仿宋_GBK" w:cs="Times New Roman"/>
          <w:color w:val="auto"/>
          <w:spacing w:val="-8"/>
          <w:sz w:val="32"/>
          <w:szCs w:val="32"/>
        </w:rPr>
        <w:t>%。</w:t>
      </w:r>
      <w:r>
        <w:rPr>
          <w:rFonts w:ascii="Times New Roman" w:hAnsi="Times New Roman" w:eastAsia="方正仿宋_GBK" w:cs="Times New Roman"/>
          <w:color w:val="auto"/>
          <w:sz w:val="32"/>
          <w:szCs w:val="32"/>
        </w:rPr>
        <w:t>全年水产品产量0.</w:t>
      </w:r>
      <w:r>
        <w:rPr>
          <w:rFonts w:hint="eastAsia" w:ascii="Times New Roman" w:hAnsi="Times New Roman" w:eastAsia="方正仿宋_GBK" w:cs="Times New Roman"/>
          <w:color w:val="auto"/>
          <w:sz w:val="32"/>
          <w:szCs w:val="32"/>
          <w:lang w:val="en-US" w:eastAsia="zh-CN"/>
        </w:rPr>
        <w:t>54</w:t>
      </w:r>
      <w:r>
        <w:rPr>
          <w:rFonts w:ascii="Times New Roman" w:hAnsi="Times New Roman" w:eastAsia="方正仿宋_GBK" w:cs="Times New Roman"/>
          <w:color w:val="auto"/>
          <w:sz w:val="32"/>
          <w:szCs w:val="32"/>
        </w:rPr>
        <w:t>万吨，增长</w:t>
      </w:r>
      <w:r>
        <w:rPr>
          <w:rFonts w:hint="eastAsia" w:ascii="Times New Roman" w:hAnsi="Times New Roman" w:eastAsia="方正仿宋_GBK" w:cs="Times New Roman"/>
          <w:color w:val="auto"/>
          <w:sz w:val="32"/>
          <w:szCs w:val="32"/>
          <w:lang w:val="en-US" w:eastAsia="zh-CN"/>
        </w:rPr>
        <w:t>3.9</w:t>
      </w:r>
      <w:r>
        <w:rPr>
          <w:rFonts w:ascii="Times New Roman" w:hAnsi="Times New Roman" w:eastAsia="方正仿宋_GBK" w:cs="Times New Roman"/>
          <w:color w:val="auto"/>
          <w:sz w:val="32"/>
          <w:szCs w:val="32"/>
        </w:rPr>
        <w:t>%。</w:t>
      </w:r>
    </w:p>
    <w:p>
      <w:pPr>
        <w:spacing w:after="0" w:line="560" w:lineRule="exact"/>
        <w:jc w:val="center"/>
        <w:rPr>
          <w:rFonts w:ascii="宋体" w:hAnsi="宋体" w:eastAsia="宋体" w:cs="Times New Roman"/>
          <w:color w:val="auto"/>
          <w:sz w:val="24"/>
        </w:rPr>
      </w:pPr>
      <w:r>
        <w:rPr>
          <w:rFonts w:ascii="宋体" w:hAnsi="宋体" w:eastAsia="宋体" w:cs="Times New Roman"/>
          <w:b/>
          <w:bCs/>
          <w:color w:val="auto"/>
          <w:sz w:val="24"/>
        </w:rPr>
        <w:t>表2  202</w:t>
      </w:r>
      <w:r>
        <w:rPr>
          <w:rFonts w:hint="eastAsia" w:ascii="宋体" w:hAnsi="宋体" w:eastAsia="宋体" w:cs="Times New Roman"/>
          <w:b/>
          <w:bCs/>
          <w:color w:val="auto"/>
          <w:sz w:val="24"/>
          <w:lang w:val="en-US" w:eastAsia="zh-CN"/>
        </w:rPr>
        <w:t>3</w:t>
      </w:r>
      <w:r>
        <w:rPr>
          <w:rFonts w:ascii="宋体" w:hAnsi="宋体" w:eastAsia="宋体" w:cs="Times New Roman"/>
          <w:b/>
          <w:bCs/>
          <w:color w:val="auto"/>
          <w:sz w:val="24"/>
        </w:rPr>
        <w:t>年主要农产品产量及其增长速度</w:t>
      </w:r>
    </w:p>
    <w:tbl>
      <w:tblPr>
        <w:tblStyle w:val="8"/>
        <w:tblW w:w="5063" w:type="pct"/>
        <w:jc w:val="center"/>
        <w:tblLayout w:type="autofit"/>
        <w:tblCellMar>
          <w:top w:w="0" w:type="dxa"/>
          <w:left w:w="108" w:type="dxa"/>
          <w:bottom w:w="0" w:type="dxa"/>
          <w:right w:w="108" w:type="dxa"/>
        </w:tblCellMar>
      </w:tblPr>
      <w:tblGrid>
        <w:gridCol w:w="3723"/>
        <w:gridCol w:w="2539"/>
        <w:gridCol w:w="2797"/>
      </w:tblGrid>
      <w:tr>
        <w:tblPrEx>
          <w:tblCellMar>
            <w:top w:w="0" w:type="dxa"/>
            <w:left w:w="108" w:type="dxa"/>
            <w:bottom w:w="0" w:type="dxa"/>
            <w:right w:w="108" w:type="dxa"/>
          </w:tblCellMar>
        </w:tblPrEx>
        <w:trPr>
          <w:trHeight w:val="552" w:hRule="exact"/>
          <w:jc w:val="center"/>
        </w:trPr>
        <w:tc>
          <w:tcPr>
            <w:tcW w:w="2054"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产品名称</w:t>
            </w:r>
          </w:p>
        </w:tc>
        <w:tc>
          <w:tcPr>
            <w:tcW w:w="1401"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产量</w:t>
            </w:r>
          </w:p>
        </w:tc>
        <w:tc>
          <w:tcPr>
            <w:tcW w:w="1543" w:type="pct"/>
            <w:tcBorders>
              <w:top w:val="single" w:color="auto" w:sz="12" w:space="0"/>
              <w:left w:val="nil"/>
              <w:bottom w:val="single" w:color="auto" w:sz="8" w:space="0"/>
              <w:right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比上年增长（%）</w:t>
            </w:r>
          </w:p>
        </w:tc>
      </w:tr>
      <w:tr>
        <w:tblPrEx>
          <w:tblCellMar>
            <w:top w:w="0" w:type="dxa"/>
            <w:left w:w="108" w:type="dxa"/>
            <w:bottom w:w="0" w:type="dxa"/>
            <w:right w:w="108" w:type="dxa"/>
          </w:tblCellMar>
        </w:tblPrEx>
        <w:trPr>
          <w:trHeight w:val="482" w:hRule="exact"/>
          <w:jc w:val="center"/>
        </w:trPr>
        <w:tc>
          <w:tcPr>
            <w:tcW w:w="2054"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粮食（万吨）</w:t>
            </w:r>
          </w:p>
        </w:tc>
        <w:tc>
          <w:tcPr>
            <w:tcW w:w="1401"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22.46</w:t>
            </w:r>
          </w:p>
        </w:tc>
        <w:tc>
          <w:tcPr>
            <w:tcW w:w="1543"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r>
      <w:tr>
        <w:tblPrEx>
          <w:tblCellMar>
            <w:top w:w="0" w:type="dxa"/>
            <w:left w:w="108" w:type="dxa"/>
            <w:bottom w:w="0" w:type="dxa"/>
            <w:right w:w="108" w:type="dxa"/>
          </w:tblCellMar>
        </w:tblPrEx>
        <w:trPr>
          <w:trHeight w:val="482" w:hRule="exact"/>
          <w:jc w:val="center"/>
        </w:trPr>
        <w:tc>
          <w:tcPr>
            <w:tcW w:w="2054" w:type="pct"/>
            <w:tcBorders>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出栏生猪（万头）</w:t>
            </w:r>
          </w:p>
        </w:tc>
        <w:tc>
          <w:tcPr>
            <w:tcW w:w="1401"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28.60</w:t>
            </w:r>
          </w:p>
        </w:tc>
        <w:tc>
          <w:tcPr>
            <w:tcW w:w="1543"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w:t>
            </w:r>
          </w:p>
        </w:tc>
      </w:tr>
      <w:tr>
        <w:tblPrEx>
          <w:tblCellMar>
            <w:top w:w="0" w:type="dxa"/>
            <w:left w:w="108" w:type="dxa"/>
            <w:bottom w:w="0" w:type="dxa"/>
            <w:right w:w="108" w:type="dxa"/>
          </w:tblCellMar>
        </w:tblPrEx>
        <w:trPr>
          <w:trHeight w:val="482" w:hRule="exact"/>
          <w:jc w:val="center"/>
        </w:trPr>
        <w:tc>
          <w:tcPr>
            <w:tcW w:w="2054" w:type="pct"/>
            <w:tcBorders>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出栏牛（万头）</w:t>
            </w:r>
          </w:p>
        </w:tc>
        <w:tc>
          <w:tcPr>
            <w:tcW w:w="1401"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3.24</w:t>
            </w:r>
          </w:p>
        </w:tc>
        <w:tc>
          <w:tcPr>
            <w:tcW w:w="1543"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r>
      <w:tr>
        <w:tblPrEx>
          <w:tblCellMar>
            <w:top w:w="0" w:type="dxa"/>
            <w:left w:w="108" w:type="dxa"/>
            <w:bottom w:w="0" w:type="dxa"/>
            <w:right w:w="108" w:type="dxa"/>
          </w:tblCellMar>
        </w:tblPrEx>
        <w:trPr>
          <w:trHeight w:val="482" w:hRule="exact"/>
          <w:jc w:val="center"/>
        </w:trPr>
        <w:tc>
          <w:tcPr>
            <w:tcW w:w="2054" w:type="pct"/>
            <w:tcBorders>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出栏羊（万只）</w:t>
            </w:r>
          </w:p>
        </w:tc>
        <w:tc>
          <w:tcPr>
            <w:tcW w:w="1401"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5.91</w:t>
            </w:r>
          </w:p>
        </w:tc>
        <w:tc>
          <w:tcPr>
            <w:tcW w:w="1543"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-8.2</w:t>
            </w:r>
          </w:p>
        </w:tc>
      </w:tr>
      <w:tr>
        <w:tblPrEx>
          <w:tblCellMar>
            <w:top w:w="0" w:type="dxa"/>
            <w:left w:w="108" w:type="dxa"/>
            <w:bottom w:w="0" w:type="dxa"/>
            <w:right w:w="108" w:type="dxa"/>
          </w:tblCellMar>
        </w:tblPrEx>
        <w:trPr>
          <w:trHeight w:val="482" w:hRule="exact"/>
          <w:jc w:val="center"/>
        </w:trPr>
        <w:tc>
          <w:tcPr>
            <w:tcW w:w="2054"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出栏家禽（万只）</w:t>
            </w:r>
          </w:p>
        </w:tc>
        <w:tc>
          <w:tcPr>
            <w:tcW w:w="1401"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190.42</w:t>
            </w:r>
          </w:p>
        </w:tc>
        <w:tc>
          <w:tcPr>
            <w:tcW w:w="1543"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r>
      <w:tr>
        <w:tblPrEx>
          <w:tblCellMar>
            <w:top w:w="0" w:type="dxa"/>
            <w:left w:w="108" w:type="dxa"/>
            <w:bottom w:w="0" w:type="dxa"/>
            <w:right w:w="108" w:type="dxa"/>
          </w:tblCellMar>
        </w:tblPrEx>
        <w:trPr>
          <w:trHeight w:val="482" w:hRule="exact"/>
          <w:jc w:val="center"/>
        </w:trPr>
        <w:tc>
          <w:tcPr>
            <w:tcW w:w="2054"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猪肉（万吨）</w:t>
            </w:r>
          </w:p>
        </w:tc>
        <w:tc>
          <w:tcPr>
            <w:tcW w:w="1401"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2.32</w:t>
            </w:r>
          </w:p>
        </w:tc>
        <w:tc>
          <w:tcPr>
            <w:tcW w:w="1543"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8.1</w:t>
            </w:r>
          </w:p>
        </w:tc>
      </w:tr>
      <w:tr>
        <w:tblPrEx>
          <w:tblCellMar>
            <w:top w:w="0" w:type="dxa"/>
            <w:left w:w="108" w:type="dxa"/>
            <w:bottom w:w="0" w:type="dxa"/>
            <w:right w:w="108" w:type="dxa"/>
          </w:tblCellMar>
        </w:tblPrEx>
        <w:trPr>
          <w:trHeight w:val="550" w:hRule="exact"/>
          <w:jc w:val="center"/>
        </w:trPr>
        <w:tc>
          <w:tcPr>
            <w:tcW w:w="2054"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水产品（万吨）</w:t>
            </w:r>
          </w:p>
        </w:tc>
        <w:tc>
          <w:tcPr>
            <w:tcW w:w="1401" w:type="pct"/>
            <w:tcBorders>
              <w:top w:val="nil"/>
              <w:left w:val="nil"/>
              <w:bottom w:val="single" w:color="auto" w:sz="12" w:space="0"/>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0.54</w:t>
            </w:r>
          </w:p>
        </w:tc>
        <w:tc>
          <w:tcPr>
            <w:tcW w:w="1543" w:type="pct"/>
            <w:tcBorders>
              <w:top w:val="nil"/>
              <w:left w:val="nil"/>
              <w:bottom w:val="single" w:color="auto" w:sz="12" w:space="0"/>
              <w:right w:val="nil"/>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w:t>
            </w:r>
          </w:p>
        </w:tc>
      </w:tr>
    </w:tbl>
    <w:p>
      <w:pPr>
        <w:spacing w:after="0" w:line="56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三、工业和建筑业</w:t>
      </w:r>
    </w:p>
    <w:p>
      <w:pPr>
        <w:spacing w:after="0" w:line="56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全年实现</w:t>
      </w:r>
      <w:r>
        <w:rPr>
          <w:rFonts w:ascii="Times New Roman" w:hAnsi="Times New Roman" w:eastAsia="方正仿宋_GBK" w:cs="Times New Roman"/>
          <w:color w:val="auto"/>
          <w:sz w:val="32"/>
          <w:szCs w:val="32"/>
        </w:rPr>
        <w:t>工业增加值</w:t>
      </w:r>
      <w:r>
        <w:rPr>
          <w:rFonts w:hint="eastAsia" w:ascii="Times New Roman" w:hAnsi="Times New Roman" w:eastAsia="方正仿宋_GBK" w:cs="Times New Roman"/>
          <w:color w:val="auto"/>
          <w:sz w:val="32"/>
          <w:szCs w:val="32"/>
          <w:lang w:val="en-US" w:eastAsia="zh-CN"/>
        </w:rPr>
        <w:t>40.49</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rPr>
        <w:t>比上年</w:t>
      </w:r>
      <w:r>
        <w:rPr>
          <w:rFonts w:ascii="Times New Roman" w:hAnsi="Times New Roman" w:eastAsia="方正仿宋_GBK" w:cs="Times New Roman"/>
          <w:color w:val="auto"/>
          <w:sz w:val="32"/>
          <w:szCs w:val="32"/>
        </w:rPr>
        <w:t>增长</w:t>
      </w:r>
      <w:r>
        <w:rPr>
          <w:rFonts w:hint="eastAsia" w:ascii="Times New Roman" w:hAnsi="Times New Roman" w:eastAsia="方正仿宋_GBK" w:cs="Times New Roman"/>
          <w:color w:val="auto"/>
          <w:sz w:val="32"/>
          <w:szCs w:val="32"/>
          <w:lang w:val="en-US" w:eastAsia="zh-CN"/>
        </w:rPr>
        <w:t>7.3</w:t>
      </w:r>
      <w:r>
        <w:rPr>
          <w:rFonts w:ascii="Times New Roman" w:hAnsi="Times New Roman" w:eastAsia="方正仿宋_GBK" w:cs="Times New Roman"/>
          <w:color w:val="auto"/>
          <w:sz w:val="32"/>
          <w:szCs w:val="32"/>
        </w:rPr>
        <w:t>%，工业经济比重</w:t>
      </w:r>
      <w:r>
        <w:rPr>
          <w:rFonts w:hint="eastAsia" w:ascii="Times New Roman" w:hAnsi="Times New Roman" w:eastAsia="方正仿宋_GBK" w:cs="Times New Roman"/>
          <w:color w:val="auto"/>
          <w:sz w:val="32"/>
          <w:szCs w:val="32"/>
          <w:lang w:val="en-US" w:eastAsia="zh-CN"/>
        </w:rPr>
        <w:t>17.6</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分门类看，采矿业</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3.4</w:t>
      </w:r>
      <w:r>
        <w:rPr>
          <w:rFonts w:ascii="Times New Roman" w:hAnsi="Times New Roman" w:eastAsia="方正仿宋_GBK" w:cs="Times New Roman"/>
          <w:color w:val="auto"/>
          <w:sz w:val="32"/>
          <w:szCs w:val="32"/>
        </w:rPr>
        <w:t>%，制造业增长</w:t>
      </w:r>
      <w:r>
        <w:rPr>
          <w:rFonts w:hint="eastAsia" w:ascii="Times New Roman" w:hAnsi="Times New Roman" w:eastAsia="方正仿宋_GBK" w:cs="Times New Roman"/>
          <w:color w:val="auto"/>
          <w:sz w:val="32"/>
          <w:szCs w:val="32"/>
          <w:lang w:val="en-US" w:eastAsia="zh-CN"/>
        </w:rPr>
        <w:t>12.0</w:t>
      </w:r>
      <w:r>
        <w:rPr>
          <w:rFonts w:ascii="Times New Roman" w:hAnsi="Times New Roman" w:eastAsia="方正仿宋_GBK" w:cs="Times New Roman"/>
          <w:color w:val="auto"/>
          <w:sz w:val="32"/>
          <w:szCs w:val="32"/>
        </w:rPr>
        <w:t>%，电力、热力、燃气及水生产和</w:t>
      </w:r>
      <w:r>
        <w:rPr>
          <w:rFonts w:hint="eastAsia" w:ascii="Times New Roman" w:hAnsi="Times New Roman" w:eastAsia="方正仿宋_GBK" w:cs="Times New Roman"/>
          <w:color w:val="auto"/>
          <w:sz w:val="32"/>
          <w:szCs w:val="32"/>
          <w:lang w:eastAsia="zh-CN"/>
        </w:rPr>
        <w:t>供应业下降</w:t>
      </w:r>
      <w:r>
        <w:rPr>
          <w:rFonts w:hint="eastAsia" w:ascii="Times New Roman" w:hAnsi="Times New Roman" w:eastAsia="方正仿宋_GBK" w:cs="Times New Roman"/>
          <w:color w:val="auto"/>
          <w:sz w:val="32"/>
          <w:szCs w:val="32"/>
          <w:lang w:val="en-US" w:eastAsia="zh-CN"/>
        </w:rPr>
        <w:t>0.6</w:t>
      </w:r>
      <w:r>
        <w:rPr>
          <w:rFonts w:ascii="Times New Roman" w:hAnsi="Times New Roman" w:eastAsia="方正仿宋_GBK" w:cs="Times New Roman"/>
          <w:color w:val="auto"/>
          <w:sz w:val="32"/>
          <w:szCs w:val="32"/>
        </w:rPr>
        <w:t>%。规模以上工业增加值比</w:t>
      </w:r>
      <w:r>
        <w:rPr>
          <w:rFonts w:hint="eastAsia" w:ascii="Times New Roman" w:hAnsi="Times New Roman" w:eastAsia="方正仿宋_GBK" w:cs="Times New Roman"/>
          <w:color w:val="auto"/>
          <w:sz w:val="32"/>
          <w:szCs w:val="32"/>
        </w:rPr>
        <w:t>上年</w:t>
      </w:r>
      <w:r>
        <w:rPr>
          <w:rFonts w:ascii="Times New Roman" w:hAnsi="Times New Roman" w:eastAsia="方正仿宋_GBK" w:cs="Times New Roman"/>
          <w:color w:val="auto"/>
          <w:sz w:val="32"/>
          <w:szCs w:val="32"/>
        </w:rPr>
        <w:t>增长</w:t>
      </w:r>
      <w:r>
        <w:rPr>
          <w:rFonts w:hint="eastAsia" w:ascii="Times New Roman" w:hAnsi="Times New Roman" w:eastAsia="方正仿宋_GBK" w:cs="Times New Roman"/>
          <w:color w:val="auto"/>
          <w:sz w:val="32"/>
          <w:szCs w:val="32"/>
          <w:lang w:val="en-US" w:eastAsia="zh-CN"/>
        </w:rPr>
        <w:t>9.1</w:t>
      </w:r>
      <w:r>
        <w:rPr>
          <w:rFonts w:ascii="Times New Roman" w:hAnsi="Times New Roman" w:eastAsia="方正仿宋_GBK" w:cs="Times New Roman"/>
          <w:color w:val="auto"/>
          <w:sz w:val="32"/>
          <w:szCs w:val="32"/>
        </w:rPr>
        <w:t>%。</w:t>
      </w:r>
    </w:p>
    <w:p>
      <w:pPr>
        <w:spacing w:after="0" w:line="560" w:lineRule="exact"/>
        <w:ind w:firstLine="640" w:firstLineChars="200"/>
        <w:jc w:val="both"/>
        <w:rPr>
          <w:rFonts w:ascii="Times New Roman" w:hAnsi="Times New Roman" w:eastAsia="方正仿宋_GBK" w:cs="Times New Roman"/>
          <w:color w:val="auto"/>
          <w:spacing w:val="-6"/>
          <w:sz w:val="32"/>
          <w:szCs w:val="32"/>
        </w:rPr>
      </w:pPr>
      <w:r>
        <w:rPr>
          <w:rFonts w:ascii="Times New Roman" w:hAnsi="Times New Roman" w:eastAsia="方正仿宋_GBK" w:cs="Times New Roman"/>
          <w:color w:val="auto"/>
          <w:sz w:val="32"/>
          <w:szCs w:val="32"/>
        </w:rPr>
        <w:t>全县规模以上工业企业</w:t>
      </w:r>
      <w:r>
        <w:rPr>
          <w:rFonts w:hint="eastAsia" w:ascii="Times New Roman" w:hAnsi="Times New Roman" w:eastAsia="方正仿宋_GBK" w:cs="Times New Roman"/>
          <w:color w:val="auto"/>
          <w:sz w:val="32"/>
          <w:szCs w:val="32"/>
          <w:lang w:val="en-US" w:eastAsia="zh-CN"/>
        </w:rPr>
        <w:t>49</w:t>
      </w:r>
      <w:r>
        <w:rPr>
          <w:rFonts w:ascii="Times New Roman" w:hAnsi="Times New Roman" w:eastAsia="方正仿宋_GBK" w:cs="Times New Roman"/>
          <w:color w:val="auto"/>
          <w:sz w:val="32"/>
          <w:szCs w:val="32"/>
        </w:rPr>
        <w:t>家</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规模以上工业</w:t>
      </w:r>
      <w:r>
        <w:rPr>
          <w:rFonts w:hint="eastAsia" w:ascii="Times New Roman" w:hAnsi="Times New Roman" w:eastAsia="方正仿宋_GBK" w:cs="Times New Roman"/>
          <w:color w:val="auto"/>
          <w:sz w:val="32"/>
          <w:szCs w:val="32"/>
          <w:lang w:eastAsia="zh-CN"/>
        </w:rPr>
        <w:t>产值</w:t>
      </w:r>
      <w:r>
        <w:rPr>
          <w:rFonts w:hint="eastAsia" w:ascii="Times New Roman" w:hAnsi="Times New Roman" w:eastAsia="方正仿宋_GBK" w:cs="Times New Roman"/>
          <w:color w:val="auto"/>
          <w:sz w:val="32"/>
          <w:szCs w:val="32"/>
          <w:lang w:val="en-US" w:eastAsia="zh-CN"/>
        </w:rPr>
        <w:t>94.30</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9.2</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轻</w:t>
      </w:r>
      <w:r>
        <w:rPr>
          <w:rFonts w:ascii="Times New Roman" w:hAnsi="Times New Roman" w:eastAsia="方正仿宋_GBK" w:cs="Times New Roman"/>
          <w:color w:val="auto"/>
          <w:spacing w:val="-6"/>
          <w:sz w:val="32"/>
          <w:szCs w:val="32"/>
        </w:rPr>
        <w:t>工业产值</w:t>
      </w:r>
      <w:r>
        <w:rPr>
          <w:rFonts w:hint="eastAsia" w:ascii="Times New Roman" w:hAnsi="Times New Roman" w:eastAsia="方正仿宋_GBK" w:cs="Times New Roman"/>
          <w:color w:val="auto"/>
          <w:spacing w:val="-6"/>
          <w:sz w:val="32"/>
          <w:szCs w:val="32"/>
          <w:lang w:val="en-US" w:eastAsia="zh-CN"/>
        </w:rPr>
        <w:t>44.26</w:t>
      </w:r>
      <w:r>
        <w:rPr>
          <w:rFonts w:ascii="Times New Roman" w:hAnsi="Times New Roman" w:eastAsia="方正仿宋_GBK" w:cs="Times New Roman"/>
          <w:color w:val="auto"/>
          <w:spacing w:val="-6"/>
          <w:sz w:val="32"/>
          <w:szCs w:val="32"/>
        </w:rPr>
        <w:t>亿元，增长</w:t>
      </w:r>
      <w:r>
        <w:rPr>
          <w:rFonts w:hint="eastAsia" w:ascii="Times New Roman" w:hAnsi="Times New Roman" w:eastAsia="方正仿宋_GBK" w:cs="Times New Roman"/>
          <w:color w:val="auto"/>
          <w:spacing w:val="-6"/>
          <w:sz w:val="32"/>
          <w:szCs w:val="32"/>
          <w:lang w:val="en-US" w:eastAsia="zh-CN"/>
        </w:rPr>
        <w:t>17.6</w:t>
      </w:r>
      <w:r>
        <w:rPr>
          <w:rFonts w:ascii="Times New Roman" w:hAnsi="Times New Roman" w:eastAsia="方正仿宋_GBK" w:cs="Times New Roman"/>
          <w:color w:val="auto"/>
          <w:spacing w:val="-6"/>
          <w:sz w:val="32"/>
          <w:szCs w:val="32"/>
        </w:rPr>
        <w:t>%；重工业产值</w:t>
      </w:r>
      <w:r>
        <w:rPr>
          <w:rFonts w:hint="eastAsia" w:ascii="Times New Roman" w:hAnsi="Times New Roman" w:eastAsia="方正仿宋_GBK" w:cs="Times New Roman"/>
          <w:color w:val="auto"/>
          <w:spacing w:val="-6"/>
          <w:sz w:val="32"/>
          <w:szCs w:val="32"/>
          <w:lang w:val="en-US" w:eastAsia="zh-CN"/>
        </w:rPr>
        <w:t>50.04</w:t>
      </w:r>
      <w:r>
        <w:rPr>
          <w:rFonts w:ascii="Times New Roman" w:hAnsi="Times New Roman" w:eastAsia="方正仿宋_GBK" w:cs="Times New Roman"/>
          <w:color w:val="auto"/>
          <w:spacing w:val="-6"/>
          <w:sz w:val="32"/>
          <w:szCs w:val="32"/>
        </w:rPr>
        <w:t>亿元，</w:t>
      </w:r>
      <w:r>
        <w:rPr>
          <w:rFonts w:hint="eastAsia" w:ascii="Times New Roman" w:hAnsi="Times New Roman" w:eastAsia="方正仿宋_GBK" w:cs="Times New Roman"/>
          <w:color w:val="auto"/>
          <w:spacing w:val="-6"/>
          <w:sz w:val="32"/>
          <w:szCs w:val="32"/>
          <w:lang w:eastAsia="zh-CN"/>
        </w:rPr>
        <w:t>增长</w:t>
      </w:r>
      <w:r>
        <w:rPr>
          <w:rFonts w:hint="eastAsia" w:ascii="Times New Roman" w:hAnsi="Times New Roman" w:eastAsia="方正仿宋_GBK" w:cs="Times New Roman"/>
          <w:color w:val="auto"/>
          <w:spacing w:val="-6"/>
          <w:sz w:val="32"/>
          <w:szCs w:val="32"/>
          <w:lang w:val="en-US" w:eastAsia="zh-CN"/>
        </w:rPr>
        <w:t>2.8</w:t>
      </w:r>
      <w:r>
        <w:rPr>
          <w:rFonts w:ascii="Times New Roman" w:hAnsi="Times New Roman" w:eastAsia="方正仿宋_GBK" w:cs="Times New Roman"/>
          <w:color w:val="auto"/>
          <w:spacing w:val="-6"/>
          <w:sz w:val="32"/>
          <w:szCs w:val="32"/>
        </w:rPr>
        <w:t>%。分门类看，采矿业产值</w:t>
      </w:r>
      <w:r>
        <w:rPr>
          <w:rFonts w:hint="eastAsia" w:ascii="Times New Roman" w:hAnsi="Times New Roman" w:eastAsia="方正仿宋_GBK" w:cs="Times New Roman"/>
          <w:color w:val="auto"/>
          <w:spacing w:val="-6"/>
          <w:sz w:val="32"/>
          <w:szCs w:val="32"/>
          <w:lang w:val="en-US" w:eastAsia="zh-CN"/>
        </w:rPr>
        <w:t>0.67</w:t>
      </w:r>
      <w:r>
        <w:rPr>
          <w:rFonts w:ascii="Times New Roman" w:hAnsi="Times New Roman" w:eastAsia="方正仿宋_GBK" w:cs="Times New Roman"/>
          <w:color w:val="auto"/>
          <w:spacing w:val="-6"/>
          <w:sz w:val="32"/>
          <w:szCs w:val="32"/>
        </w:rPr>
        <w:t>亿元，下降</w:t>
      </w:r>
      <w:r>
        <w:rPr>
          <w:rFonts w:hint="eastAsia" w:ascii="Times New Roman" w:hAnsi="Times New Roman" w:eastAsia="方正仿宋_GBK" w:cs="Times New Roman"/>
          <w:color w:val="auto"/>
          <w:spacing w:val="-6"/>
          <w:sz w:val="32"/>
          <w:szCs w:val="32"/>
          <w:lang w:val="en-US" w:eastAsia="zh-CN"/>
        </w:rPr>
        <w:t>7.6</w:t>
      </w:r>
      <w:r>
        <w:rPr>
          <w:rFonts w:ascii="Times New Roman" w:hAnsi="Times New Roman" w:eastAsia="方正仿宋_GBK" w:cs="Times New Roman"/>
          <w:color w:val="auto"/>
          <w:spacing w:val="-6"/>
          <w:sz w:val="32"/>
          <w:szCs w:val="32"/>
        </w:rPr>
        <w:t>%；制造业产值</w:t>
      </w:r>
      <w:r>
        <w:rPr>
          <w:rFonts w:hint="eastAsia" w:ascii="Times New Roman" w:hAnsi="Times New Roman" w:eastAsia="方正仿宋_GBK" w:cs="Times New Roman"/>
          <w:color w:val="auto"/>
          <w:spacing w:val="-6"/>
          <w:sz w:val="32"/>
          <w:szCs w:val="32"/>
          <w:lang w:val="en-US" w:eastAsia="zh-CN"/>
        </w:rPr>
        <w:t>68.44</w:t>
      </w:r>
      <w:r>
        <w:rPr>
          <w:rFonts w:ascii="Times New Roman" w:hAnsi="Times New Roman" w:eastAsia="方正仿宋_GBK" w:cs="Times New Roman"/>
          <w:color w:val="auto"/>
          <w:spacing w:val="-6"/>
          <w:sz w:val="32"/>
          <w:szCs w:val="32"/>
        </w:rPr>
        <w:t>亿元，增长</w:t>
      </w:r>
      <w:r>
        <w:rPr>
          <w:rFonts w:hint="eastAsia" w:ascii="Times New Roman" w:hAnsi="Times New Roman" w:eastAsia="方正仿宋_GBK" w:cs="Times New Roman"/>
          <w:color w:val="auto"/>
          <w:spacing w:val="-6"/>
          <w:sz w:val="32"/>
          <w:szCs w:val="32"/>
          <w:lang w:val="en-US" w:eastAsia="zh-CN"/>
        </w:rPr>
        <w:t>12.1</w:t>
      </w:r>
      <w:r>
        <w:rPr>
          <w:rFonts w:ascii="Times New Roman" w:hAnsi="Times New Roman" w:eastAsia="方正仿宋_GBK" w:cs="Times New Roman"/>
          <w:color w:val="auto"/>
          <w:spacing w:val="-6"/>
          <w:sz w:val="32"/>
          <w:szCs w:val="32"/>
        </w:rPr>
        <w:t>%；电力、热力、燃气及水生产和供应业产值</w:t>
      </w:r>
      <w:r>
        <w:rPr>
          <w:rFonts w:hint="eastAsia" w:ascii="Times New Roman" w:hAnsi="Times New Roman" w:eastAsia="方正仿宋_GBK" w:cs="Times New Roman"/>
          <w:color w:val="auto"/>
          <w:spacing w:val="-6"/>
          <w:sz w:val="32"/>
          <w:szCs w:val="32"/>
          <w:lang w:val="en-US" w:eastAsia="zh-CN"/>
        </w:rPr>
        <w:t>25.19</w:t>
      </w:r>
      <w:r>
        <w:rPr>
          <w:rFonts w:ascii="Times New Roman" w:hAnsi="Times New Roman" w:eastAsia="方正仿宋_GBK" w:cs="Times New Roman"/>
          <w:color w:val="auto"/>
          <w:spacing w:val="-6"/>
          <w:sz w:val="32"/>
          <w:szCs w:val="32"/>
        </w:rPr>
        <w:t>亿元，增长</w:t>
      </w:r>
      <w:r>
        <w:rPr>
          <w:rFonts w:hint="eastAsia" w:ascii="Times New Roman" w:hAnsi="Times New Roman" w:eastAsia="方正仿宋_GBK" w:cs="Times New Roman"/>
          <w:color w:val="auto"/>
          <w:spacing w:val="-6"/>
          <w:sz w:val="32"/>
          <w:szCs w:val="32"/>
          <w:lang w:val="en-US" w:eastAsia="zh-CN"/>
        </w:rPr>
        <w:t>2.5</w:t>
      </w:r>
      <w:r>
        <w:rPr>
          <w:rFonts w:ascii="Times New Roman" w:hAnsi="Times New Roman" w:eastAsia="方正仿宋_GBK" w:cs="Times New Roman"/>
          <w:color w:val="auto"/>
          <w:spacing w:val="-6"/>
          <w:sz w:val="32"/>
          <w:szCs w:val="32"/>
        </w:rPr>
        <w:t>%。实现</w:t>
      </w:r>
      <w:r>
        <w:rPr>
          <w:rFonts w:hint="eastAsia" w:ascii="Times New Roman" w:hAnsi="Times New Roman" w:eastAsia="方正仿宋_GBK" w:cs="Times New Roman"/>
          <w:color w:val="auto"/>
          <w:spacing w:val="-6"/>
          <w:sz w:val="32"/>
          <w:szCs w:val="32"/>
          <w:lang w:eastAsia="zh-CN"/>
        </w:rPr>
        <w:t>规模以上</w:t>
      </w:r>
      <w:r>
        <w:rPr>
          <w:rFonts w:ascii="Times New Roman" w:hAnsi="Times New Roman" w:eastAsia="方正仿宋_GBK" w:cs="Times New Roman"/>
          <w:color w:val="auto"/>
          <w:spacing w:val="-6"/>
          <w:sz w:val="32"/>
          <w:szCs w:val="32"/>
        </w:rPr>
        <w:t>工业销售产值</w:t>
      </w:r>
      <w:r>
        <w:rPr>
          <w:rFonts w:hint="eastAsia" w:ascii="Times New Roman" w:hAnsi="Times New Roman" w:eastAsia="方正仿宋_GBK" w:cs="Times New Roman"/>
          <w:color w:val="auto"/>
          <w:spacing w:val="-6"/>
          <w:sz w:val="32"/>
          <w:szCs w:val="32"/>
          <w:lang w:val="en-US" w:eastAsia="zh-CN"/>
        </w:rPr>
        <w:t>93.50</w:t>
      </w:r>
      <w:r>
        <w:rPr>
          <w:rFonts w:ascii="Times New Roman" w:hAnsi="Times New Roman" w:eastAsia="方正仿宋_GBK" w:cs="Times New Roman"/>
          <w:color w:val="auto"/>
          <w:spacing w:val="-6"/>
          <w:sz w:val="32"/>
          <w:szCs w:val="32"/>
        </w:rPr>
        <w:t>亿元，增长</w:t>
      </w:r>
      <w:r>
        <w:rPr>
          <w:rFonts w:hint="eastAsia" w:ascii="Times New Roman" w:hAnsi="Times New Roman" w:eastAsia="方正仿宋_GBK" w:cs="Times New Roman"/>
          <w:color w:val="auto"/>
          <w:spacing w:val="-6"/>
          <w:sz w:val="32"/>
          <w:szCs w:val="32"/>
          <w:lang w:val="en-US" w:eastAsia="zh-CN"/>
        </w:rPr>
        <w:t>11.1</w:t>
      </w:r>
      <w:r>
        <w:rPr>
          <w:rFonts w:ascii="Times New Roman" w:hAnsi="Times New Roman" w:eastAsia="方正仿宋_GBK" w:cs="Times New Roman"/>
          <w:color w:val="auto"/>
          <w:spacing w:val="-6"/>
          <w:sz w:val="32"/>
          <w:szCs w:val="32"/>
        </w:rPr>
        <w:t>%；工业产品出口交货值</w:t>
      </w:r>
      <w:r>
        <w:rPr>
          <w:rFonts w:hint="eastAsia" w:ascii="Times New Roman" w:hAnsi="Times New Roman" w:eastAsia="方正仿宋_GBK" w:cs="Times New Roman"/>
          <w:color w:val="auto"/>
          <w:spacing w:val="-6"/>
          <w:sz w:val="32"/>
          <w:szCs w:val="32"/>
          <w:lang w:val="en-US" w:eastAsia="zh-CN"/>
        </w:rPr>
        <w:t>0.16</w:t>
      </w:r>
      <w:r>
        <w:rPr>
          <w:rFonts w:ascii="Times New Roman" w:hAnsi="Times New Roman" w:eastAsia="方正仿宋_GBK" w:cs="Times New Roman"/>
          <w:color w:val="auto"/>
          <w:spacing w:val="-6"/>
          <w:sz w:val="32"/>
          <w:szCs w:val="32"/>
        </w:rPr>
        <w:t>亿元，</w:t>
      </w:r>
      <w:r>
        <w:rPr>
          <w:rFonts w:hint="eastAsia" w:ascii="Times New Roman" w:hAnsi="Times New Roman" w:eastAsia="方正仿宋_GBK" w:cs="Times New Roman"/>
          <w:color w:val="auto"/>
          <w:spacing w:val="-6"/>
          <w:sz w:val="32"/>
          <w:szCs w:val="32"/>
          <w:lang w:eastAsia="zh-CN"/>
        </w:rPr>
        <w:t>增长</w:t>
      </w:r>
      <w:r>
        <w:rPr>
          <w:rFonts w:hint="eastAsia" w:ascii="Times New Roman" w:hAnsi="Times New Roman" w:eastAsia="方正仿宋_GBK" w:cs="Times New Roman"/>
          <w:color w:val="auto"/>
          <w:spacing w:val="-6"/>
          <w:sz w:val="32"/>
          <w:szCs w:val="32"/>
          <w:lang w:val="en-US" w:eastAsia="zh-CN"/>
        </w:rPr>
        <w:t>2.1</w:t>
      </w:r>
      <w:r>
        <w:rPr>
          <w:rFonts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CN"/>
        </w:rPr>
        <w:t>规模以上</w:t>
      </w:r>
      <w:r>
        <w:rPr>
          <w:rFonts w:ascii="Times New Roman" w:hAnsi="Times New Roman" w:eastAsia="方正仿宋_GBK" w:cs="Times New Roman"/>
          <w:color w:val="auto"/>
          <w:spacing w:val="-6"/>
          <w:sz w:val="32"/>
          <w:szCs w:val="32"/>
        </w:rPr>
        <w:t>工业</w:t>
      </w:r>
      <w:r>
        <w:rPr>
          <w:rFonts w:hint="eastAsia" w:ascii="Times New Roman" w:hAnsi="Times New Roman" w:eastAsia="方正仿宋_GBK" w:cs="Times New Roman"/>
          <w:color w:val="auto"/>
          <w:spacing w:val="-6"/>
          <w:sz w:val="32"/>
          <w:szCs w:val="32"/>
          <w:lang w:eastAsia="zh-CN"/>
        </w:rPr>
        <w:t>企业</w:t>
      </w:r>
      <w:r>
        <w:rPr>
          <w:rFonts w:ascii="Times New Roman" w:hAnsi="Times New Roman" w:eastAsia="方正仿宋_GBK" w:cs="Times New Roman"/>
          <w:color w:val="auto"/>
          <w:sz w:val="32"/>
          <w:szCs w:val="32"/>
        </w:rPr>
        <w:t>完成营业收入</w:t>
      </w:r>
      <w:r>
        <w:rPr>
          <w:rFonts w:hint="eastAsia" w:ascii="Times New Roman" w:hAnsi="Times New Roman" w:eastAsia="方正仿宋_GBK" w:cs="Times New Roman"/>
          <w:color w:val="auto"/>
          <w:sz w:val="32"/>
          <w:szCs w:val="32"/>
          <w:lang w:val="en-US" w:eastAsia="zh-CN"/>
        </w:rPr>
        <w:t>92.48</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14.5</w:t>
      </w:r>
      <w:r>
        <w:rPr>
          <w:rFonts w:ascii="Times New Roman" w:hAnsi="Times New Roman" w:eastAsia="方正仿宋_GBK" w:cs="Times New Roman"/>
          <w:color w:val="auto"/>
          <w:sz w:val="32"/>
          <w:szCs w:val="32"/>
        </w:rPr>
        <w:t>%，利润总额</w:t>
      </w:r>
      <w:r>
        <w:rPr>
          <w:rFonts w:hint="eastAsia" w:ascii="Times New Roman" w:hAnsi="Times New Roman" w:eastAsia="方正仿宋_GBK" w:cs="Times New Roman"/>
          <w:color w:val="auto"/>
          <w:sz w:val="32"/>
          <w:szCs w:val="32"/>
          <w:lang w:val="en-US" w:eastAsia="zh-CN"/>
        </w:rPr>
        <w:t>13.68</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35.8</w:t>
      </w:r>
      <w:r>
        <w:rPr>
          <w:rFonts w:ascii="Times New Roman" w:hAnsi="Times New Roman" w:eastAsia="方正仿宋_GBK" w:cs="Times New Roman"/>
          <w:color w:val="auto"/>
          <w:sz w:val="32"/>
          <w:szCs w:val="32"/>
        </w:rPr>
        <w:t>%。</w:t>
      </w:r>
    </w:p>
    <w:p>
      <w:pPr>
        <w:spacing w:after="0" w:line="560" w:lineRule="exact"/>
        <w:jc w:val="center"/>
        <w:rPr>
          <w:rFonts w:ascii="宋体" w:hAnsi="宋体" w:eastAsia="宋体" w:cs="Times New Roman"/>
          <w:color w:val="auto"/>
          <w:sz w:val="24"/>
        </w:rPr>
      </w:pPr>
      <w:r>
        <w:rPr>
          <w:rFonts w:ascii="宋体" w:hAnsi="宋体" w:eastAsia="宋体" w:cs="Times New Roman"/>
          <w:b/>
          <w:bCs/>
          <w:color w:val="auto"/>
          <w:sz w:val="24"/>
        </w:rPr>
        <w:t>表3  202</w:t>
      </w:r>
      <w:r>
        <w:rPr>
          <w:rFonts w:hint="eastAsia" w:ascii="宋体" w:hAnsi="宋体" w:eastAsia="宋体" w:cs="Times New Roman"/>
          <w:b/>
          <w:bCs/>
          <w:color w:val="auto"/>
          <w:sz w:val="24"/>
          <w:lang w:val="en-US" w:eastAsia="zh-CN"/>
        </w:rPr>
        <w:t>3</w:t>
      </w:r>
      <w:r>
        <w:rPr>
          <w:rFonts w:ascii="宋体" w:hAnsi="宋体" w:eastAsia="宋体" w:cs="Times New Roman"/>
          <w:b/>
          <w:bCs/>
          <w:color w:val="auto"/>
          <w:sz w:val="24"/>
        </w:rPr>
        <w:t>年规模以上工业主要产品产量及其增长速度</w:t>
      </w:r>
    </w:p>
    <w:tbl>
      <w:tblPr>
        <w:tblStyle w:val="8"/>
        <w:tblW w:w="4973" w:type="pct"/>
        <w:jc w:val="center"/>
        <w:tblLayout w:type="autofit"/>
        <w:tblCellMar>
          <w:top w:w="0" w:type="dxa"/>
          <w:left w:w="108" w:type="dxa"/>
          <w:bottom w:w="0" w:type="dxa"/>
          <w:right w:w="108" w:type="dxa"/>
        </w:tblCellMar>
      </w:tblPr>
      <w:tblGrid>
        <w:gridCol w:w="2857"/>
        <w:gridCol w:w="1948"/>
        <w:gridCol w:w="1948"/>
        <w:gridCol w:w="2145"/>
      </w:tblGrid>
      <w:tr>
        <w:tblPrEx>
          <w:tblCellMar>
            <w:top w:w="0" w:type="dxa"/>
            <w:left w:w="108" w:type="dxa"/>
            <w:bottom w:w="0" w:type="dxa"/>
            <w:right w:w="108" w:type="dxa"/>
          </w:tblCellMar>
        </w:tblPrEx>
        <w:trPr>
          <w:trHeight w:val="517" w:hRule="exact"/>
          <w:jc w:val="center"/>
        </w:trPr>
        <w:tc>
          <w:tcPr>
            <w:tcW w:w="1605"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工业品名称</w:t>
            </w:r>
          </w:p>
        </w:tc>
        <w:tc>
          <w:tcPr>
            <w:tcW w:w="1094"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单位</w:t>
            </w:r>
          </w:p>
        </w:tc>
        <w:tc>
          <w:tcPr>
            <w:tcW w:w="1094"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产量</w:t>
            </w:r>
          </w:p>
        </w:tc>
        <w:tc>
          <w:tcPr>
            <w:tcW w:w="1205" w:type="pct"/>
            <w:tcBorders>
              <w:top w:val="single" w:color="auto" w:sz="12" w:space="0"/>
              <w:left w:val="nil"/>
              <w:bottom w:val="single" w:color="auto" w:sz="8" w:space="0"/>
              <w:right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比上年增长（%）</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企业用电量</w:t>
            </w:r>
            <w:r>
              <w:rPr>
                <w:rFonts w:ascii="Times New Roman" w:hAnsi="Times New Roman" w:cs="Times New Roman" w:eastAsiaTheme="minorEastAsia"/>
                <w:color w:val="auto"/>
                <w:spacing w:val="-14"/>
                <w:sz w:val="18"/>
                <w:szCs w:val="18"/>
              </w:rPr>
              <w:t>（不含电力公司）</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万度</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40850.93</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13.3</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发电量</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万度</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414110.63</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鞋</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万双</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468.50</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-63.2</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ind w:firstLine="210" w:firstLineChars="100"/>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纺织面靴</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万双</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184.50</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13.5</w:t>
            </w:r>
          </w:p>
        </w:tc>
      </w:tr>
      <w:tr>
        <w:tblPrEx>
          <w:tblCellMar>
            <w:top w:w="0" w:type="dxa"/>
            <w:left w:w="108" w:type="dxa"/>
            <w:bottom w:w="0" w:type="dxa"/>
            <w:right w:w="108" w:type="dxa"/>
          </w:tblCellMar>
        </w:tblPrEx>
        <w:trPr>
          <w:trHeight w:val="452"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熟肉制品</w:t>
            </w:r>
          </w:p>
        </w:tc>
        <w:tc>
          <w:tcPr>
            <w:tcW w:w="1094"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189.00</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28.6</w:t>
            </w:r>
          </w:p>
        </w:tc>
      </w:tr>
      <w:tr>
        <w:tblPrEx>
          <w:tblCellMar>
            <w:top w:w="0" w:type="dxa"/>
            <w:left w:w="108" w:type="dxa"/>
            <w:bottom w:w="0" w:type="dxa"/>
            <w:right w:w="108" w:type="dxa"/>
          </w:tblCellMar>
        </w:tblPrEx>
        <w:trPr>
          <w:trHeight w:val="452" w:hRule="exact"/>
          <w:jc w:val="center"/>
        </w:trPr>
        <w:tc>
          <w:tcPr>
            <w:tcW w:w="1605" w:type="pct"/>
            <w:tcBorders>
              <w:right w:val="single" w:color="auto" w:sz="8" w:space="0"/>
            </w:tcBorders>
            <w:vAlign w:val="center"/>
          </w:tcPr>
          <w:p>
            <w:pPr>
              <w:spacing w:after="0" w:line="300" w:lineRule="exact"/>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饮料酒</w:t>
            </w:r>
          </w:p>
        </w:tc>
        <w:tc>
          <w:tcPr>
            <w:tcW w:w="1094"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千升</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35624.49</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r>
      <w:tr>
        <w:tblPrEx>
          <w:tblCellMar>
            <w:top w:w="0" w:type="dxa"/>
            <w:left w:w="108" w:type="dxa"/>
            <w:bottom w:w="0" w:type="dxa"/>
            <w:right w:w="108" w:type="dxa"/>
          </w:tblCellMar>
        </w:tblPrEx>
        <w:trPr>
          <w:trHeight w:val="452" w:hRule="exact"/>
          <w:jc w:val="center"/>
        </w:trPr>
        <w:tc>
          <w:tcPr>
            <w:tcW w:w="1605" w:type="pct"/>
            <w:tcBorders>
              <w:right w:val="single" w:color="auto" w:sz="8" w:space="0"/>
            </w:tcBorders>
            <w:vAlign w:val="center"/>
          </w:tcPr>
          <w:p>
            <w:pPr>
              <w:spacing w:after="0" w:line="300" w:lineRule="exact"/>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中成药</w:t>
            </w:r>
          </w:p>
        </w:tc>
        <w:tc>
          <w:tcPr>
            <w:tcW w:w="1094" w:type="pct"/>
            <w:tcBorders>
              <w:top w:val="nil"/>
              <w:left w:val="single" w:color="auto" w:sz="8" w:space="0"/>
              <w:bottom w:val="nil"/>
              <w:right w:val="single" w:color="auto" w:sz="8" w:space="0"/>
            </w:tcBorders>
            <w:vAlign w:val="center"/>
          </w:tcPr>
          <w:p>
            <w:pPr>
              <w:spacing w:after="0" w:line="300" w:lineRule="exact"/>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951.77</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r>
      <w:tr>
        <w:tblPrEx>
          <w:tblCellMar>
            <w:top w:w="0" w:type="dxa"/>
            <w:left w:w="108" w:type="dxa"/>
            <w:bottom w:w="0" w:type="dxa"/>
            <w:right w:w="108" w:type="dxa"/>
          </w:tblCellMar>
        </w:tblPrEx>
        <w:trPr>
          <w:trHeight w:val="452"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自来水生产量</w:t>
            </w:r>
          </w:p>
        </w:tc>
        <w:tc>
          <w:tcPr>
            <w:tcW w:w="1094"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万立方米</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1985.78</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-9.9</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混合饲料</w:t>
            </w:r>
          </w:p>
        </w:tc>
        <w:tc>
          <w:tcPr>
            <w:tcW w:w="1094" w:type="pct"/>
            <w:tcBorders>
              <w:top w:val="nil"/>
              <w:left w:val="nil"/>
              <w:bottom w:val="nil"/>
              <w:right w:val="single" w:color="auto" w:sz="8" w:space="0"/>
            </w:tcBorders>
            <w:vAlign w:val="center"/>
          </w:tcPr>
          <w:p>
            <w:pPr>
              <w:spacing w:after="0" w:line="300" w:lineRule="exact"/>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7928.00</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14.8</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饲料</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7928.00</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-38.5</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硅酸盐水泥熟料</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万</w:t>
            </w:r>
            <w:r>
              <w:rPr>
                <w:rFonts w:ascii="Times New Roman" w:hAnsi="Times New Roman" w:cs="Times New Roman" w:eastAsiaTheme="minorEastAsia"/>
                <w:color w:val="auto"/>
                <w:sz w:val="21"/>
                <w:szCs w:val="21"/>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60.21</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人造板</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立方米</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133908.00</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15.2</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蚕丝及交织机织物</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万米</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84.00</w:t>
            </w:r>
          </w:p>
        </w:tc>
        <w:tc>
          <w:tcPr>
            <w:tcW w:w="1205" w:type="pct"/>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10.5</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锌金属含量</w:t>
            </w:r>
          </w:p>
        </w:tc>
        <w:tc>
          <w:tcPr>
            <w:tcW w:w="1094" w:type="pct"/>
            <w:tcBorders>
              <w:top w:val="nil"/>
              <w:left w:val="nil"/>
              <w:bottom w:val="nil"/>
              <w:right w:val="single" w:color="auto" w:sz="8" w:space="0"/>
            </w:tcBorders>
            <w:vAlign w:val="center"/>
          </w:tcPr>
          <w:p>
            <w:pPr>
              <w:spacing w:after="0" w:line="300" w:lineRule="exact"/>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860.00</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-13.6</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石灰石</w:t>
            </w:r>
          </w:p>
        </w:tc>
        <w:tc>
          <w:tcPr>
            <w:tcW w:w="1094" w:type="pct"/>
            <w:tcBorders>
              <w:top w:val="nil"/>
              <w:left w:val="nil"/>
              <w:bottom w:val="nil"/>
              <w:right w:val="single" w:color="auto" w:sz="8" w:space="0"/>
            </w:tcBorders>
            <w:vAlign w:val="center"/>
          </w:tcPr>
          <w:p>
            <w:pPr>
              <w:spacing w:after="0" w:line="300" w:lineRule="exact"/>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万吨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184.72</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锂离子电池</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万只</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3245.50</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电子元件</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万只</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24363.73</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46.3</w:t>
            </w:r>
          </w:p>
        </w:tc>
      </w:tr>
      <w:tr>
        <w:tblPrEx>
          <w:tblCellMar>
            <w:top w:w="0" w:type="dxa"/>
            <w:left w:w="108" w:type="dxa"/>
            <w:bottom w:w="0" w:type="dxa"/>
            <w:right w:w="108" w:type="dxa"/>
          </w:tblCellMar>
        </w:tblPrEx>
        <w:trPr>
          <w:trHeight w:val="452"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商品混凝土</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万立方米</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57.31</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-33.2</w:t>
            </w:r>
          </w:p>
        </w:tc>
      </w:tr>
      <w:tr>
        <w:tblPrEx>
          <w:tblCellMar>
            <w:top w:w="0" w:type="dxa"/>
            <w:left w:w="108" w:type="dxa"/>
            <w:bottom w:w="0" w:type="dxa"/>
            <w:right w:w="108" w:type="dxa"/>
          </w:tblCellMar>
        </w:tblPrEx>
        <w:trPr>
          <w:trHeight w:val="519" w:hRule="exact"/>
          <w:jc w:val="center"/>
        </w:trPr>
        <w:tc>
          <w:tcPr>
            <w:tcW w:w="1605"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水泥</w:t>
            </w:r>
          </w:p>
        </w:tc>
        <w:tc>
          <w:tcPr>
            <w:tcW w:w="1094" w:type="pct"/>
            <w:tcBorders>
              <w:top w:val="nil"/>
              <w:left w:val="nil"/>
              <w:bottom w:val="single" w:color="auto" w:sz="12" w:space="0"/>
              <w:right w:val="single" w:color="auto" w:sz="8"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万吨</w:t>
            </w:r>
          </w:p>
        </w:tc>
        <w:tc>
          <w:tcPr>
            <w:tcW w:w="1094" w:type="pct"/>
            <w:tcBorders>
              <w:top w:val="nil"/>
              <w:left w:val="nil"/>
              <w:bottom w:val="single" w:color="auto" w:sz="12" w:space="0"/>
              <w:right w:val="single" w:color="auto" w:sz="8" w:space="0"/>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67.12</w:t>
            </w:r>
          </w:p>
        </w:tc>
        <w:tc>
          <w:tcPr>
            <w:tcW w:w="1205" w:type="pct"/>
            <w:tcBorders>
              <w:top w:val="nil"/>
              <w:left w:val="nil"/>
              <w:bottom w:val="single" w:color="auto" w:sz="12" w:space="0"/>
              <w:right w:val="nil"/>
            </w:tcBorders>
            <w:vAlign w:val="center"/>
          </w:tcPr>
          <w:p>
            <w:pPr>
              <w:spacing w:after="0" w:line="300" w:lineRule="exact"/>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w:t>
            </w:r>
          </w:p>
        </w:tc>
      </w:tr>
    </w:tbl>
    <w:p>
      <w:pPr>
        <w:spacing w:after="0" w:line="600" w:lineRule="exact"/>
        <w:ind w:firstLine="624"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pacing w:val="-4"/>
          <w:sz w:val="32"/>
          <w:szCs w:val="32"/>
        </w:rPr>
        <w:t>全年实现建筑业增加值</w:t>
      </w:r>
      <w:r>
        <w:rPr>
          <w:rFonts w:hint="eastAsia" w:ascii="Times New Roman" w:hAnsi="Times New Roman" w:eastAsia="方正仿宋_GBK" w:cs="Times New Roman"/>
          <w:color w:val="auto"/>
          <w:spacing w:val="-4"/>
          <w:sz w:val="32"/>
          <w:szCs w:val="32"/>
          <w:lang w:val="en-US" w:eastAsia="zh-CN"/>
        </w:rPr>
        <w:t>27.87</w:t>
      </w:r>
      <w:r>
        <w:rPr>
          <w:rFonts w:ascii="Times New Roman" w:hAnsi="Times New Roman" w:eastAsia="方正仿宋_GBK" w:cs="Times New Roman"/>
          <w:color w:val="auto"/>
          <w:spacing w:val="-4"/>
          <w:sz w:val="32"/>
          <w:szCs w:val="32"/>
        </w:rPr>
        <w:t>亿元，比上年</w:t>
      </w:r>
      <w:r>
        <w:rPr>
          <w:rFonts w:hint="eastAsia" w:ascii="Times New Roman" w:hAnsi="Times New Roman" w:eastAsia="方正仿宋_GBK" w:cs="Times New Roman"/>
          <w:color w:val="auto"/>
          <w:spacing w:val="-4"/>
          <w:sz w:val="32"/>
          <w:szCs w:val="32"/>
          <w:lang w:eastAsia="zh-CN"/>
        </w:rPr>
        <w:t>增长</w:t>
      </w:r>
      <w:r>
        <w:rPr>
          <w:rFonts w:hint="eastAsia" w:ascii="Times New Roman" w:hAnsi="Times New Roman" w:eastAsia="方正仿宋_GBK" w:cs="Times New Roman"/>
          <w:color w:val="auto"/>
          <w:spacing w:val="-4"/>
          <w:sz w:val="32"/>
          <w:szCs w:val="32"/>
          <w:lang w:val="en-US" w:eastAsia="zh-CN"/>
        </w:rPr>
        <w:t>17.3</w:t>
      </w:r>
      <w:r>
        <w:rPr>
          <w:rFonts w:ascii="Times New Roman" w:hAnsi="Times New Roman" w:eastAsia="方正仿宋_GBK" w:cs="Times New Roman"/>
          <w:color w:val="auto"/>
          <w:spacing w:val="-4"/>
          <w:sz w:val="32"/>
          <w:szCs w:val="32"/>
        </w:rPr>
        <w:t>%。年末全县注册具有资质等级的总承包和专业承包建筑业企业</w:t>
      </w:r>
      <w:r>
        <w:rPr>
          <w:rFonts w:hint="eastAsia" w:ascii="Times New Roman" w:hAnsi="Times New Roman" w:eastAsia="方正仿宋_GBK" w:cs="Times New Roman"/>
          <w:color w:val="auto"/>
          <w:spacing w:val="-4"/>
          <w:sz w:val="32"/>
          <w:szCs w:val="32"/>
          <w:lang w:val="en-US" w:eastAsia="zh-CN"/>
        </w:rPr>
        <w:t>55</w:t>
      </w:r>
      <w:r>
        <w:rPr>
          <w:rFonts w:ascii="Times New Roman" w:hAnsi="Times New Roman" w:eastAsia="方正仿宋_GBK" w:cs="Times New Roman"/>
          <w:color w:val="auto"/>
          <w:spacing w:val="-4"/>
          <w:sz w:val="32"/>
          <w:szCs w:val="32"/>
        </w:rPr>
        <w:t>家，其中资质等级一级</w:t>
      </w:r>
      <w:r>
        <w:rPr>
          <w:rFonts w:hint="eastAsia" w:ascii="Times New Roman" w:hAnsi="Times New Roman" w:eastAsia="方正仿宋_GBK" w:cs="Times New Roman"/>
          <w:color w:val="auto"/>
          <w:spacing w:val="-4"/>
          <w:sz w:val="32"/>
          <w:szCs w:val="32"/>
          <w:lang w:val="en-US" w:eastAsia="zh-CN"/>
        </w:rPr>
        <w:t>3</w:t>
      </w:r>
      <w:r>
        <w:rPr>
          <w:rFonts w:ascii="Times New Roman" w:hAnsi="Times New Roman" w:eastAsia="方正仿宋_GBK" w:cs="Times New Roman"/>
          <w:color w:val="auto"/>
          <w:spacing w:val="-4"/>
          <w:sz w:val="32"/>
          <w:szCs w:val="32"/>
        </w:rPr>
        <w:t>家、二级</w:t>
      </w:r>
      <w:r>
        <w:rPr>
          <w:rFonts w:hint="eastAsia" w:ascii="Times New Roman" w:hAnsi="Times New Roman" w:eastAsia="方正仿宋_GBK" w:cs="Times New Roman"/>
          <w:color w:val="auto"/>
          <w:spacing w:val="-4"/>
          <w:sz w:val="32"/>
          <w:szCs w:val="32"/>
          <w:lang w:val="en-US" w:eastAsia="zh-CN"/>
        </w:rPr>
        <w:t>11</w:t>
      </w:r>
      <w:r>
        <w:rPr>
          <w:rFonts w:ascii="Times New Roman" w:hAnsi="Times New Roman" w:eastAsia="方正仿宋_GBK" w:cs="Times New Roman"/>
          <w:color w:val="auto"/>
          <w:spacing w:val="-4"/>
          <w:sz w:val="32"/>
          <w:szCs w:val="32"/>
        </w:rPr>
        <w:t>家、三级</w:t>
      </w:r>
      <w:r>
        <w:rPr>
          <w:rFonts w:hint="eastAsia" w:ascii="Times New Roman" w:hAnsi="Times New Roman" w:eastAsia="方正仿宋_GBK" w:cs="Times New Roman"/>
          <w:color w:val="auto"/>
          <w:spacing w:val="-4"/>
          <w:sz w:val="32"/>
          <w:szCs w:val="32"/>
          <w:lang w:val="en-US" w:eastAsia="zh-CN"/>
        </w:rPr>
        <w:t>41</w:t>
      </w:r>
      <w:r>
        <w:rPr>
          <w:rFonts w:ascii="Times New Roman" w:hAnsi="Times New Roman" w:eastAsia="方正仿宋_GBK" w:cs="Times New Roman"/>
          <w:color w:val="auto"/>
          <w:spacing w:val="-4"/>
          <w:sz w:val="32"/>
          <w:szCs w:val="32"/>
        </w:rPr>
        <w:t>家</w:t>
      </w:r>
      <w:r>
        <w:rPr>
          <w:rFonts w:hint="eastAsia" w:ascii="Times New Roman" w:hAnsi="Times New Roman" w:eastAsia="方正仿宋_GBK" w:cs="Times New Roman"/>
          <w:color w:val="auto"/>
          <w:spacing w:val="-4"/>
          <w:sz w:val="32"/>
          <w:szCs w:val="32"/>
          <w:lang w:eastAsia="zh-CN"/>
        </w:rPr>
        <w:t>。</w:t>
      </w:r>
      <w:r>
        <w:rPr>
          <w:rFonts w:ascii="Times New Roman" w:hAnsi="Times New Roman" w:eastAsia="方正仿宋_GBK" w:cs="Times New Roman"/>
          <w:color w:val="auto"/>
          <w:spacing w:val="-4"/>
          <w:sz w:val="32"/>
          <w:szCs w:val="32"/>
        </w:rPr>
        <w:t>注册地建筑企业全年完成建筑业总产值</w:t>
      </w:r>
      <w:r>
        <w:rPr>
          <w:rFonts w:hint="eastAsia" w:ascii="Times New Roman" w:hAnsi="Times New Roman" w:eastAsia="方正仿宋_GBK" w:cs="Times New Roman"/>
          <w:color w:val="auto"/>
          <w:spacing w:val="-4"/>
          <w:sz w:val="32"/>
          <w:szCs w:val="32"/>
          <w:lang w:val="en-US" w:eastAsia="zh-CN"/>
        </w:rPr>
        <w:t>28.68</w:t>
      </w:r>
      <w:r>
        <w:rPr>
          <w:rFonts w:ascii="Times New Roman" w:hAnsi="Times New Roman" w:eastAsia="方正仿宋_GBK" w:cs="Times New Roman"/>
          <w:color w:val="auto"/>
          <w:spacing w:val="-4"/>
          <w:sz w:val="32"/>
          <w:szCs w:val="32"/>
        </w:rPr>
        <w:t>亿元，比上年增长</w:t>
      </w:r>
      <w:r>
        <w:rPr>
          <w:rFonts w:hint="eastAsia" w:ascii="Times New Roman" w:hAnsi="Times New Roman" w:eastAsia="方正仿宋_GBK" w:cs="Times New Roman"/>
          <w:color w:val="auto"/>
          <w:spacing w:val="-4"/>
          <w:sz w:val="32"/>
          <w:szCs w:val="32"/>
          <w:lang w:val="en-US" w:eastAsia="zh-CN"/>
        </w:rPr>
        <w:t>20.7</w:t>
      </w:r>
      <w:r>
        <w:rPr>
          <w:rFonts w:ascii="Times New Roman" w:hAnsi="Times New Roman" w:eastAsia="方正仿宋_GBK" w:cs="Times New Roman"/>
          <w:color w:val="auto"/>
          <w:spacing w:val="-4"/>
          <w:sz w:val="32"/>
          <w:szCs w:val="32"/>
        </w:rPr>
        <w:t>%。</w:t>
      </w:r>
    </w:p>
    <w:p>
      <w:pPr>
        <w:pStyle w:val="3"/>
        <w:keepNext/>
        <w:spacing w:before="180" w:beforeLines="50" w:after="180" w:afterLines="50"/>
        <w:jc w:val="center"/>
        <w:rPr>
          <w:rFonts w:ascii="宋体" w:hAnsi="宋体" w:eastAsia="宋体" w:cs="Times New Roman"/>
          <w:b/>
          <w:color w:val="auto"/>
          <w:sz w:val="24"/>
          <w:szCs w:val="24"/>
        </w:rPr>
      </w:pPr>
      <w:r>
        <w:rPr>
          <w:rFonts w:ascii="宋体" w:hAnsi="宋体" w:eastAsia="宋体" w:cs="Times New Roman"/>
          <w:b/>
          <w:color w:val="auto"/>
          <w:sz w:val="24"/>
          <w:szCs w:val="24"/>
        </w:rPr>
        <w:t>图3  201</w:t>
      </w:r>
      <w:r>
        <w:rPr>
          <w:rFonts w:hint="eastAsia" w:ascii="宋体" w:hAnsi="宋体" w:eastAsia="宋体" w:cs="Times New Roman"/>
          <w:b/>
          <w:color w:val="auto"/>
          <w:sz w:val="24"/>
          <w:szCs w:val="24"/>
          <w:lang w:val="en-US" w:eastAsia="zh-CN"/>
        </w:rPr>
        <w:t>9</w:t>
      </w:r>
      <w:r>
        <w:rPr>
          <w:rFonts w:ascii="宋体" w:hAnsi="宋体" w:eastAsia="宋体" w:cs="Times New Roman"/>
          <w:b/>
          <w:color w:val="auto"/>
          <w:sz w:val="24"/>
          <w:szCs w:val="24"/>
        </w:rPr>
        <w:t>-202</w:t>
      </w:r>
      <w:r>
        <w:rPr>
          <w:rFonts w:hint="eastAsia" w:ascii="宋体" w:hAnsi="宋体" w:eastAsia="宋体" w:cs="Times New Roman"/>
          <w:b/>
          <w:color w:val="auto"/>
          <w:sz w:val="24"/>
          <w:szCs w:val="24"/>
          <w:lang w:val="en-US" w:eastAsia="zh-CN"/>
        </w:rPr>
        <w:t>3</w:t>
      </w:r>
      <w:r>
        <w:rPr>
          <w:rFonts w:ascii="宋体" w:hAnsi="宋体" w:eastAsia="宋体" w:cs="Times New Roman"/>
          <w:b/>
          <w:color w:val="auto"/>
          <w:sz w:val="24"/>
          <w:szCs w:val="24"/>
        </w:rPr>
        <w:t>年建筑业增加值及其增长速度</w:t>
      </w:r>
    </w:p>
    <w:p>
      <w:pPr>
        <w:spacing w:after="0"/>
        <w:jc w:val="center"/>
        <w:rPr>
          <w:color w:val="auto"/>
        </w:rPr>
      </w:pPr>
      <w:r>
        <w:rPr>
          <w:color w:val="auto"/>
        </w:rPr>
        <w:drawing>
          <wp:inline distT="0" distB="0" distL="0" distR="0">
            <wp:extent cx="5695950" cy="3093085"/>
            <wp:effectExtent l="0" t="0" r="0" b="1206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60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四、服务业</w:t>
      </w:r>
    </w:p>
    <w:p>
      <w:pPr>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全年批发和零售业增加值</w:t>
      </w:r>
      <w:r>
        <w:rPr>
          <w:rFonts w:hint="eastAsia" w:ascii="Times New Roman" w:hAnsi="Times New Roman" w:eastAsia="方正仿宋_GBK" w:cs="Times New Roman"/>
          <w:color w:val="auto"/>
          <w:sz w:val="32"/>
          <w:szCs w:val="32"/>
          <w:lang w:val="en-US" w:eastAsia="zh-CN"/>
        </w:rPr>
        <w:t>29.08</w:t>
      </w:r>
      <w:r>
        <w:rPr>
          <w:rFonts w:ascii="Times New Roman" w:hAnsi="Times New Roman" w:eastAsia="方正仿宋_GBK" w:cs="Times New Roman"/>
          <w:color w:val="auto"/>
          <w:sz w:val="32"/>
          <w:szCs w:val="32"/>
        </w:rPr>
        <w:t>亿元，比上年增长</w:t>
      </w:r>
      <w:r>
        <w:rPr>
          <w:rFonts w:hint="eastAsia" w:ascii="Times New Roman" w:hAnsi="Times New Roman" w:eastAsia="方正仿宋_GBK" w:cs="Times New Roman"/>
          <w:color w:val="auto"/>
          <w:sz w:val="32"/>
          <w:szCs w:val="32"/>
          <w:lang w:val="en-US" w:eastAsia="zh-CN"/>
        </w:rPr>
        <w:t>14.7</w:t>
      </w:r>
      <w:r>
        <w:rPr>
          <w:rFonts w:ascii="Times New Roman" w:hAnsi="Times New Roman" w:eastAsia="方正仿宋_GBK" w:cs="Times New Roman"/>
          <w:color w:val="auto"/>
          <w:sz w:val="32"/>
          <w:szCs w:val="32"/>
        </w:rPr>
        <w:t>%；交通运输、仓储和邮政业增加值</w:t>
      </w:r>
      <w:r>
        <w:rPr>
          <w:rFonts w:hint="eastAsia" w:ascii="Times New Roman" w:hAnsi="Times New Roman" w:eastAsia="方正仿宋_GBK" w:cs="Times New Roman"/>
          <w:color w:val="auto"/>
          <w:sz w:val="32"/>
          <w:szCs w:val="32"/>
          <w:lang w:val="en-US" w:eastAsia="zh-CN"/>
        </w:rPr>
        <w:t>5.56</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14.7</w:t>
      </w:r>
      <w:r>
        <w:rPr>
          <w:rFonts w:ascii="Times New Roman" w:hAnsi="Times New Roman" w:eastAsia="方正仿宋_GBK" w:cs="Times New Roman"/>
          <w:color w:val="auto"/>
          <w:sz w:val="32"/>
          <w:szCs w:val="32"/>
        </w:rPr>
        <w:t>%；住宿和餐饮业增加值</w:t>
      </w:r>
      <w:r>
        <w:rPr>
          <w:rFonts w:hint="eastAsia" w:ascii="Times New Roman" w:hAnsi="Times New Roman" w:eastAsia="方正仿宋_GBK" w:cs="Times New Roman"/>
          <w:color w:val="auto"/>
          <w:sz w:val="32"/>
          <w:szCs w:val="32"/>
          <w:lang w:val="en-US" w:eastAsia="zh-CN"/>
        </w:rPr>
        <w:t>5.17</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7.4</w:t>
      </w:r>
      <w:r>
        <w:rPr>
          <w:rFonts w:ascii="Times New Roman" w:hAnsi="Times New Roman" w:eastAsia="方正仿宋_GBK" w:cs="Times New Roman"/>
          <w:color w:val="auto"/>
          <w:sz w:val="32"/>
          <w:szCs w:val="32"/>
        </w:rPr>
        <w:t>%；金融业增加值</w:t>
      </w:r>
      <w:r>
        <w:rPr>
          <w:rFonts w:hint="eastAsia" w:ascii="Times New Roman" w:hAnsi="Times New Roman" w:eastAsia="方正仿宋_GBK" w:cs="Times New Roman"/>
          <w:color w:val="auto"/>
          <w:sz w:val="32"/>
          <w:szCs w:val="32"/>
          <w:lang w:val="en-US" w:eastAsia="zh-CN"/>
        </w:rPr>
        <w:t>16.19</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5.3</w:t>
      </w:r>
      <w:r>
        <w:rPr>
          <w:rFonts w:ascii="Times New Roman" w:hAnsi="Times New Roman" w:eastAsia="方正仿宋_GBK" w:cs="Times New Roman"/>
          <w:color w:val="auto"/>
          <w:sz w:val="32"/>
          <w:szCs w:val="32"/>
        </w:rPr>
        <w:t>%；房地产业增加值</w:t>
      </w:r>
      <w:r>
        <w:rPr>
          <w:rFonts w:hint="eastAsia" w:ascii="Times New Roman" w:hAnsi="Times New Roman" w:eastAsia="方正仿宋_GBK" w:cs="Times New Roman"/>
          <w:color w:val="auto"/>
          <w:sz w:val="32"/>
          <w:szCs w:val="32"/>
          <w:lang w:val="en-US" w:eastAsia="zh-CN"/>
        </w:rPr>
        <w:t>12.18</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0.0</w:t>
      </w:r>
      <w:r>
        <w:rPr>
          <w:rFonts w:ascii="Times New Roman" w:hAnsi="Times New Roman" w:eastAsia="方正仿宋_GBK" w:cs="Times New Roman"/>
          <w:color w:val="auto"/>
          <w:sz w:val="32"/>
          <w:szCs w:val="32"/>
        </w:rPr>
        <w:t>%；其他服务业增加值</w:t>
      </w:r>
      <w:r>
        <w:rPr>
          <w:rFonts w:hint="eastAsia" w:ascii="Times New Roman" w:hAnsi="Times New Roman" w:eastAsia="方正仿宋_GBK" w:cs="Times New Roman"/>
          <w:color w:val="auto"/>
          <w:sz w:val="32"/>
          <w:szCs w:val="32"/>
          <w:lang w:val="en-US" w:eastAsia="zh-CN"/>
        </w:rPr>
        <w:t>54.89</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5.6</w:t>
      </w:r>
      <w:r>
        <w:rPr>
          <w:rFonts w:ascii="Times New Roman" w:hAnsi="Times New Roman" w:eastAsia="方正仿宋_GBK" w:cs="Times New Roman"/>
          <w:color w:val="auto"/>
          <w:sz w:val="32"/>
          <w:szCs w:val="32"/>
        </w:rPr>
        <w:t>%。</w:t>
      </w:r>
    </w:p>
    <w:p>
      <w:pPr>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highlight w:val="none"/>
        </w:rPr>
        <w:t>全年</w:t>
      </w:r>
      <w:r>
        <w:rPr>
          <w:rFonts w:hint="eastAsia" w:ascii="Times New Roman" w:hAnsi="Times New Roman" w:eastAsia="方正仿宋_GBK" w:cs="Times New Roman"/>
          <w:color w:val="auto"/>
          <w:sz w:val="32"/>
          <w:szCs w:val="32"/>
          <w:highlight w:val="none"/>
          <w:lang w:eastAsia="zh-CN"/>
        </w:rPr>
        <w:t>公路</w:t>
      </w:r>
      <w:r>
        <w:rPr>
          <w:rFonts w:ascii="Times New Roman" w:hAnsi="Times New Roman" w:eastAsia="方正仿宋_GBK" w:cs="Times New Roman"/>
          <w:color w:val="auto"/>
          <w:sz w:val="32"/>
          <w:szCs w:val="32"/>
          <w:highlight w:val="none"/>
        </w:rPr>
        <w:t>货物运</w:t>
      </w:r>
      <w:r>
        <w:rPr>
          <w:rFonts w:ascii="Times New Roman" w:hAnsi="Times New Roman" w:eastAsia="方正仿宋_GBK" w:cs="Times New Roman"/>
          <w:color w:val="auto"/>
          <w:sz w:val="32"/>
          <w:szCs w:val="32"/>
        </w:rPr>
        <w:t>输量</w:t>
      </w:r>
      <w:r>
        <w:rPr>
          <w:rFonts w:hint="eastAsia" w:ascii="Times New Roman" w:hAnsi="Times New Roman" w:eastAsia="方正仿宋_GBK" w:cs="Times New Roman"/>
          <w:color w:val="auto"/>
          <w:sz w:val="32"/>
          <w:szCs w:val="32"/>
          <w:lang w:val="en-US" w:eastAsia="zh-CN"/>
        </w:rPr>
        <w:t>694</w:t>
      </w:r>
      <w:r>
        <w:rPr>
          <w:rFonts w:ascii="Times New Roman" w:hAnsi="Times New Roman" w:eastAsia="方正仿宋_GBK" w:cs="Times New Roman"/>
          <w:color w:val="auto"/>
          <w:sz w:val="32"/>
          <w:szCs w:val="32"/>
        </w:rPr>
        <w:t>万吨，</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4.2%</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公路</w:t>
      </w:r>
      <w:r>
        <w:rPr>
          <w:rFonts w:ascii="Times New Roman" w:hAnsi="Times New Roman" w:eastAsia="方正仿宋_GBK" w:cs="Times New Roman"/>
          <w:color w:val="auto"/>
          <w:sz w:val="32"/>
          <w:szCs w:val="32"/>
        </w:rPr>
        <w:t>货物运输周转量</w:t>
      </w:r>
      <w:r>
        <w:rPr>
          <w:rFonts w:hint="eastAsia" w:ascii="Times New Roman" w:hAnsi="Times New Roman" w:eastAsia="方正仿宋_GBK" w:cs="Times New Roman"/>
          <w:color w:val="auto"/>
          <w:sz w:val="32"/>
          <w:szCs w:val="32"/>
          <w:lang w:val="en-US" w:eastAsia="zh-CN"/>
        </w:rPr>
        <w:t>64000</w:t>
      </w:r>
      <w:r>
        <w:rPr>
          <w:rFonts w:ascii="Times New Roman" w:hAnsi="Times New Roman" w:eastAsia="方正仿宋_GBK" w:cs="Times New Roman"/>
          <w:color w:val="auto"/>
          <w:sz w:val="32"/>
          <w:szCs w:val="32"/>
        </w:rPr>
        <w:t>万吨公里，</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6.2</w:t>
      </w:r>
      <w:r>
        <w:rPr>
          <w:rFonts w:ascii="Times New Roman" w:hAnsi="Times New Roman" w:eastAsia="方正仿宋_GBK" w:cs="Times New Roman"/>
          <w:color w:val="auto"/>
          <w:sz w:val="32"/>
          <w:szCs w:val="32"/>
        </w:rPr>
        <w:t>%。全年</w:t>
      </w:r>
      <w:r>
        <w:rPr>
          <w:rFonts w:hint="eastAsia" w:ascii="Times New Roman" w:hAnsi="Times New Roman" w:eastAsia="方正仿宋_GBK" w:cs="Times New Roman"/>
          <w:color w:val="auto"/>
          <w:sz w:val="32"/>
          <w:szCs w:val="32"/>
          <w:lang w:eastAsia="zh-CN"/>
        </w:rPr>
        <w:t>旅客</w:t>
      </w:r>
      <w:r>
        <w:rPr>
          <w:rFonts w:ascii="Times New Roman" w:hAnsi="Times New Roman" w:eastAsia="方正仿宋_GBK" w:cs="Times New Roman"/>
          <w:color w:val="auto"/>
          <w:sz w:val="32"/>
          <w:szCs w:val="32"/>
        </w:rPr>
        <w:t>运输量</w:t>
      </w:r>
      <w:r>
        <w:rPr>
          <w:rFonts w:hint="eastAsia" w:ascii="Times New Roman" w:hAnsi="Times New Roman" w:eastAsia="方正仿宋_GBK" w:cs="Times New Roman"/>
          <w:color w:val="auto"/>
          <w:sz w:val="32"/>
          <w:szCs w:val="32"/>
          <w:lang w:val="en-US" w:eastAsia="zh-CN"/>
        </w:rPr>
        <w:t>354</w:t>
      </w:r>
      <w:r>
        <w:rPr>
          <w:rFonts w:ascii="Times New Roman" w:hAnsi="Times New Roman" w:eastAsia="方正仿宋_GBK" w:cs="Times New Roman"/>
          <w:color w:val="auto"/>
          <w:sz w:val="32"/>
          <w:szCs w:val="32"/>
        </w:rPr>
        <w:t>万人次，比上年</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59.5</w:t>
      </w:r>
      <w:r>
        <w:rPr>
          <w:rFonts w:ascii="Times New Roman" w:hAnsi="Times New Roman" w:eastAsia="方正仿宋_GBK" w:cs="Times New Roman"/>
          <w:color w:val="auto"/>
          <w:sz w:val="32"/>
          <w:szCs w:val="32"/>
        </w:rPr>
        <w:t>%，其中铁路旅客发送量</w:t>
      </w:r>
      <w:r>
        <w:rPr>
          <w:rFonts w:hint="eastAsia" w:ascii="Times New Roman" w:hAnsi="Times New Roman" w:eastAsia="方正仿宋_GBK" w:cs="Times New Roman"/>
          <w:color w:val="auto"/>
          <w:sz w:val="32"/>
          <w:szCs w:val="32"/>
          <w:lang w:val="en-US" w:eastAsia="zh-CN"/>
        </w:rPr>
        <w:t>147</w:t>
      </w:r>
      <w:r>
        <w:rPr>
          <w:rFonts w:ascii="Times New Roman" w:hAnsi="Times New Roman" w:eastAsia="方正仿宋_GBK" w:cs="Times New Roman"/>
          <w:color w:val="auto"/>
          <w:sz w:val="32"/>
          <w:szCs w:val="32"/>
        </w:rPr>
        <w:t>万人次。旅客运输周转量</w:t>
      </w:r>
      <w:r>
        <w:rPr>
          <w:rFonts w:hint="eastAsia" w:ascii="Times New Roman" w:hAnsi="Times New Roman" w:eastAsia="方正仿宋_GBK" w:cs="Times New Roman"/>
          <w:color w:val="auto"/>
          <w:sz w:val="32"/>
          <w:szCs w:val="32"/>
          <w:lang w:val="en-US" w:eastAsia="zh-CN"/>
        </w:rPr>
        <w:t>13984</w:t>
      </w:r>
      <w:r>
        <w:rPr>
          <w:rFonts w:ascii="Times New Roman" w:hAnsi="Times New Roman" w:eastAsia="方正仿宋_GBK" w:cs="Times New Roman"/>
          <w:color w:val="auto"/>
          <w:sz w:val="32"/>
          <w:szCs w:val="32"/>
        </w:rPr>
        <w:t>万人公里（不含铁路），</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71.5</w:t>
      </w:r>
      <w:r>
        <w:rPr>
          <w:rFonts w:ascii="Times New Roman" w:hAnsi="Times New Roman" w:eastAsia="方正仿宋_GBK" w:cs="Times New Roman"/>
          <w:color w:val="auto"/>
          <w:sz w:val="32"/>
          <w:szCs w:val="32"/>
        </w:rPr>
        <w:t>%。</w:t>
      </w:r>
    </w:p>
    <w:p>
      <w:pPr>
        <w:spacing w:after="0" w:line="560" w:lineRule="exact"/>
        <w:jc w:val="center"/>
        <w:rPr>
          <w:rFonts w:ascii="宋体" w:hAnsi="宋体" w:eastAsia="宋体" w:cs="Times New Roman"/>
          <w:color w:val="auto"/>
          <w:sz w:val="24"/>
        </w:rPr>
      </w:pPr>
      <w:r>
        <w:rPr>
          <w:rFonts w:ascii="宋体" w:hAnsi="宋体" w:eastAsia="宋体" w:cs="Times New Roman"/>
          <w:b/>
          <w:bCs/>
          <w:color w:val="auto"/>
          <w:sz w:val="24"/>
        </w:rPr>
        <w:t>表</w:t>
      </w:r>
      <w:r>
        <w:rPr>
          <w:rFonts w:hint="eastAsia" w:ascii="宋体" w:hAnsi="宋体" w:eastAsia="宋体" w:cs="Times New Roman"/>
          <w:b/>
          <w:bCs/>
          <w:color w:val="auto"/>
          <w:sz w:val="24"/>
          <w:lang w:val="en-US" w:eastAsia="zh-CN"/>
        </w:rPr>
        <w:t>4</w:t>
      </w:r>
      <w:r>
        <w:rPr>
          <w:rFonts w:ascii="宋体" w:hAnsi="宋体" w:eastAsia="宋体" w:cs="Times New Roman"/>
          <w:b/>
          <w:bCs/>
          <w:color w:val="auto"/>
          <w:sz w:val="24"/>
        </w:rPr>
        <w:t xml:space="preserve">  202</w:t>
      </w:r>
      <w:r>
        <w:rPr>
          <w:rFonts w:hint="eastAsia" w:ascii="宋体" w:hAnsi="宋体" w:eastAsia="宋体" w:cs="Times New Roman"/>
          <w:b/>
          <w:bCs/>
          <w:color w:val="auto"/>
          <w:sz w:val="24"/>
          <w:lang w:val="en-US" w:eastAsia="zh-CN"/>
        </w:rPr>
        <w:t>3</w:t>
      </w:r>
      <w:r>
        <w:rPr>
          <w:rFonts w:ascii="宋体" w:hAnsi="宋体" w:eastAsia="宋体" w:cs="Times New Roman"/>
          <w:b/>
          <w:bCs/>
          <w:color w:val="auto"/>
          <w:sz w:val="24"/>
        </w:rPr>
        <w:t>年各种运输方式旅客运输量及其增长速度</w:t>
      </w:r>
    </w:p>
    <w:tbl>
      <w:tblPr>
        <w:tblStyle w:val="8"/>
        <w:tblW w:w="4984"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1"/>
        <w:gridCol w:w="2974"/>
        <w:gridCol w:w="29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665"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指</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标</w:t>
            </w:r>
          </w:p>
        </w:tc>
        <w:tc>
          <w:tcPr>
            <w:tcW w:w="1667"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绝对量</w:t>
            </w:r>
          </w:p>
        </w:tc>
        <w:tc>
          <w:tcPr>
            <w:tcW w:w="1666"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比上年增长（%）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665" w:type="pct"/>
            <w:tcBorders>
              <w:bottom w:val="nil"/>
            </w:tcBorders>
            <w:vAlign w:val="center"/>
          </w:tcPr>
          <w:p>
            <w:pPr>
              <w:spacing w:after="0" w:line="30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旅客运输量（万人次）</w:t>
            </w:r>
          </w:p>
        </w:tc>
        <w:tc>
          <w:tcPr>
            <w:tcW w:w="1667" w:type="pct"/>
            <w:tcBorders>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c>
          <w:tcPr>
            <w:tcW w:w="1666" w:type="pct"/>
            <w:tcBorders>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#公路</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203</w:t>
            </w:r>
          </w:p>
        </w:tc>
        <w:tc>
          <w:tcPr>
            <w:tcW w:w="1666"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水运</w:t>
            </w:r>
          </w:p>
        </w:tc>
        <w:tc>
          <w:tcPr>
            <w:tcW w:w="1667" w:type="pct"/>
            <w:tcBorders>
              <w:top w:val="nil"/>
              <w:bottom w:val="nil"/>
            </w:tcBorders>
            <w:vAlign w:val="center"/>
          </w:tcPr>
          <w:p>
            <w:pPr>
              <w:spacing w:after="0" w:line="300" w:lineRule="exact"/>
              <w:ind w:firstLine="420" w:firstLineChars="200"/>
              <w:jc w:val="right"/>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4</w:t>
            </w:r>
          </w:p>
        </w:tc>
        <w:tc>
          <w:tcPr>
            <w:tcW w:w="1666"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铁路</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147</w:t>
            </w:r>
          </w:p>
        </w:tc>
        <w:tc>
          <w:tcPr>
            <w:tcW w:w="1666"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665" w:type="pct"/>
            <w:tcBorders>
              <w:top w:val="nil"/>
              <w:bottom w:val="nil"/>
            </w:tcBorders>
            <w:vAlign w:val="center"/>
          </w:tcPr>
          <w:p>
            <w:pPr>
              <w:spacing w:after="0" w:line="30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旅客周转量（万人公里）</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13984</w:t>
            </w:r>
          </w:p>
        </w:tc>
        <w:tc>
          <w:tcPr>
            <w:tcW w:w="1666"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#公路</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13651</w:t>
            </w:r>
          </w:p>
        </w:tc>
        <w:tc>
          <w:tcPr>
            <w:tcW w:w="1666"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1665" w:type="pct"/>
            <w:tcBorders>
              <w:top w:val="nil"/>
              <w:bottom w:val="single" w:color="auto" w:sz="12" w:space="0"/>
            </w:tcBorders>
            <w:vAlign w:val="center"/>
          </w:tcPr>
          <w:p>
            <w:pPr>
              <w:spacing w:after="0" w:line="300" w:lineRule="exact"/>
              <w:ind w:firstLine="315" w:firstLine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水运</w:t>
            </w:r>
          </w:p>
        </w:tc>
        <w:tc>
          <w:tcPr>
            <w:tcW w:w="1667"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333</w:t>
            </w:r>
          </w:p>
        </w:tc>
        <w:tc>
          <w:tcPr>
            <w:tcW w:w="1666"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r>
    </w:tbl>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全县年末含村道路在内的公路里程</w:t>
      </w:r>
      <w:r>
        <w:rPr>
          <w:rFonts w:hint="eastAsia" w:ascii="Times New Roman" w:hAnsi="Times New Roman" w:eastAsia="方正仿宋_GBK" w:cs="Times New Roman"/>
          <w:color w:val="auto"/>
          <w:sz w:val="32"/>
          <w:szCs w:val="32"/>
          <w:lang w:val="en-US" w:eastAsia="zh-CN"/>
        </w:rPr>
        <w:t>5642</w:t>
      </w:r>
      <w:r>
        <w:rPr>
          <w:rFonts w:ascii="Times New Roman" w:hAnsi="Times New Roman" w:eastAsia="方正仿宋_GBK" w:cs="Times New Roman"/>
          <w:color w:val="auto"/>
          <w:sz w:val="32"/>
          <w:szCs w:val="32"/>
        </w:rPr>
        <w:t>公里，年末技术等级公路里程分别是：国道</w:t>
      </w:r>
      <w:r>
        <w:rPr>
          <w:rFonts w:hint="eastAsia" w:ascii="Times New Roman" w:hAnsi="Times New Roman" w:eastAsia="方正仿宋_GBK" w:cs="Times New Roman"/>
          <w:color w:val="auto"/>
          <w:sz w:val="32"/>
          <w:szCs w:val="32"/>
        </w:rPr>
        <w:t>336</w:t>
      </w:r>
      <w:r>
        <w:rPr>
          <w:rFonts w:ascii="Times New Roman" w:hAnsi="Times New Roman" w:eastAsia="方正仿宋_GBK" w:cs="Times New Roman"/>
          <w:color w:val="auto"/>
          <w:sz w:val="32"/>
          <w:szCs w:val="32"/>
        </w:rPr>
        <w:t>公里、省道</w:t>
      </w:r>
      <w:r>
        <w:rPr>
          <w:rFonts w:hint="eastAsia" w:ascii="Times New Roman" w:hAnsi="Times New Roman" w:eastAsia="方正仿宋_GBK" w:cs="Times New Roman"/>
          <w:color w:val="auto"/>
          <w:sz w:val="32"/>
          <w:szCs w:val="32"/>
        </w:rPr>
        <w:t>255</w:t>
      </w:r>
      <w:r>
        <w:rPr>
          <w:rFonts w:ascii="Times New Roman" w:hAnsi="Times New Roman" w:eastAsia="方正仿宋_GBK" w:cs="Times New Roman"/>
          <w:color w:val="auto"/>
          <w:sz w:val="32"/>
          <w:szCs w:val="32"/>
        </w:rPr>
        <w:t>公里、县道</w:t>
      </w:r>
      <w:r>
        <w:rPr>
          <w:rFonts w:hint="eastAsia" w:ascii="Times New Roman" w:hAnsi="Times New Roman" w:eastAsia="方正仿宋_GBK" w:cs="Times New Roman"/>
          <w:color w:val="auto"/>
          <w:sz w:val="32"/>
          <w:szCs w:val="32"/>
          <w:lang w:val="en-US" w:eastAsia="zh-CN"/>
        </w:rPr>
        <w:t>1048</w:t>
      </w:r>
      <w:r>
        <w:rPr>
          <w:rFonts w:ascii="Times New Roman" w:hAnsi="Times New Roman" w:eastAsia="方正仿宋_GBK" w:cs="Times New Roman"/>
          <w:color w:val="auto"/>
          <w:sz w:val="32"/>
          <w:szCs w:val="32"/>
        </w:rPr>
        <w:t>公里、乡道</w:t>
      </w:r>
      <w:r>
        <w:rPr>
          <w:rFonts w:hint="eastAsia" w:ascii="Times New Roman" w:hAnsi="Times New Roman" w:eastAsia="方正仿宋_GBK" w:cs="Times New Roman"/>
          <w:color w:val="auto"/>
          <w:sz w:val="32"/>
          <w:szCs w:val="32"/>
          <w:lang w:val="en-US" w:eastAsia="zh-CN"/>
        </w:rPr>
        <w:t>819</w:t>
      </w:r>
      <w:r>
        <w:rPr>
          <w:rFonts w:ascii="Times New Roman" w:hAnsi="Times New Roman" w:eastAsia="方正仿宋_GBK" w:cs="Times New Roman"/>
          <w:color w:val="auto"/>
          <w:sz w:val="32"/>
          <w:szCs w:val="32"/>
        </w:rPr>
        <w:t>公里、村道</w:t>
      </w:r>
      <w:r>
        <w:rPr>
          <w:rFonts w:hint="eastAsia" w:ascii="Times New Roman" w:hAnsi="Times New Roman" w:eastAsia="方正仿宋_GBK" w:cs="Times New Roman"/>
          <w:color w:val="auto"/>
          <w:sz w:val="32"/>
          <w:szCs w:val="32"/>
          <w:lang w:val="en-US" w:eastAsia="zh-CN"/>
        </w:rPr>
        <w:t>3184</w:t>
      </w:r>
      <w:r>
        <w:rPr>
          <w:rFonts w:ascii="Times New Roman" w:hAnsi="Times New Roman" w:eastAsia="方正仿宋_GBK" w:cs="Times New Roman"/>
          <w:color w:val="auto"/>
          <w:sz w:val="32"/>
          <w:szCs w:val="32"/>
        </w:rPr>
        <w:t>公里。</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w:t>
      </w:r>
      <w:r>
        <w:rPr>
          <w:rFonts w:hint="eastAsia" w:ascii="Times New Roman" w:hAnsi="Times New Roman" w:eastAsia="方正仿宋_GBK" w:cs="Times New Roman"/>
          <w:color w:val="auto"/>
          <w:sz w:val="32"/>
          <w:szCs w:val="32"/>
          <w:lang w:eastAsia="zh-CN"/>
        </w:rPr>
        <w:t>邮政分公司</w:t>
      </w:r>
      <w:r>
        <w:rPr>
          <w:rFonts w:ascii="Times New Roman" w:hAnsi="Times New Roman" w:eastAsia="方正仿宋_GBK" w:cs="Times New Roman"/>
          <w:color w:val="auto"/>
          <w:sz w:val="32"/>
          <w:szCs w:val="32"/>
        </w:rPr>
        <w:t>完成邮政业务总量</w:t>
      </w:r>
      <w:r>
        <w:rPr>
          <w:rFonts w:hint="eastAsia" w:ascii="Times New Roman" w:hAnsi="Times New Roman" w:eastAsia="方正仿宋_GBK" w:cs="Times New Roman"/>
          <w:color w:val="auto"/>
          <w:sz w:val="32"/>
          <w:szCs w:val="32"/>
          <w:lang w:val="en-US" w:eastAsia="zh-CN"/>
        </w:rPr>
        <w:t>1.31</w:t>
      </w:r>
      <w:r>
        <w:rPr>
          <w:rFonts w:ascii="Times New Roman" w:hAnsi="Times New Roman" w:eastAsia="方正仿宋_GBK" w:cs="Times New Roman"/>
          <w:color w:val="auto"/>
          <w:sz w:val="32"/>
          <w:szCs w:val="32"/>
        </w:rPr>
        <w:t>亿元，比上年增长</w:t>
      </w:r>
      <w:r>
        <w:rPr>
          <w:rFonts w:hint="eastAsia" w:ascii="Times New Roman" w:hAnsi="Times New Roman" w:eastAsia="方正仿宋_GBK" w:cs="Times New Roman"/>
          <w:color w:val="auto"/>
          <w:sz w:val="32"/>
          <w:szCs w:val="32"/>
          <w:lang w:val="en-US" w:eastAsia="zh-CN"/>
        </w:rPr>
        <w:t>10.0</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完成邮政函件业务</w:t>
      </w:r>
      <w:r>
        <w:rPr>
          <w:rFonts w:hint="eastAsia" w:ascii="Times New Roman" w:hAnsi="Times New Roman" w:eastAsia="方正仿宋_GBK" w:cs="Times New Roman"/>
          <w:color w:val="auto"/>
          <w:sz w:val="32"/>
          <w:szCs w:val="32"/>
          <w:lang w:val="en-US" w:eastAsia="zh-CN"/>
        </w:rPr>
        <w:t>3.51</w:t>
      </w:r>
      <w:r>
        <w:rPr>
          <w:rFonts w:ascii="Times New Roman" w:hAnsi="Times New Roman" w:eastAsia="方正仿宋_GBK" w:cs="Times New Roman"/>
          <w:color w:val="auto"/>
          <w:sz w:val="32"/>
          <w:szCs w:val="32"/>
        </w:rPr>
        <w:t>万件，快递业务</w:t>
      </w:r>
      <w:r>
        <w:rPr>
          <w:rFonts w:hint="eastAsia" w:ascii="Times New Roman" w:hAnsi="Times New Roman" w:eastAsia="方正仿宋_GBK" w:cs="Times New Roman"/>
          <w:color w:val="auto"/>
          <w:sz w:val="32"/>
          <w:szCs w:val="32"/>
          <w:lang w:val="en-US" w:eastAsia="zh-CN"/>
        </w:rPr>
        <w:t>340.45</w:t>
      </w:r>
      <w:r>
        <w:rPr>
          <w:rFonts w:ascii="Times New Roman" w:hAnsi="Times New Roman" w:eastAsia="方正仿宋_GBK" w:cs="Times New Roman"/>
          <w:color w:val="auto"/>
          <w:sz w:val="32"/>
          <w:szCs w:val="32"/>
        </w:rPr>
        <w:t>万件，报刊业务累计完成</w:t>
      </w:r>
      <w:r>
        <w:rPr>
          <w:rFonts w:hint="eastAsia" w:ascii="Times New Roman" w:hAnsi="Times New Roman" w:eastAsia="方正仿宋_GBK" w:cs="Times New Roman"/>
          <w:color w:val="auto"/>
          <w:sz w:val="32"/>
          <w:szCs w:val="32"/>
          <w:lang w:val="en-US" w:eastAsia="zh-CN"/>
        </w:rPr>
        <w:t>277.01</w:t>
      </w:r>
      <w:r>
        <w:rPr>
          <w:rFonts w:ascii="Times New Roman" w:hAnsi="Times New Roman" w:eastAsia="方正仿宋_GBK" w:cs="Times New Roman"/>
          <w:color w:val="auto"/>
          <w:sz w:val="32"/>
          <w:szCs w:val="32"/>
        </w:rPr>
        <w:t>万份。</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全年完成电信业务总量</w:t>
      </w:r>
      <w:r>
        <w:rPr>
          <w:rFonts w:hint="eastAsia" w:ascii="Times New Roman" w:hAnsi="Times New Roman" w:eastAsia="方正仿宋_GBK" w:cs="Times New Roman"/>
          <w:color w:val="auto"/>
          <w:sz w:val="32"/>
          <w:szCs w:val="32"/>
          <w:lang w:val="en-US" w:eastAsia="zh-CN"/>
        </w:rPr>
        <w:t>3.03</w:t>
      </w:r>
      <w:r>
        <w:rPr>
          <w:rFonts w:ascii="Times New Roman" w:hAnsi="Times New Roman" w:eastAsia="方正仿宋_GBK" w:cs="Times New Roman"/>
          <w:color w:val="auto"/>
          <w:sz w:val="32"/>
          <w:szCs w:val="32"/>
        </w:rPr>
        <w:t>亿元，比上年增长</w:t>
      </w:r>
      <w:r>
        <w:rPr>
          <w:rFonts w:hint="eastAsia" w:ascii="Times New Roman" w:hAnsi="Times New Roman" w:eastAsia="方正仿宋_GBK" w:cs="Times New Roman"/>
          <w:color w:val="auto"/>
          <w:sz w:val="32"/>
          <w:szCs w:val="32"/>
          <w:lang w:val="en-US" w:eastAsia="zh-CN"/>
        </w:rPr>
        <w:t>7.3</w:t>
      </w:r>
      <w:r>
        <w:rPr>
          <w:rFonts w:ascii="Times New Roman" w:hAnsi="Times New Roman" w:eastAsia="方正仿宋_GBK" w:cs="Times New Roman"/>
          <w:color w:val="auto"/>
          <w:sz w:val="32"/>
          <w:szCs w:val="32"/>
        </w:rPr>
        <w:t>%。年末全县电话用户</w:t>
      </w:r>
      <w:r>
        <w:rPr>
          <w:rFonts w:hint="eastAsia" w:ascii="Times New Roman" w:hAnsi="Times New Roman" w:eastAsia="方正仿宋_GBK" w:cs="Times New Roman"/>
          <w:color w:val="auto"/>
          <w:sz w:val="32"/>
          <w:szCs w:val="32"/>
          <w:lang w:val="en-US" w:eastAsia="zh-CN"/>
        </w:rPr>
        <w:t>47.74</w:t>
      </w:r>
      <w:r>
        <w:rPr>
          <w:rFonts w:ascii="Times New Roman" w:hAnsi="Times New Roman" w:eastAsia="方正仿宋_GBK" w:cs="Times New Roman"/>
          <w:color w:val="auto"/>
          <w:sz w:val="32"/>
          <w:szCs w:val="32"/>
        </w:rPr>
        <w:t>万户，其中移动电话用户</w:t>
      </w:r>
      <w:r>
        <w:rPr>
          <w:rFonts w:hint="eastAsia" w:ascii="Times New Roman" w:hAnsi="Times New Roman" w:eastAsia="方正仿宋_GBK" w:cs="Times New Roman"/>
          <w:color w:val="auto"/>
          <w:sz w:val="32"/>
          <w:szCs w:val="32"/>
          <w:lang w:val="en-US" w:eastAsia="zh-CN"/>
        </w:rPr>
        <w:t>45.18</w:t>
      </w:r>
      <w:r>
        <w:rPr>
          <w:rFonts w:ascii="Times New Roman" w:hAnsi="Times New Roman" w:eastAsia="方正仿宋_GBK" w:cs="Times New Roman"/>
          <w:color w:val="auto"/>
          <w:sz w:val="32"/>
          <w:szCs w:val="32"/>
        </w:rPr>
        <w:t>万户</w:t>
      </w:r>
      <w:r>
        <w:rPr>
          <w:rFonts w:hint="eastAsia" w:ascii="Times New Roman" w:hAnsi="Times New Roman" w:eastAsia="方正仿宋_GBK" w:cs="Times New Roman"/>
          <w:color w:val="auto"/>
          <w:sz w:val="32"/>
          <w:szCs w:val="32"/>
          <w:lang w:eastAsia="zh-CN"/>
        </w:rPr>
        <w:t>，固定电话用户</w:t>
      </w:r>
      <w:r>
        <w:rPr>
          <w:rFonts w:hint="eastAsia" w:ascii="Times New Roman" w:hAnsi="Times New Roman" w:eastAsia="方正仿宋_GBK" w:cs="Times New Roman"/>
          <w:color w:val="auto"/>
          <w:sz w:val="32"/>
          <w:szCs w:val="32"/>
          <w:lang w:val="en-US" w:eastAsia="zh-CN"/>
        </w:rPr>
        <w:t>2.56万户</w:t>
      </w:r>
      <w:r>
        <w:rPr>
          <w:rFonts w:ascii="Times New Roman" w:hAnsi="Times New Roman" w:eastAsia="方正仿宋_GBK" w:cs="Times New Roman"/>
          <w:color w:val="auto"/>
          <w:sz w:val="32"/>
          <w:szCs w:val="32"/>
        </w:rPr>
        <w:t>。互联网用户</w:t>
      </w:r>
      <w:r>
        <w:rPr>
          <w:rFonts w:hint="eastAsia" w:ascii="Times New Roman" w:hAnsi="Times New Roman" w:eastAsia="方正仿宋_GBK" w:cs="Times New Roman"/>
          <w:color w:val="auto"/>
          <w:sz w:val="32"/>
          <w:szCs w:val="32"/>
          <w:lang w:val="en-US" w:eastAsia="zh-CN"/>
        </w:rPr>
        <w:t>58.68</w:t>
      </w:r>
      <w:r>
        <w:rPr>
          <w:rFonts w:ascii="Times New Roman" w:hAnsi="Times New Roman" w:eastAsia="方正仿宋_GBK" w:cs="Times New Roman"/>
          <w:color w:val="auto"/>
          <w:sz w:val="32"/>
          <w:szCs w:val="32"/>
        </w:rPr>
        <w:t>万户，其中移动互联网用户</w:t>
      </w:r>
      <w:r>
        <w:rPr>
          <w:rFonts w:hint="eastAsia" w:ascii="Times New Roman" w:hAnsi="Times New Roman" w:eastAsia="方正仿宋_GBK" w:cs="Times New Roman"/>
          <w:color w:val="auto"/>
          <w:sz w:val="32"/>
          <w:szCs w:val="32"/>
          <w:lang w:val="en-US" w:eastAsia="zh-CN"/>
        </w:rPr>
        <w:t>42.13</w:t>
      </w:r>
      <w:r>
        <w:rPr>
          <w:rFonts w:ascii="Times New Roman" w:hAnsi="Times New Roman" w:eastAsia="方正仿宋_GBK" w:cs="Times New Roman"/>
          <w:color w:val="auto"/>
          <w:sz w:val="32"/>
          <w:szCs w:val="32"/>
        </w:rPr>
        <w:t>万户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固定互联网宽带接入用户</w:t>
      </w:r>
      <w:r>
        <w:rPr>
          <w:rFonts w:hint="eastAsia" w:ascii="Times New Roman" w:hAnsi="Times New Roman" w:eastAsia="方正仿宋_GBK" w:cs="Times New Roman"/>
          <w:color w:val="auto"/>
          <w:sz w:val="32"/>
          <w:szCs w:val="32"/>
          <w:lang w:val="en-US" w:eastAsia="zh-CN"/>
        </w:rPr>
        <w:t>16.54</w:t>
      </w:r>
      <w:r>
        <w:rPr>
          <w:rFonts w:ascii="Times New Roman" w:hAnsi="Times New Roman" w:eastAsia="方正仿宋_GBK" w:cs="Times New Roman"/>
          <w:color w:val="auto"/>
          <w:sz w:val="32"/>
          <w:szCs w:val="32"/>
        </w:rPr>
        <w:t>万户</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手机上网用户</w:t>
      </w:r>
      <w:r>
        <w:rPr>
          <w:rFonts w:hint="eastAsia" w:ascii="Times New Roman" w:hAnsi="Times New Roman" w:eastAsia="方正仿宋_GBK" w:cs="Times New Roman"/>
          <w:color w:val="auto"/>
          <w:sz w:val="32"/>
          <w:szCs w:val="32"/>
          <w:lang w:val="en-US" w:eastAsia="zh-CN"/>
        </w:rPr>
        <w:t>41.67</w:t>
      </w:r>
      <w:r>
        <w:rPr>
          <w:rFonts w:ascii="Times New Roman" w:hAnsi="Times New Roman" w:eastAsia="方正仿宋_GBK" w:cs="Times New Roman"/>
          <w:color w:val="auto"/>
          <w:sz w:val="32"/>
          <w:szCs w:val="32"/>
        </w:rPr>
        <w:t>万户。</w:t>
      </w:r>
    </w:p>
    <w:p>
      <w:pPr>
        <w:spacing w:after="0" w:line="56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五、国内外贸易</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全年社会消费品零售总额</w:t>
      </w:r>
      <w:r>
        <w:rPr>
          <w:rFonts w:hint="eastAsia" w:ascii="Times New Roman" w:hAnsi="Times New Roman" w:eastAsia="方正仿宋_GBK" w:cs="Times New Roman"/>
          <w:color w:val="auto"/>
          <w:sz w:val="32"/>
          <w:szCs w:val="32"/>
          <w:lang w:val="en-US" w:eastAsia="zh-CN"/>
        </w:rPr>
        <w:t>107.10</w:t>
      </w:r>
      <w:r>
        <w:rPr>
          <w:rFonts w:ascii="Times New Roman" w:hAnsi="Times New Roman" w:eastAsia="方正仿宋_GBK" w:cs="Times New Roman"/>
          <w:color w:val="auto"/>
          <w:sz w:val="32"/>
          <w:szCs w:val="32"/>
        </w:rPr>
        <w:t>亿元，比上年增长</w:t>
      </w:r>
      <w:r>
        <w:rPr>
          <w:rFonts w:hint="eastAsia" w:ascii="Times New Roman" w:hAnsi="Times New Roman" w:eastAsia="方正仿宋_GBK" w:cs="Times New Roman"/>
          <w:color w:val="auto"/>
          <w:sz w:val="32"/>
          <w:szCs w:val="32"/>
          <w:lang w:val="en-US" w:eastAsia="zh-CN"/>
        </w:rPr>
        <w:t>8.7</w:t>
      </w:r>
      <w:r>
        <w:rPr>
          <w:rFonts w:ascii="Times New Roman" w:hAnsi="Times New Roman" w:eastAsia="方正仿宋_GBK" w:cs="Times New Roman"/>
          <w:color w:val="auto"/>
          <w:sz w:val="32"/>
          <w:szCs w:val="32"/>
        </w:rPr>
        <w:t>%。按经营地统计，城镇消费品零售额</w:t>
      </w:r>
      <w:r>
        <w:rPr>
          <w:rFonts w:hint="eastAsia" w:ascii="Times New Roman" w:hAnsi="Times New Roman" w:eastAsia="方正仿宋_GBK" w:cs="Times New Roman"/>
          <w:color w:val="auto"/>
          <w:sz w:val="32"/>
          <w:szCs w:val="32"/>
          <w:lang w:val="en-US" w:eastAsia="zh-CN"/>
        </w:rPr>
        <w:t>71.76</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28.7</w:t>
      </w:r>
      <w:r>
        <w:rPr>
          <w:rFonts w:ascii="Times New Roman" w:hAnsi="Times New Roman" w:eastAsia="方正仿宋_GBK" w:cs="Times New Roman"/>
          <w:color w:val="auto"/>
          <w:sz w:val="32"/>
          <w:szCs w:val="32"/>
        </w:rPr>
        <w:t>%；乡村消费品零售额</w:t>
      </w:r>
      <w:r>
        <w:rPr>
          <w:rFonts w:hint="eastAsia" w:ascii="Times New Roman" w:hAnsi="Times New Roman" w:eastAsia="方正仿宋_GBK" w:cs="Times New Roman"/>
          <w:color w:val="auto"/>
          <w:sz w:val="32"/>
          <w:szCs w:val="32"/>
          <w:lang w:val="en-US" w:eastAsia="zh-CN"/>
        </w:rPr>
        <w:t>35.34</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17.4</w:t>
      </w:r>
      <w:r>
        <w:rPr>
          <w:rFonts w:ascii="Times New Roman" w:hAnsi="Times New Roman" w:eastAsia="方正仿宋_GBK" w:cs="Times New Roman"/>
          <w:color w:val="auto"/>
          <w:sz w:val="32"/>
          <w:szCs w:val="32"/>
        </w:rPr>
        <w:t>%。按消费类型统计，批发零售业零售额</w:t>
      </w:r>
      <w:r>
        <w:rPr>
          <w:rFonts w:hint="eastAsia" w:ascii="Times New Roman" w:hAnsi="Times New Roman" w:eastAsia="方正仿宋_GBK" w:cs="Times New Roman"/>
          <w:color w:val="auto"/>
          <w:sz w:val="32"/>
          <w:szCs w:val="32"/>
          <w:lang w:val="en-US" w:eastAsia="zh-CN"/>
        </w:rPr>
        <w:t>90.80</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8.6</w:t>
      </w:r>
      <w:r>
        <w:rPr>
          <w:rFonts w:ascii="Times New Roman" w:hAnsi="Times New Roman" w:eastAsia="方正仿宋_GBK" w:cs="Times New Roman"/>
          <w:color w:val="auto"/>
          <w:sz w:val="32"/>
          <w:szCs w:val="32"/>
        </w:rPr>
        <w:t>%；住宿餐饮业零售额</w:t>
      </w:r>
      <w:r>
        <w:rPr>
          <w:rFonts w:hint="eastAsia" w:ascii="Times New Roman" w:hAnsi="Times New Roman" w:eastAsia="方正仿宋_GBK" w:cs="Times New Roman"/>
          <w:color w:val="auto"/>
          <w:sz w:val="32"/>
          <w:szCs w:val="32"/>
          <w:lang w:val="en-US" w:eastAsia="zh-CN"/>
        </w:rPr>
        <w:t>16.30</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9.5</w:t>
      </w:r>
      <w:r>
        <w:rPr>
          <w:rFonts w:ascii="Times New Roman" w:hAnsi="Times New Roman" w:eastAsia="方正仿宋_GBK" w:cs="Times New Roman"/>
          <w:color w:val="auto"/>
          <w:sz w:val="32"/>
          <w:szCs w:val="32"/>
        </w:rPr>
        <w:t>%。</w:t>
      </w:r>
    </w:p>
    <w:p>
      <w:pPr>
        <w:spacing w:after="0" w:line="560" w:lineRule="exact"/>
        <w:ind w:firstLine="640" w:firstLineChars="200"/>
        <w:jc w:val="both"/>
        <w:rPr>
          <w:color w:val="auto"/>
        </w:rPr>
      </w:pPr>
      <w:r>
        <w:rPr>
          <w:rFonts w:ascii="Times New Roman" w:hAnsi="Times New Roman" w:eastAsia="方正仿宋_GBK" w:cs="Times New Roman"/>
          <w:color w:val="auto"/>
          <w:sz w:val="32"/>
          <w:szCs w:val="32"/>
        </w:rPr>
        <w:t>全年限额以上法人企业商品零售额中，粮油、食品类比上年增长</w:t>
      </w:r>
      <w:r>
        <w:rPr>
          <w:rFonts w:hint="eastAsia" w:ascii="Times New Roman" w:hAnsi="Times New Roman" w:eastAsia="方正仿宋_GBK" w:cs="Times New Roman"/>
          <w:color w:val="auto"/>
          <w:sz w:val="32"/>
          <w:szCs w:val="32"/>
          <w:lang w:val="en-US" w:eastAsia="zh-CN"/>
        </w:rPr>
        <w:t>24.6</w:t>
      </w:r>
      <w:r>
        <w:rPr>
          <w:rFonts w:ascii="Times New Roman" w:hAnsi="Times New Roman" w:eastAsia="方正仿宋_GBK" w:cs="Times New Roman"/>
          <w:color w:val="auto"/>
          <w:sz w:val="32"/>
          <w:szCs w:val="32"/>
        </w:rPr>
        <w:t>%，饮料类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16.0%，</w:t>
      </w:r>
      <w:r>
        <w:rPr>
          <w:rFonts w:ascii="Times New Roman" w:hAnsi="Times New Roman" w:eastAsia="方正仿宋_GBK" w:cs="Times New Roman"/>
          <w:color w:val="auto"/>
          <w:sz w:val="32"/>
          <w:szCs w:val="32"/>
        </w:rPr>
        <w:t>烟酒类增长</w:t>
      </w:r>
      <w:r>
        <w:rPr>
          <w:rFonts w:hint="eastAsia" w:ascii="Times New Roman" w:hAnsi="Times New Roman" w:eastAsia="方正仿宋_GBK" w:cs="Times New Roman"/>
          <w:color w:val="auto"/>
          <w:sz w:val="32"/>
          <w:szCs w:val="32"/>
          <w:lang w:val="en-US" w:eastAsia="zh-CN"/>
        </w:rPr>
        <w:t>3.1</w:t>
      </w:r>
      <w:r>
        <w:rPr>
          <w:rFonts w:ascii="Times New Roman" w:hAnsi="Times New Roman" w:eastAsia="方正仿宋_GBK" w:cs="Times New Roman"/>
          <w:color w:val="auto"/>
          <w:sz w:val="32"/>
          <w:szCs w:val="32"/>
        </w:rPr>
        <w:t>%，服装、鞋帽、针纺织品类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68.8</w:t>
      </w:r>
      <w:r>
        <w:rPr>
          <w:rFonts w:ascii="Times New Roman" w:hAnsi="Times New Roman" w:eastAsia="方正仿宋_GBK" w:cs="Times New Roman"/>
          <w:color w:val="auto"/>
          <w:sz w:val="32"/>
          <w:szCs w:val="32"/>
        </w:rPr>
        <w:t>%，化妆品类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19.7</w:t>
      </w:r>
      <w:r>
        <w:rPr>
          <w:rFonts w:ascii="Times New Roman" w:hAnsi="Times New Roman" w:eastAsia="方正仿宋_GBK" w:cs="Times New Roman"/>
          <w:color w:val="auto"/>
          <w:sz w:val="32"/>
          <w:szCs w:val="32"/>
        </w:rPr>
        <w:t>%，日用品类增长</w:t>
      </w:r>
      <w:r>
        <w:rPr>
          <w:rFonts w:hint="eastAsia" w:ascii="Times New Roman" w:hAnsi="Times New Roman" w:eastAsia="方正仿宋_GBK" w:cs="Times New Roman"/>
          <w:color w:val="auto"/>
          <w:sz w:val="32"/>
          <w:szCs w:val="32"/>
          <w:lang w:val="en-US" w:eastAsia="zh-CN"/>
        </w:rPr>
        <w:t>2.4</w:t>
      </w:r>
      <w:r>
        <w:rPr>
          <w:rFonts w:ascii="Times New Roman" w:hAnsi="Times New Roman" w:eastAsia="方正仿宋_GBK" w:cs="Times New Roman"/>
          <w:color w:val="auto"/>
          <w:sz w:val="32"/>
          <w:szCs w:val="32"/>
        </w:rPr>
        <w:t>%，五金、电料类</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96.2</w:t>
      </w:r>
      <w:r>
        <w:rPr>
          <w:rFonts w:ascii="Times New Roman" w:hAnsi="Times New Roman" w:eastAsia="方正仿宋_GBK" w:cs="Times New Roman"/>
          <w:color w:val="auto"/>
          <w:sz w:val="32"/>
          <w:szCs w:val="32"/>
        </w:rPr>
        <w:t>%，体育、娱乐用品类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23.8</w:t>
      </w:r>
      <w:r>
        <w:rPr>
          <w:rFonts w:ascii="Times New Roman" w:hAnsi="Times New Roman" w:eastAsia="方正仿宋_GBK" w:cs="Times New Roman"/>
          <w:color w:val="auto"/>
          <w:sz w:val="32"/>
          <w:szCs w:val="32"/>
        </w:rPr>
        <w:t>%，家用电器和音像器材类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3.1</w:t>
      </w:r>
      <w:r>
        <w:rPr>
          <w:rFonts w:ascii="Times New Roman" w:hAnsi="Times New Roman" w:eastAsia="方正仿宋_GBK" w:cs="Times New Roman"/>
          <w:color w:val="auto"/>
          <w:sz w:val="32"/>
          <w:szCs w:val="32"/>
        </w:rPr>
        <w:t>%，中西药品类下降</w:t>
      </w:r>
      <w:r>
        <w:rPr>
          <w:rFonts w:hint="eastAsia" w:ascii="Times New Roman" w:hAnsi="Times New Roman" w:eastAsia="方正仿宋_GBK" w:cs="Times New Roman"/>
          <w:color w:val="auto"/>
          <w:sz w:val="32"/>
          <w:szCs w:val="32"/>
          <w:lang w:val="en-US" w:eastAsia="zh-CN"/>
        </w:rPr>
        <w:t>10.8</w:t>
      </w:r>
      <w:r>
        <w:rPr>
          <w:rFonts w:ascii="Times New Roman" w:hAnsi="Times New Roman" w:eastAsia="方正仿宋_GBK" w:cs="Times New Roman"/>
          <w:color w:val="auto"/>
          <w:sz w:val="32"/>
          <w:szCs w:val="32"/>
        </w:rPr>
        <w:t>%，文化办公用品类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0.3</w:t>
      </w:r>
      <w:r>
        <w:rPr>
          <w:rFonts w:ascii="Times New Roman" w:hAnsi="Times New Roman" w:eastAsia="方正仿宋_GBK" w:cs="Times New Roman"/>
          <w:color w:val="auto"/>
          <w:sz w:val="32"/>
          <w:szCs w:val="32"/>
        </w:rPr>
        <w:t>%，家具类增长</w:t>
      </w:r>
      <w:r>
        <w:rPr>
          <w:rFonts w:hint="eastAsia" w:ascii="Times New Roman" w:hAnsi="Times New Roman" w:eastAsia="方正仿宋_GBK" w:cs="Times New Roman"/>
          <w:color w:val="auto"/>
          <w:sz w:val="32"/>
          <w:szCs w:val="32"/>
          <w:lang w:val="en-US" w:eastAsia="zh-CN"/>
        </w:rPr>
        <w:t>15.7</w:t>
      </w:r>
      <w:r>
        <w:rPr>
          <w:rFonts w:ascii="Times New Roman" w:hAnsi="Times New Roman" w:eastAsia="方正仿宋_GBK" w:cs="Times New Roman"/>
          <w:color w:val="auto"/>
          <w:sz w:val="32"/>
          <w:szCs w:val="32"/>
        </w:rPr>
        <w:t>%，通讯器材类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15.7</w:t>
      </w:r>
      <w:r>
        <w:rPr>
          <w:rFonts w:ascii="Times New Roman" w:hAnsi="Times New Roman" w:eastAsia="方正仿宋_GBK" w:cs="Times New Roman"/>
          <w:color w:val="auto"/>
          <w:sz w:val="32"/>
          <w:szCs w:val="32"/>
        </w:rPr>
        <w:t>%，石油及制品类</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2.4</w:t>
      </w:r>
      <w:r>
        <w:rPr>
          <w:rFonts w:ascii="Times New Roman" w:hAnsi="Times New Roman" w:eastAsia="方正仿宋_GBK" w:cs="Times New Roman"/>
          <w:color w:val="auto"/>
          <w:sz w:val="32"/>
          <w:szCs w:val="32"/>
        </w:rPr>
        <w:t>%，建筑及装潢材料类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8.4</w:t>
      </w:r>
      <w:r>
        <w:rPr>
          <w:rFonts w:ascii="Times New Roman" w:hAnsi="Times New Roman" w:eastAsia="方正仿宋_GBK" w:cs="Times New Roman"/>
          <w:color w:val="auto"/>
          <w:sz w:val="32"/>
          <w:szCs w:val="32"/>
        </w:rPr>
        <w:t>%，机电产品及设备类下降</w:t>
      </w:r>
      <w:r>
        <w:rPr>
          <w:rFonts w:hint="eastAsia" w:ascii="Times New Roman" w:hAnsi="Times New Roman" w:eastAsia="方正仿宋_GBK" w:cs="Times New Roman"/>
          <w:color w:val="auto"/>
          <w:sz w:val="32"/>
          <w:szCs w:val="32"/>
          <w:lang w:val="en-US" w:eastAsia="zh-CN"/>
        </w:rPr>
        <w:t>28.5</w:t>
      </w:r>
      <w:r>
        <w:rPr>
          <w:rFonts w:ascii="Times New Roman" w:hAnsi="Times New Roman" w:eastAsia="方正仿宋_GBK" w:cs="Times New Roman"/>
          <w:color w:val="auto"/>
          <w:sz w:val="32"/>
          <w:szCs w:val="32"/>
        </w:rPr>
        <w:t>%，汽车类</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3.7</w:t>
      </w:r>
      <w:r>
        <w:rPr>
          <w:rFonts w:ascii="Times New Roman" w:hAnsi="Times New Roman" w:eastAsia="方正仿宋_GBK" w:cs="Times New Roman"/>
          <w:color w:val="auto"/>
          <w:sz w:val="32"/>
          <w:szCs w:val="32"/>
        </w:rPr>
        <w:t>%。</w:t>
      </w:r>
    </w:p>
    <w:p>
      <w:pPr>
        <w:pStyle w:val="3"/>
        <w:keepNext/>
        <w:spacing w:before="180" w:beforeLines="50" w:after="180" w:afterLines="50"/>
        <w:jc w:val="center"/>
        <w:rPr>
          <w:rFonts w:ascii="宋体" w:hAnsi="宋体" w:eastAsia="宋体" w:cs="Times New Roman"/>
          <w:b/>
          <w:color w:val="auto"/>
          <w:sz w:val="24"/>
          <w:szCs w:val="24"/>
        </w:rPr>
      </w:pPr>
      <w:r>
        <w:rPr>
          <w:rFonts w:ascii="宋体" w:hAnsi="宋体" w:eastAsia="宋体" w:cs="Times New Roman"/>
          <w:b/>
          <w:color w:val="auto"/>
          <w:sz w:val="24"/>
          <w:szCs w:val="24"/>
        </w:rPr>
        <w:t>图4  20</w:t>
      </w:r>
      <w:r>
        <w:rPr>
          <w:rFonts w:hint="eastAsia" w:ascii="宋体" w:hAnsi="宋体" w:eastAsia="宋体" w:cs="Times New Roman"/>
          <w:b/>
          <w:color w:val="auto"/>
          <w:sz w:val="24"/>
          <w:szCs w:val="24"/>
          <w:lang w:val="en-US" w:eastAsia="zh-CN"/>
        </w:rPr>
        <w:t>19</w:t>
      </w:r>
      <w:r>
        <w:rPr>
          <w:rFonts w:ascii="宋体" w:hAnsi="宋体" w:eastAsia="宋体" w:cs="Times New Roman"/>
          <w:b/>
          <w:color w:val="auto"/>
          <w:sz w:val="24"/>
          <w:szCs w:val="24"/>
        </w:rPr>
        <w:t>-202</w:t>
      </w:r>
      <w:r>
        <w:rPr>
          <w:rFonts w:hint="eastAsia" w:ascii="宋体" w:hAnsi="宋体" w:eastAsia="宋体" w:cs="Times New Roman"/>
          <w:b/>
          <w:color w:val="auto"/>
          <w:sz w:val="24"/>
          <w:szCs w:val="24"/>
          <w:lang w:val="en-US" w:eastAsia="zh-CN"/>
        </w:rPr>
        <w:t>3</w:t>
      </w:r>
      <w:r>
        <w:rPr>
          <w:rFonts w:ascii="宋体" w:hAnsi="宋体" w:eastAsia="宋体" w:cs="Times New Roman"/>
          <w:b/>
          <w:color w:val="auto"/>
          <w:sz w:val="24"/>
          <w:szCs w:val="24"/>
        </w:rPr>
        <w:t>年社会消费品零售总额</w:t>
      </w:r>
    </w:p>
    <w:p>
      <w:pPr>
        <w:spacing w:after="0"/>
        <w:jc w:val="both"/>
        <w:rPr>
          <w:color w:val="auto"/>
        </w:rPr>
      </w:pPr>
      <w:r>
        <w:rPr>
          <w:color w:val="auto"/>
        </w:rPr>
        <w:drawing>
          <wp:inline distT="0" distB="0" distL="0" distR="0">
            <wp:extent cx="5593715" cy="2756535"/>
            <wp:effectExtent l="0" t="0" r="6985" b="57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560" w:lineRule="exact"/>
        <w:ind w:firstLine="640" w:firstLineChars="200"/>
        <w:jc w:val="both"/>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全年实</w:t>
      </w:r>
      <w:r>
        <w:rPr>
          <w:rFonts w:hint="eastAsia" w:ascii="Times New Roman" w:hAnsi="Times New Roman" w:eastAsia="方正仿宋_GBK" w:cs="Times New Roman"/>
          <w:color w:val="auto"/>
          <w:sz w:val="32"/>
          <w:szCs w:val="32"/>
          <w:lang w:val="en-US" w:eastAsia="zh-CN"/>
        </w:rPr>
        <w:t>现电商交易额达48.62亿元，比上年增长10.0%。渝东南综合物流园仓储配送中心、新能源物流配送中心等项目建成投用，全县快递业务量增长33.2%。</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w:t>
      </w:r>
      <w:r>
        <w:rPr>
          <w:rFonts w:hint="eastAsia" w:ascii="Times New Roman" w:hAnsi="Times New Roman" w:eastAsia="方正仿宋_GBK" w:cs="Times New Roman"/>
          <w:color w:val="auto"/>
          <w:sz w:val="32"/>
          <w:szCs w:val="32"/>
          <w:lang w:eastAsia="zh-CN"/>
        </w:rPr>
        <w:t>外贸</w:t>
      </w:r>
      <w:r>
        <w:rPr>
          <w:rFonts w:ascii="Times New Roman" w:hAnsi="Times New Roman" w:eastAsia="方正仿宋_GBK" w:cs="Times New Roman"/>
          <w:color w:val="auto"/>
          <w:sz w:val="32"/>
          <w:szCs w:val="32"/>
        </w:rPr>
        <w:t>进出口总额</w:t>
      </w:r>
      <w:r>
        <w:rPr>
          <w:rFonts w:hint="eastAsia" w:ascii="Times New Roman" w:hAnsi="Times New Roman" w:eastAsia="方正仿宋_GBK" w:cs="Times New Roman"/>
          <w:color w:val="auto"/>
          <w:sz w:val="32"/>
          <w:szCs w:val="32"/>
          <w:lang w:val="en-US" w:eastAsia="zh-CN"/>
        </w:rPr>
        <w:t>23.60</w:t>
      </w:r>
      <w:r>
        <w:rPr>
          <w:rFonts w:ascii="Times New Roman" w:hAnsi="Times New Roman" w:eastAsia="方正仿宋_GBK" w:cs="Times New Roman"/>
          <w:color w:val="auto"/>
          <w:sz w:val="32"/>
          <w:szCs w:val="32"/>
        </w:rPr>
        <w:t>亿元，比上年</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29.0</w:t>
      </w:r>
      <w:r>
        <w:rPr>
          <w:rFonts w:ascii="Times New Roman" w:hAnsi="Times New Roman" w:eastAsia="方正仿宋_GBK" w:cs="Times New Roman"/>
          <w:color w:val="auto"/>
          <w:sz w:val="32"/>
          <w:szCs w:val="32"/>
        </w:rPr>
        <w:t>%。其中，出口</w:t>
      </w:r>
      <w:r>
        <w:rPr>
          <w:rFonts w:hint="eastAsia" w:ascii="Times New Roman" w:hAnsi="Times New Roman" w:eastAsia="方正仿宋_GBK" w:cs="Times New Roman"/>
          <w:color w:val="auto"/>
          <w:sz w:val="32"/>
          <w:szCs w:val="32"/>
          <w:lang w:val="en-US" w:eastAsia="zh-CN"/>
        </w:rPr>
        <w:t>0.20</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35.2</w:t>
      </w:r>
      <w:r>
        <w:rPr>
          <w:rFonts w:ascii="Times New Roman" w:hAnsi="Times New Roman" w:eastAsia="方正仿宋_GBK" w:cs="Times New Roman"/>
          <w:color w:val="auto"/>
          <w:sz w:val="32"/>
          <w:szCs w:val="32"/>
        </w:rPr>
        <w:t>%；进口</w:t>
      </w:r>
      <w:r>
        <w:rPr>
          <w:rFonts w:hint="eastAsia" w:ascii="Times New Roman" w:hAnsi="Times New Roman" w:eastAsia="方正仿宋_GBK" w:cs="Times New Roman"/>
          <w:color w:val="auto"/>
          <w:sz w:val="32"/>
          <w:szCs w:val="32"/>
          <w:lang w:val="en-US" w:eastAsia="zh-CN"/>
        </w:rPr>
        <w:t>23.4</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29.0</w:t>
      </w:r>
      <w:r>
        <w:rPr>
          <w:rFonts w:ascii="Times New Roman" w:hAnsi="Times New Roman" w:eastAsia="方正仿宋_GBK" w:cs="Times New Roman"/>
          <w:color w:val="auto"/>
          <w:sz w:val="32"/>
          <w:szCs w:val="32"/>
        </w:rPr>
        <w:t>%。</w:t>
      </w:r>
    </w:p>
    <w:p>
      <w:pPr>
        <w:spacing w:after="0" w:line="56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六、固定资产投资和房地产业</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全年完成全社会固定资产投资</w:t>
      </w:r>
      <w:r>
        <w:rPr>
          <w:rFonts w:hint="eastAsia" w:ascii="Times New Roman" w:hAnsi="Times New Roman" w:eastAsia="方正仿宋_GBK" w:cs="Times New Roman"/>
          <w:color w:val="auto"/>
          <w:sz w:val="32"/>
          <w:szCs w:val="32"/>
        </w:rPr>
        <w:t>总额</w:t>
      </w:r>
      <w:r>
        <w:rPr>
          <w:rFonts w:ascii="Times New Roman" w:hAnsi="Times New Roman" w:eastAsia="方正仿宋_GBK" w:cs="Times New Roman"/>
          <w:color w:val="auto"/>
          <w:sz w:val="32"/>
          <w:szCs w:val="32"/>
        </w:rPr>
        <w:t>比上年</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20.3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基础设施投资</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29.2</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工业投资</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35.0</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，民</w:t>
      </w:r>
      <w:r>
        <w:rPr>
          <w:rFonts w:ascii="Times New Roman" w:hAnsi="Times New Roman" w:eastAsia="方正仿宋_GBK" w:cs="Times New Roman"/>
          <w:color w:val="auto"/>
          <w:sz w:val="32"/>
          <w:szCs w:val="32"/>
        </w:rPr>
        <w:t>间投资</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11.3</w:t>
      </w:r>
      <w:r>
        <w:rPr>
          <w:rFonts w:ascii="Times New Roman" w:hAnsi="Times New Roman" w:eastAsia="方正仿宋_GBK" w:cs="Times New Roman"/>
          <w:color w:val="auto"/>
          <w:sz w:val="32"/>
          <w:szCs w:val="32"/>
        </w:rPr>
        <w:t>%。</w:t>
      </w:r>
    </w:p>
    <w:p>
      <w:pPr>
        <w:spacing w:after="0" w:line="560" w:lineRule="exact"/>
        <w:jc w:val="center"/>
        <w:rPr>
          <w:rFonts w:ascii="宋体" w:hAnsi="宋体" w:eastAsia="宋体" w:cs="Times New Roman"/>
          <w:b/>
          <w:bCs/>
          <w:color w:val="auto"/>
          <w:sz w:val="24"/>
        </w:rPr>
      </w:pPr>
      <w:r>
        <w:rPr>
          <w:rFonts w:ascii="宋体" w:hAnsi="宋体" w:eastAsia="宋体" w:cs="Times New Roman"/>
          <w:b/>
          <w:bCs/>
          <w:color w:val="auto"/>
          <w:sz w:val="24"/>
        </w:rPr>
        <w:t>表</w:t>
      </w:r>
      <w:r>
        <w:rPr>
          <w:rFonts w:hint="eastAsia" w:ascii="宋体" w:hAnsi="宋体" w:eastAsia="宋体" w:cs="Times New Roman"/>
          <w:b/>
          <w:bCs/>
          <w:color w:val="auto"/>
          <w:sz w:val="24"/>
          <w:lang w:val="en-US" w:eastAsia="zh-CN"/>
        </w:rPr>
        <w:t>5</w:t>
      </w:r>
      <w:r>
        <w:rPr>
          <w:rFonts w:ascii="宋体" w:hAnsi="宋体" w:eastAsia="宋体" w:cs="Times New Roman"/>
          <w:b/>
          <w:bCs/>
          <w:color w:val="auto"/>
          <w:sz w:val="24"/>
        </w:rPr>
        <w:t xml:space="preserve">  202</w:t>
      </w:r>
      <w:r>
        <w:rPr>
          <w:rFonts w:hint="eastAsia" w:ascii="宋体" w:hAnsi="宋体" w:eastAsia="宋体" w:cs="Times New Roman"/>
          <w:b/>
          <w:bCs/>
          <w:color w:val="auto"/>
          <w:sz w:val="24"/>
          <w:lang w:val="en-US" w:eastAsia="zh-CN"/>
        </w:rPr>
        <w:t>3</w:t>
      </w:r>
      <w:r>
        <w:rPr>
          <w:rFonts w:ascii="宋体" w:hAnsi="宋体" w:eastAsia="宋体" w:cs="Times New Roman"/>
          <w:b/>
          <w:bCs/>
          <w:color w:val="auto"/>
          <w:sz w:val="24"/>
        </w:rPr>
        <w:t>年</w:t>
      </w:r>
      <w:r>
        <w:rPr>
          <w:rFonts w:hint="eastAsia" w:ascii="宋体" w:hAnsi="宋体" w:eastAsia="宋体" w:cs="Times New Roman"/>
          <w:b/>
          <w:bCs/>
          <w:color w:val="auto"/>
          <w:sz w:val="24"/>
        </w:rPr>
        <w:t>按产业</w:t>
      </w:r>
      <w:r>
        <w:rPr>
          <w:rFonts w:ascii="宋体" w:hAnsi="宋体" w:eastAsia="宋体" w:cs="Times New Roman"/>
          <w:b/>
          <w:bCs/>
          <w:color w:val="auto"/>
          <w:sz w:val="24"/>
        </w:rPr>
        <w:t>分固定资产投资增长速度</w:t>
      </w:r>
    </w:p>
    <w:tbl>
      <w:tblPr>
        <w:tblStyle w:val="8"/>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1"/>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93" w:type="pct"/>
            <w:tcBorders>
              <w:top w:val="single" w:color="auto" w:sz="12" w:space="0"/>
              <w:left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指标名称</w:t>
            </w:r>
          </w:p>
        </w:tc>
        <w:tc>
          <w:tcPr>
            <w:tcW w:w="1406" w:type="pct"/>
            <w:tcBorders>
              <w:top w:val="single" w:color="auto" w:sz="12" w:space="0"/>
              <w:right w:val="nil"/>
            </w:tcBorders>
            <w:vAlign w:val="center"/>
          </w:tcPr>
          <w:p>
            <w:pPr>
              <w:spacing w:after="0" w:line="300" w:lineRule="exact"/>
              <w:jc w:val="center"/>
              <w:rPr>
                <w:rFonts w:ascii="Times New Roman" w:hAnsi="Times New Roman" w:cs="Times New Roman" w:eastAsiaTheme="minorEastAsia"/>
                <w:color w:val="auto"/>
                <w:spacing w:val="-2"/>
                <w:sz w:val="21"/>
                <w:szCs w:val="21"/>
              </w:rPr>
            </w:pPr>
            <w:r>
              <w:rPr>
                <w:rFonts w:ascii="Times New Roman" w:hAnsi="Times New Roman" w:cs="Times New Roman" w:eastAsiaTheme="minorEastAsia"/>
                <w:color w:val="auto"/>
                <w:spacing w:val="-2"/>
                <w:sz w:val="21"/>
                <w:szCs w:val="21"/>
              </w:rPr>
              <w:t>比</w:t>
            </w:r>
            <w:r>
              <w:rPr>
                <w:rFonts w:hint="eastAsia" w:ascii="Times New Roman" w:hAnsi="Times New Roman" w:cs="Times New Roman" w:eastAsiaTheme="minorEastAsia"/>
                <w:color w:val="auto"/>
                <w:spacing w:val="-2"/>
                <w:sz w:val="21"/>
                <w:szCs w:val="21"/>
              </w:rPr>
              <w:t>上年</w:t>
            </w:r>
            <w:r>
              <w:rPr>
                <w:rFonts w:ascii="Times New Roman" w:hAnsi="Times New Roman" w:cs="Times New Roman" w:eastAsiaTheme="minorEastAsia"/>
                <w:color w:val="auto"/>
                <w:spacing w:val="-2"/>
                <w:sz w:val="21"/>
                <w:szCs w:val="21"/>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left w:val="nil"/>
              <w:bottom w:val="nil"/>
            </w:tcBorders>
            <w:vAlign w:val="center"/>
          </w:tcPr>
          <w:p>
            <w:pPr>
              <w:spacing w:after="0" w:line="300" w:lineRule="exact"/>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全社会固定资产投资</w:t>
            </w:r>
          </w:p>
        </w:tc>
        <w:tc>
          <w:tcPr>
            <w:tcW w:w="1406" w:type="pct"/>
            <w:tcBorders>
              <w:bottom w:val="nil"/>
              <w:right w:val="nil"/>
            </w:tcBorders>
            <w:vAlign w:val="center"/>
          </w:tcPr>
          <w:p>
            <w:pPr>
              <w:spacing w:after="0" w:line="300" w:lineRule="exact"/>
              <w:jc w:val="right"/>
              <w:rPr>
                <w:rFonts w:hint="default" w:ascii="Times New Roman" w:hAnsi="Times New Roman" w:cs="Times New Roman" w:eastAsiaTheme="minorEastAsia"/>
                <w:b/>
                <w:color w:val="auto"/>
                <w:spacing w:val="-2"/>
                <w:sz w:val="21"/>
                <w:szCs w:val="21"/>
                <w:lang w:val="en-US" w:eastAsia="zh-CN"/>
              </w:rPr>
            </w:pPr>
            <w:r>
              <w:rPr>
                <w:rFonts w:hint="eastAsia" w:ascii="Times New Roman" w:hAnsi="Times New Roman" w:cs="Times New Roman" w:eastAsiaTheme="minorEastAsia"/>
                <w:b/>
                <w:color w:val="auto"/>
                <w:spacing w:val="-2"/>
                <w:sz w:val="21"/>
                <w:szCs w:val="21"/>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一、项目投资</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b/>
                <w:color w:val="auto"/>
                <w:sz w:val="21"/>
                <w:szCs w:val="21"/>
                <w:lang w:val="en-US" w:eastAsia="zh-CN"/>
              </w:rPr>
            </w:pPr>
            <w:r>
              <w:rPr>
                <w:rFonts w:hint="eastAsia" w:ascii="Times New Roman" w:hAnsi="Times New Roman" w:cs="Times New Roman" w:eastAsiaTheme="minorEastAsia"/>
                <w:b/>
                <w:color w:val="auto"/>
                <w:sz w:val="21"/>
                <w:szCs w:val="21"/>
                <w:lang w:val="en-US"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#农、林、牧、渔业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采矿业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制造业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电力、热力、燃气及水的生产和供应业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交通运输、仓储和邮政业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信息传输、软件和信息技术服务业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房地产业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水利、环境和公共设施管理业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居民服务和其他服务业</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教育</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卫生和社会工作</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公共管理和社会组织</w:t>
            </w:r>
          </w:p>
        </w:tc>
        <w:tc>
          <w:tcPr>
            <w:tcW w:w="1406"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3593" w:type="pct"/>
            <w:tcBorders>
              <w:top w:val="nil"/>
              <w:left w:val="nil"/>
              <w:bottom w:val="single" w:color="auto" w:sz="12" w:space="0"/>
            </w:tcBorders>
            <w:vAlign w:val="center"/>
          </w:tcPr>
          <w:p>
            <w:pPr>
              <w:spacing w:after="0" w:line="300" w:lineRule="exact"/>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二、房地产投资</w:t>
            </w:r>
          </w:p>
        </w:tc>
        <w:tc>
          <w:tcPr>
            <w:tcW w:w="1406" w:type="pct"/>
            <w:tcBorders>
              <w:top w:val="nil"/>
              <w:bottom w:val="single" w:color="auto" w:sz="12" w:space="0"/>
              <w:right w:val="nil"/>
            </w:tcBorders>
            <w:vAlign w:val="center"/>
          </w:tcPr>
          <w:p>
            <w:pPr>
              <w:spacing w:after="0" w:line="300" w:lineRule="exact"/>
              <w:jc w:val="right"/>
              <w:rPr>
                <w:rFonts w:hint="default" w:ascii="Times New Roman" w:hAnsi="Times New Roman" w:cs="Times New Roman" w:eastAsiaTheme="minorEastAsia"/>
                <w:b/>
                <w:color w:val="auto"/>
                <w:sz w:val="21"/>
                <w:szCs w:val="21"/>
                <w:lang w:val="en-US" w:eastAsia="zh-CN"/>
              </w:rPr>
            </w:pPr>
            <w:r>
              <w:rPr>
                <w:rFonts w:hint="eastAsia" w:ascii="Times New Roman" w:hAnsi="Times New Roman" w:cs="Times New Roman" w:eastAsiaTheme="minorEastAsia"/>
                <w:b/>
                <w:color w:val="auto"/>
                <w:sz w:val="21"/>
                <w:szCs w:val="21"/>
                <w:lang w:val="en-US" w:eastAsia="zh-CN"/>
              </w:rPr>
              <w:t>-3.4</w:t>
            </w:r>
          </w:p>
        </w:tc>
      </w:tr>
    </w:tbl>
    <w:p>
      <w:pPr>
        <w:spacing w:after="0"/>
        <w:rPr>
          <w:rFonts w:ascii="方正仿宋_GBK" w:eastAsia="方正仿宋_GBK"/>
          <w:color w:val="auto"/>
          <w:sz w:val="20"/>
          <w:szCs w:val="20"/>
        </w:rPr>
      </w:pPr>
      <w:r>
        <w:rPr>
          <w:rFonts w:hint="eastAsia" w:ascii="方正仿宋_GBK" w:eastAsia="方正仿宋_GBK"/>
          <w:color w:val="auto"/>
          <w:sz w:val="20"/>
          <w:szCs w:val="20"/>
        </w:rPr>
        <w:t>注：全社会固定资产投资总额增速不含跨区和农户数据。</w:t>
      </w:r>
    </w:p>
    <w:p>
      <w:pPr>
        <w:spacing w:after="0" w:line="560" w:lineRule="exact"/>
        <w:ind w:firstLine="632" w:firstLineChars="200"/>
        <w:jc w:val="both"/>
        <w:rPr>
          <w:rFonts w:ascii="Times New Roman" w:hAnsi="Times New Roman" w:eastAsia="方正仿宋_GBK" w:cs="Times New Roman"/>
          <w:color w:val="auto"/>
          <w:spacing w:val="-2"/>
          <w:sz w:val="32"/>
          <w:szCs w:val="32"/>
        </w:rPr>
      </w:pPr>
      <w:r>
        <w:rPr>
          <w:rFonts w:ascii="Times New Roman" w:hAnsi="Times New Roman" w:eastAsia="方正仿宋_GBK" w:cs="Times New Roman"/>
          <w:color w:val="auto"/>
          <w:spacing w:val="-2"/>
          <w:sz w:val="32"/>
          <w:szCs w:val="32"/>
        </w:rPr>
        <w:t>全年房地产开发投资</w:t>
      </w:r>
      <w:r>
        <w:rPr>
          <w:rFonts w:hint="eastAsia" w:ascii="Times New Roman" w:hAnsi="Times New Roman" w:eastAsia="方正仿宋_GBK" w:cs="Times New Roman"/>
          <w:color w:val="auto"/>
          <w:spacing w:val="-2"/>
          <w:sz w:val="32"/>
          <w:szCs w:val="32"/>
          <w:lang w:val="en-US" w:eastAsia="zh-CN"/>
        </w:rPr>
        <w:t>21.43</w:t>
      </w:r>
      <w:r>
        <w:rPr>
          <w:rFonts w:ascii="Times New Roman" w:hAnsi="Times New Roman" w:eastAsia="方正仿宋_GBK" w:cs="Times New Roman"/>
          <w:color w:val="auto"/>
          <w:spacing w:val="-2"/>
          <w:sz w:val="32"/>
          <w:szCs w:val="32"/>
        </w:rPr>
        <w:t>亿元，比上年下降</w:t>
      </w:r>
      <w:r>
        <w:rPr>
          <w:rFonts w:hint="eastAsia" w:ascii="Times New Roman" w:hAnsi="Times New Roman" w:eastAsia="方正仿宋_GBK" w:cs="Times New Roman"/>
          <w:color w:val="auto"/>
          <w:spacing w:val="-2"/>
          <w:sz w:val="32"/>
          <w:szCs w:val="32"/>
          <w:lang w:val="en-US" w:eastAsia="zh-CN"/>
        </w:rPr>
        <w:t>3.4</w:t>
      </w:r>
      <w:r>
        <w:rPr>
          <w:rFonts w:ascii="Times New Roman" w:hAnsi="Times New Roman" w:eastAsia="方正仿宋_GBK" w:cs="Times New Roman"/>
          <w:color w:val="auto"/>
          <w:spacing w:val="-2"/>
          <w:sz w:val="32"/>
          <w:szCs w:val="32"/>
        </w:rPr>
        <w:t>%。其中，住宅投资</w:t>
      </w:r>
      <w:r>
        <w:rPr>
          <w:rFonts w:hint="eastAsia" w:ascii="Times New Roman" w:hAnsi="Times New Roman" w:eastAsia="方正仿宋_GBK" w:cs="Times New Roman"/>
          <w:color w:val="auto"/>
          <w:spacing w:val="-2"/>
          <w:sz w:val="32"/>
          <w:szCs w:val="32"/>
          <w:lang w:val="en-US" w:eastAsia="zh-CN"/>
        </w:rPr>
        <w:t>18.00</w:t>
      </w:r>
      <w:r>
        <w:rPr>
          <w:rFonts w:ascii="Times New Roman" w:hAnsi="Times New Roman" w:eastAsia="方正仿宋_GBK" w:cs="Times New Roman"/>
          <w:color w:val="auto"/>
          <w:spacing w:val="-2"/>
          <w:sz w:val="32"/>
          <w:szCs w:val="32"/>
        </w:rPr>
        <w:t>亿元，</w:t>
      </w:r>
      <w:r>
        <w:rPr>
          <w:rFonts w:hint="eastAsia" w:ascii="Times New Roman" w:hAnsi="Times New Roman" w:eastAsia="方正仿宋_GBK" w:cs="Times New Roman"/>
          <w:color w:val="auto"/>
          <w:spacing w:val="-2"/>
          <w:sz w:val="32"/>
          <w:szCs w:val="32"/>
          <w:lang w:eastAsia="zh-CN"/>
        </w:rPr>
        <w:t>下降</w:t>
      </w:r>
      <w:r>
        <w:rPr>
          <w:rFonts w:hint="eastAsia" w:ascii="Times New Roman" w:hAnsi="Times New Roman" w:eastAsia="方正仿宋_GBK" w:cs="Times New Roman"/>
          <w:color w:val="auto"/>
          <w:spacing w:val="-2"/>
          <w:sz w:val="32"/>
          <w:szCs w:val="32"/>
          <w:lang w:val="en-US" w:eastAsia="zh-CN"/>
        </w:rPr>
        <w:t>4.5</w:t>
      </w:r>
      <w:r>
        <w:rPr>
          <w:rFonts w:ascii="Times New Roman" w:hAnsi="Times New Roman" w:eastAsia="方正仿宋_GBK" w:cs="Times New Roman"/>
          <w:color w:val="auto"/>
          <w:spacing w:val="-2"/>
          <w:sz w:val="32"/>
          <w:szCs w:val="32"/>
        </w:rPr>
        <w:t>%；办公楼投资</w:t>
      </w:r>
      <w:r>
        <w:rPr>
          <w:rFonts w:hint="eastAsia" w:ascii="Times New Roman" w:hAnsi="Times New Roman" w:eastAsia="方正仿宋_GBK" w:cs="Times New Roman"/>
          <w:color w:val="auto"/>
          <w:spacing w:val="-2"/>
          <w:sz w:val="32"/>
          <w:szCs w:val="32"/>
          <w:lang w:val="en-US" w:eastAsia="zh-CN"/>
        </w:rPr>
        <w:t>0.00</w:t>
      </w:r>
      <w:r>
        <w:rPr>
          <w:rFonts w:ascii="Times New Roman" w:hAnsi="Times New Roman" w:eastAsia="方正仿宋_GBK" w:cs="Times New Roman"/>
          <w:color w:val="auto"/>
          <w:spacing w:val="-2"/>
          <w:sz w:val="32"/>
          <w:szCs w:val="32"/>
        </w:rPr>
        <w:t>亿元；商业营业用房投资</w:t>
      </w:r>
      <w:r>
        <w:rPr>
          <w:rFonts w:hint="eastAsia" w:ascii="Times New Roman" w:hAnsi="Times New Roman" w:eastAsia="方正仿宋_GBK" w:cs="Times New Roman"/>
          <w:color w:val="auto"/>
          <w:spacing w:val="-2"/>
          <w:sz w:val="32"/>
          <w:szCs w:val="32"/>
          <w:lang w:val="en-US" w:eastAsia="zh-CN"/>
        </w:rPr>
        <w:t>1.31</w:t>
      </w:r>
      <w:r>
        <w:rPr>
          <w:rFonts w:ascii="Times New Roman" w:hAnsi="Times New Roman" w:eastAsia="方正仿宋_GBK" w:cs="Times New Roman"/>
          <w:color w:val="auto"/>
          <w:spacing w:val="-2"/>
          <w:sz w:val="32"/>
          <w:szCs w:val="32"/>
        </w:rPr>
        <w:t>亿元，</w:t>
      </w:r>
      <w:r>
        <w:rPr>
          <w:rFonts w:hint="eastAsia" w:ascii="Times New Roman" w:hAnsi="Times New Roman" w:eastAsia="方正仿宋_GBK" w:cs="Times New Roman"/>
          <w:color w:val="auto"/>
          <w:spacing w:val="-2"/>
          <w:sz w:val="32"/>
          <w:szCs w:val="32"/>
          <w:lang w:eastAsia="zh-CN"/>
        </w:rPr>
        <w:t>下降</w:t>
      </w:r>
      <w:r>
        <w:rPr>
          <w:rFonts w:hint="eastAsia" w:ascii="Times New Roman" w:hAnsi="Times New Roman" w:eastAsia="方正仿宋_GBK" w:cs="Times New Roman"/>
          <w:color w:val="auto"/>
          <w:spacing w:val="-2"/>
          <w:sz w:val="32"/>
          <w:szCs w:val="32"/>
          <w:lang w:val="en-US" w:eastAsia="zh-CN"/>
        </w:rPr>
        <w:t>37.8</w:t>
      </w:r>
      <w:r>
        <w:rPr>
          <w:rFonts w:ascii="Times New Roman" w:hAnsi="Times New Roman" w:eastAsia="方正仿宋_GBK" w:cs="Times New Roman"/>
          <w:color w:val="auto"/>
          <w:spacing w:val="-2"/>
          <w:sz w:val="32"/>
          <w:szCs w:val="32"/>
        </w:rPr>
        <w:t>%；其他类房屋投资</w:t>
      </w:r>
      <w:r>
        <w:rPr>
          <w:rFonts w:hint="eastAsia" w:ascii="Times New Roman" w:hAnsi="Times New Roman" w:eastAsia="方正仿宋_GBK" w:cs="Times New Roman"/>
          <w:color w:val="auto"/>
          <w:spacing w:val="-2"/>
          <w:sz w:val="32"/>
          <w:szCs w:val="32"/>
          <w:lang w:val="en-US" w:eastAsia="zh-CN"/>
        </w:rPr>
        <w:t>2.13</w:t>
      </w:r>
      <w:r>
        <w:rPr>
          <w:rFonts w:ascii="Times New Roman" w:hAnsi="Times New Roman" w:eastAsia="方正仿宋_GBK" w:cs="Times New Roman"/>
          <w:color w:val="auto"/>
          <w:spacing w:val="-2"/>
          <w:sz w:val="32"/>
          <w:szCs w:val="32"/>
        </w:rPr>
        <w:t>亿元，</w:t>
      </w:r>
      <w:r>
        <w:rPr>
          <w:rFonts w:hint="eastAsia" w:ascii="Times New Roman" w:hAnsi="Times New Roman" w:eastAsia="方正仿宋_GBK" w:cs="Times New Roman"/>
          <w:color w:val="auto"/>
          <w:spacing w:val="-2"/>
          <w:sz w:val="32"/>
          <w:szCs w:val="32"/>
          <w:lang w:eastAsia="zh-CN"/>
        </w:rPr>
        <w:t>增长</w:t>
      </w:r>
      <w:r>
        <w:rPr>
          <w:rFonts w:hint="eastAsia" w:ascii="Times New Roman" w:hAnsi="Times New Roman" w:eastAsia="方正仿宋_GBK" w:cs="Times New Roman"/>
          <w:color w:val="auto"/>
          <w:spacing w:val="-2"/>
          <w:sz w:val="32"/>
          <w:szCs w:val="32"/>
          <w:lang w:val="en-US" w:eastAsia="zh-CN"/>
        </w:rPr>
        <w:t>73.8</w:t>
      </w:r>
      <w:r>
        <w:rPr>
          <w:rFonts w:ascii="Times New Roman" w:hAnsi="Times New Roman" w:eastAsia="方正仿宋_GBK" w:cs="Times New Roman"/>
          <w:color w:val="auto"/>
          <w:spacing w:val="-2"/>
          <w:sz w:val="32"/>
          <w:szCs w:val="32"/>
        </w:rPr>
        <w:t>%。</w:t>
      </w:r>
      <w:r>
        <w:rPr>
          <w:rFonts w:hint="eastAsia" w:ascii="Times New Roman" w:hAnsi="Times New Roman" w:eastAsia="方正仿宋_GBK" w:cs="Times New Roman"/>
          <w:color w:val="auto"/>
          <w:spacing w:val="-2"/>
          <w:sz w:val="32"/>
          <w:szCs w:val="32"/>
          <w:lang w:eastAsia="zh-CN"/>
        </w:rPr>
        <w:t>全年</w:t>
      </w:r>
      <w:r>
        <w:rPr>
          <w:rFonts w:ascii="Times New Roman" w:hAnsi="Times New Roman" w:eastAsia="方正仿宋_GBK" w:cs="Times New Roman"/>
          <w:color w:val="auto"/>
          <w:spacing w:val="-2"/>
          <w:sz w:val="32"/>
          <w:szCs w:val="32"/>
        </w:rPr>
        <w:t>商品房</w:t>
      </w:r>
      <w:r>
        <w:rPr>
          <w:rFonts w:hint="eastAsia" w:ascii="Times New Roman" w:hAnsi="Times New Roman" w:eastAsia="方正仿宋_GBK" w:cs="Times New Roman"/>
          <w:color w:val="auto"/>
          <w:spacing w:val="-2"/>
          <w:sz w:val="32"/>
          <w:szCs w:val="32"/>
          <w:lang w:eastAsia="zh-CN"/>
        </w:rPr>
        <w:t>销售</w:t>
      </w:r>
      <w:r>
        <w:rPr>
          <w:rFonts w:ascii="Times New Roman" w:hAnsi="Times New Roman" w:eastAsia="方正仿宋_GBK" w:cs="Times New Roman"/>
          <w:color w:val="auto"/>
          <w:spacing w:val="-2"/>
          <w:sz w:val="32"/>
          <w:szCs w:val="32"/>
        </w:rPr>
        <w:t>面积</w:t>
      </w:r>
      <w:r>
        <w:rPr>
          <w:rFonts w:hint="eastAsia" w:ascii="Times New Roman" w:hAnsi="Times New Roman" w:eastAsia="方正仿宋_GBK" w:cs="Times New Roman"/>
          <w:color w:val="auto"/>
          <w:spacing w:val="-2"/>
          <w:sz w:val="32"/>
          <w:szCs w:val="32"/>
          <w:lang w:val="en-US" w:eastAsia="zh-CN"/>
        </w:rPr>
        <w:t>45.70</w:t>
      </w:r>
      <w:r>
        <w:rPr>
          <w:rFonts w:ascii="Times New Roman" w:hAnsi="Times New Roman" w:eastAsia="方正仿宋_GBK" w:cs="Times New Roman"/>
          <w:color w:val="auto"/>
          <w:spacing w:val="-2"/>
          <w:sz w:val="32"/>
          <w:szCs w:val="32"/>
        </w:rPr>
        <w:t>万平方米，</w:t>
      </w:r>
      <w:r>
        <w:rPr>
          <w:rFonts w:hint="eastAsia" w:ascii="Times New Roman" w:hAnsi="Times New Roman" w:eastAsia="方正仿宋_GBK" w:cs="Times New Roman"/>
          <w:color w:val="auto"/>
          <w:spacing w:val="-2"/>
          <w:sz w:val="32"/>
          <w:szCs w:val="32"/>
          <w:lang w:eastAsia="zh-CN"/>
        </w:rPr>
        <w:t>同比下降</w:t>
      </w:r>
      <w:r>
        <w:rPr>
          <w:rFonts w:hint="eastAsia" w:ascii="Times New Roman" w:hAnsi="Times New Roman" w:eastAsia="方正仿宋_GBK" w:cs="Times New Roman"/>
          <w:color w:val="auto"/>
          <w:spacing w:val="-2"/>
          <w:sz w:val="32"/>
          <w:szCs w:val="32"/>
          <w:lang w:val="en-US" w:eastAsia="zh-CN"/>
        </w:rPr>
        <w:t>14.9%，商品房屋销售金额21.84亿元，同比下降8.6%</w:t>
      </w:r>
      <w:r>
        <w:rPr>
          <w:rFonts w:ascii="Times New Roman" w:hAnsi="Times New Roman" w:eastAsia="方正仿宋_GBK" w:cs="Times New Roman"/>
          <w:color w:val="auto"/>
          <w:spacing w:val="-2"/>
          <w:sz w:val="32"/>
          <w:szCs w:val="32"/>
        </w:rPr>
        <w:t>。</w:t>
      </w:r>
    </w:p>
    <w:p>
      <w:pPr>
        <w:spacing w:after="0" w:line="560" w:lineRule="exact"/>
        <w:jc w:val="center"/>
        <w:rPr>
          <w:rFonts w:ascii="宋体" w:hAnsi="宋体" w:eastAsia="宋体" w:cs="Times New Roman"/>
          <w:b/>
          <w:color w:val="auto"/>
          <w:sz w:val="24"/>
        </w:rPr>
      </w:pPr>
      <w:r>
        <w:rPr>
          <w:rFonts w:ascii="宋体" w:hAnsi="宋体" w:eastAsia="宋体" w:cs="Times New Roman"/>
          <w:b/>
          <w:color w:val="auto"/>
          <w:sz w:val="24"/>
        </w:rPr>
        <w:t>表</w:t>
      </w:r>
      <w:r>
        <w:rPr>
          <w:rFonts w:hint="eastAsia" w:ascii="宋体" w:hAnsi="宋体" w:eastAsia="宋体" w:cs="Times New Roman"/>
          <w:b/>
          <w:color w:val="auto"/>
          <w:sz w:val="24"/>
          <w:lang w:val="en-US" w:eastAsia="zh-CN"/>
        </w:rPr>
        <w:t>6</w:t>
      </w:r>
      <w:r>
        <w:rPr>
          <w:rFonts w:ascii="宋体" w:hAnsi="宋体" w:eastAsia="宋体" w:cs="Times New Roman"/>
          <w:b/>
          <w:color w:val="auto"/>
          <w:sz w:val="24"/>
        </w:rPr>
        <w:t xml:space="preserve">  202</w:t>
      </w:r>
      <w:r>
        <w:rPr>
          <w:rFonts w:hint="eastAsia" w:ascii="宋体" w:hAnsi="宋体" w:eastAsia="宋体" w:cs="Times New Roman"/>
          <w:b/>
          <w:color w:val="auto"/>
          <w:sz w:val="24"/>
          <w:lang w:val="en-US" w:eastAsia="zh-CN"/>
        </w:rPr>
        <w:t>3</w:t>
      </w:r>
      <w:r>
        <w:rPr>
          <w:rFonts w:ascii="宋体" w:hAnsi="宋体" w:eastAsia="宋体" w:cs="Times New Roman"/>
          <w:b/>
          <w:color w:val="auto"/>
          <w:sz w:val="24"/>
        </w:rPr>
        <w:t>年房地产开发和销售主要指标及其增长速度</w:t>
      </w:r>
    </w:p>
    <w:tbl>
      <w:tblPr>
        <w:tblStyle w:val="8"/>
        <w:tblW w:w="4961"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842"/>
        <w:gridCol w:w="1687"/>
        <w:gridCol w:w="2280"/>
        <w:gridCol w:w="206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43" w:hRule="exact"/>
          <w:jc w:val="center"/>
        </w:trPr>
        <w:tc>
          <w:tcPr>
            <w:tcW w:w="1600" w:type="pct"/>
            <w:tcBorders>
              <w:top w:val="single" w:color="auto" w:sz="12" w:space="0"/>
              <w:left w:val="nil"/>
              <w:bottom w:val="single" w:color="auto" w:sz="4"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指</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标</w:t>
            </w:r>
          </w:p>
        </w:tc>
        <w:tc>
          <w:tcPr>
            <w:tcW w:w="950" w:type="pct"/>
            <w:tcBorders>
              <w:top w:val="single" w:color="auto" w:sz="12" w:space="0"/>
              <w:bottom w:val="single" w:color="auto" w:sz="4"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单位</w:t>
            </w:r>
          </w:p>
        </w:tc>
        <w:tc>
          <w:tcPr>
            <w:tcW w:w="1284" w:type="pct"/>
            <w:tcBorders>
              <w:top w:val="single" w:color="auto" w:sz="12" w:space="0"/>
              <w:bottom w:val="single" w:color="auto" w:sz="4"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绝对</w:t>
            </w:r>
            <w:r>
              <w:rPr>
                <w:rFonts w:hint="eastAsia" w:ascii="Times New Roman" w:hAnsi="Times New Roman" w:cs="Times New Roman" w:eastAsiaTheme="minorEastAsia"/>
                <w:color w:val="auto"/>
                <w:sz w:val="21"/>
                <w:szCs w:val="21"/>
              </w:rPr>
              <w:t>量</w:t>
            </w:r>
          </w:p>
        </w:tc>
        <w:tc>
          <w:tcPr>
            <w:tcW w:w="1164" w:type="pct"/>
            <w:tcBorders>
              <w:top w:val="single" w:color="auto" w:sz="12" w:space="0"/>
              <w:bottom w:val="single" w:color="auto" w:sz="4" w:space="0"/>
              <w:right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比上年增长（%）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single" w:color="auto" w:sz="4" w:space="0"/>
              <w:left w:val="nil"/>
              <w:bottom w:val="nil"/>
            </w:tcBorders>
            <w:vAlign w:val="center"/>
          </w:tcPr>
          <w:p>
            <w:pPr>
              <w:spacing w:after="0" w:line="30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投资总额</w:t>
            </w:r>
          </w:p>
        </w:tc>
        <w:tc>
          <w:tcPr>
            <w:tcW w:w="950" w:type="pct"/>
            <w:tcBorders>
              <w:top w:val="single" w:color="auto" w:sz="4" w:space="0"/>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亿元</w:t>
            </w:r>
          </w:p>
        </w:tc>
        <w:tc>
          <w:tcPr>
            <w:tcW w:w="1284" w:type="pct"/>
            <w:tcBorders>
              <w:top w:val="single" w:color="auto" w:sz="4" w:space="0"/>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21.43</w:t>
            </w:r>
          </w:p>
        </w:tc>
        <w:tc>
          <w:tcPr>
            <w:tcW w:w="1164" w:type="pct"/>
            <w:tcBorders>
              <w:top w:val="single" w:color="auto" w:sz="4" w:space="0"/>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亿元</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18.00</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房屋施工面积</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145.24</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-18.3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105.74</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-15.9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房屋新开工面积</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22.28</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17.68</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房屋竣工面积</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75.92</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71.5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58.33</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87.1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商品房销售面积</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45.70</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-14.9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29.12</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-14.7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商品房销售金额</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亿元</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21.84</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-8.6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亿元</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16.33</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-13.3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4" w:hRule="exact"/>
          <w:jc w:val="center"/>
        </w:trPr>
        <w:tc>
          <w:tcPr>
            <w:tcW w:w="1600" w:type="pct"/>
            <w:tcBorders>
              <w:top w:val="nil"/>
              <w:left w:val="nil"/>
              <w:bottom w:val="nil"/>
            </w:tcBorders>
            <w:vAlign w:val="center"/>
          </w:tcPr>
          <w:p>
            <w:pPr>
              <w:spacing w:after="0" w:line="300" w:lineRule="exact"/>
              <w:jc w:val="both"/>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待售面积</w:t>
            </w:r>
          </w:p>
        </w:tc>
        <w:tc>
          <w:tcPr>
            <w:tcW w:w="950" w:type="pct"/>
            <w:tcBorders>
              <w:top w:val="nil"/>
              <w:bottom w:val="nil"/>
            </w:tcBorders>
            <w:vAlign w:val="center"/>
          </w:tcPr>
          <w:p>
            <w:pPr>
              <w:spacing w:after="0" w:line="300" w:lineRule="exact"/>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28.46</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25.0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82" w:hRule="exact"/>
          <w:jc w:val="center"/>
        </w:trPr>
        <w:tc>
          <w:tcPr>
            <w:tcW w:w="1600" w:type="pct"/>
            <w:tcBorders>
              <w:top w:val="nil"/>
              <w:left w:val="nil"/>
              <w:bottom w:val="single" w:color="auto" w:sz="12" w:space="0"/>
            </w:tcBorders>
            <w:vAlign w:val="center"/>
          </w:tcPr>
          <w:p>
            <w:pPr>
              <w:spacing w:after="0" w:line="300" w:lineRule="exact"/>
              <w:ind w:firstLine="210" w:firstLineChars="100"/>
              <w:jc w:val="both"/>
              <w:rPr>
                <w:rFonts w:hint="eastAsia"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其中：</w:t>
            </w:r>
            <w:r>
              <w:rPr>
                <w:rFonts w:hint="eastAsia" w:ascii="Times New Roman" w:hAnsi="Times New Roman" w:cs="Times New Roman" w:eastAsiaTheme="minorEastAsia"/>
                <w:color w:val="auto"/>
                <w:sz w:val="21"/>
                <w:szCs w:val="21"/>
                <w:lang w:eastAsia="zh-CN"/>
              </w:rPr>
              <w:t>住在</w:t>
            </w:r>
          </w:p>
        </w:tc>
        <w:tc>
          <w:tcPr>
            <w:tcW w:w="950" w:type="pct"/>
            <w:tcBorders>
              <w:top w:val="nil"/>
              <w:bottom w:val="single" w:color="auto" w:sz="12" w:space="0"/>
            </w:tcBorders>
            <w:vAlign w:val="center"/>
          </w:tcPr>
          <w:p>
            <w:pPr>
              <w:spacing w:after="0" w:line="300" w:lineRule="exact"/>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万平方米</w:t>
            </w:r>
          </w:p>
        </w:tc>
        <w:tc>
          <w:tcPr>
            <w:tcW w:w="1284" w:type="pct"/>
            <w:tcBorders>
              <w:top w:val="nil"/>
              <w:bottom w:val="single" w:color="auto" w:sz="12"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6.74</w:t>
            </w:r>
          </w:p>
        </w:tc>
        <w:tc>
          <w:tcPr>
            <w:tcW w:w="1164" w:type="pct"/>
            <w:tcBorders>
              <w:top w:val="nil"/>
              <w:bottom w:val="single" w:color="auto" w:sz="12" w:space="0"/>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72.0</w:t>
            </w:r>
          </w:p>
        </w:tc>
      </w:tr>
    </w:tbl>
    <w:p>
      <w:pPr>
        <w:spacing w:after="0" w:line="56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七、</w:t>
      </w:r>
      <w:r>
        <w:rPr>
          <w:rFonts w:hint="eastAsia" w:ascii="方正黑体_GBK" w:hAnsi="宋体" w:eastAsia="方正黑体_GBK" w:cs="宋体"/>
          <w:color w:val="auto"/>
          <w:sz w:val="32"/>
          <w:szCs w:val="32"/>
          <w:highlight w:val="none"/>
        </w:rPr>
        <w:t>财政金融</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全年辖区内财政总收入</w:t>
      </w:r>
      <w:r>
        <w:rPr>
          <w:rFonts w:hint="eastAsia" w:ascii="Times New Roman" w:hAnsi="Times New Roman" w:eastAsia="方正仿宋_GBK" w:cs="Times New Roman"/>
          <w:color w:val="auto"/>
          <w:sz w:val="32"/>
          <w:szCs w:val="32"/>
          <w:lang w:val="en-US" w:eastAsia="zh-CN"/>
        </w:rPr>
        <w:t>36.14</w:t>
      </w:r>
      <w:r>
        <w:rPr>
          <w:rFonts w:ascii="Times New Roman" w:hAnsi="Times New Roman" w:eastAsia="方正仿宋_GBK" w:cs="Times New Roman"/>
          <w:color w:val="auto"/>
          <w:sz w:val="32"/>
          <w:szCs w:val="32"/>
        </w:rPr>
        <w:t>亿元，比上年</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31.2</w:t>
      </w:r>
      <w:r>
        <w:rPr>
          <w:rFonts w:ascii="Times New Roman" w:hAnsi="Times New Roman" w:eastAsia="方正仿宋_GBK" w:cs="Times New Roman"/>
          <w:color w:val="auto"/>
          <w:sz w:val="32"/>
          <w:szCs w:val="32"/>
        </w:rPr>
        <w:t>%；地方财政收入</w:t>
      </w:r>
      <w:r>
        <w:rPr>
          <w:rFonts w:hint="eastAsia" w:ascii="Times New Roman" w:hAnsi="Times New Roman" w:eastAsia="方正仿宋_GBK" w:cs="Times New Roman"/>
          <w:color w:val="auto"/>
          <w:sz w:val="32"/>
          <w:szCs w:val="32"/>
          <w:lang w:val="en-US" w:eastAsia="zh-CN"/>
        </w:rPr>
        <w:t>28.21</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36.4</w:t>
      </w:r>
      <w:r>
        <w:rPr>
          <w:rFonts w:ascii="Times New Roman" w:hAnsi="Times New Roman" w:eastAsia="方正仿宋_GBK" w:cs="Times New Roman"/>
          <w:color w:val="auto"/>
          <w:sz w:val="32"/>
          <w:szCs w:val="32"/>
        </w:rPr>
        <w:t>%；一般公共预算收入</w:t>
      </w:r>
      <w:r>
        <w:rPr>
          <w:rFonts w:hint="eastAsia" w:ascii="Times New Roman" w:hAnsi="Times New Roman" w:eastAsia="方正仿宋_GBK" w:cs="Times New Roman"/>
          <w:color w:val="auto"/>
          <w:sz w:val="32"/>
          <w:szCs w:val="32"/>
          <w:lang w:val="en-US" w:eastAsia="zh-CN"/>
        </w:rPr>
        <w:t>15.50</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19.9</w:t>
      </w:r>
      <w:r>
        <w:rPr>
          <w:rFonts w:ascii="Times New Roman" w:hAnsi="Times New Roman" w:eastAsia="方正仿宋_GBK" w:cs="Times New Roman"/>
          <w:color w:val="auto"/>
          <w:sz w:val="32"/>
          <w:szCs w:val="32"/>
        </w:rPr>
        <w:t>%，其中税收收入</w:t>
      </w:r>
      <w:r>
        <w:rPr>
          <w:rFonts w:hint="eastAsia" w:ascii="Times New Roman" w:hAnsi="Times New Roman" w:eastAsia="方正仿宋_GBK" w:cs="Times New Roman"/>
          <w:color w:val="auto"/>
          <w:sz w:val="32"/>
          <w:szCs w:val="32"/>
          <w:lang w:val="en-US" w:eastAsia="zh-CN"/>
        </w:rPr>
        <w:t>9.23</w:t>
      </w:r>
      <w:r>
        <w:rPr>
          <w:rFonts w:ascii="Times New Roman" w:hAnsi="Times New Roman" w:eastAsia="方正仿宋_GBK" w:cs="Times New Roman"/>
          <w:color w:val="auto"/>
          <w:sz w:val="32"/>
          <w:szCs w:val="32"/>
        </w:rPr>
        <w:t>亿元，增长</w:t>
      </w:r>
      <w:r>
        <w:rPr>
          <w:rFonts w:hint="eastAsia" w:ascii="Times New Roman" w:hAnsi="Times New Roman" w:eastAsia="方正仿宋_GBK" w:cs="Times New Roman"/>
          <w:color w:val="auto"/>
          <w:sz w:val="32"/>
          <w:szCs w:val="32"/>
          <w:lang w:val="en-US" w:eastAsia="zh-CN"/>
        </w:rPr>
        <w:t>15.2</w:t>
      </w:r>
      <w:r>
        <w:rPr>
          <w:rFonts w:ascii="Times New Roman" w:hAnsi="Times New Roman" w:eastAsia="方正仿宋_GBK" w:cs="Times New Roman"/>
          <w:color w:val="auto"/>
          <w:sz w:val="32"/>
          <w:szCs w:val="32"/>
        </w:rPr>
        <w:t>%。在税收收入中，增值税</w:t>
      </w:r>
      <w:r>
        <w:rPr>
          <w:rFonts w:hint="eastAsia" w:ascii="Times New Roman" w:hAnsi="Times New Roman" w:eastAsia="方正仿宋_GBK" w:cs="Times New Roman"/>
          <w:color w:val="auto"/>
          <w:sz w:val="32"/>
          <w:szCs w:val="32"/>
          <w:lang w:val="en-US" w:eastAsia="zh-CN"/>
        </w:rPr>
        <w:t>3.75</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33.9</w:t>
      </w:r>
      <w:r>
        <w:rPr>
          <w:rFonts w:ascii="Times New Roman" w:hAnsi="Times New Roman" w:eastAsia="方正仿宋_GBK" w:cs="Times New Roman"/>
          <w:color w:val="auto"/>
          <w:sz w:val="32"/>
          <w:szCs w:val="32"/>
        </w:rPr>
        <w:t>%；企业所得税</w:t>
      </w:r>
      <w:r>
        <w:rPr>
          <w:rFonts w:hint="eastAsia" w:ascii="Times New Roman" w:hAnsi="Times New Roman" w:eastAsia="方正仿宋_GBK" w:cs="Times New Roman"/>
          <w:color w:val="auto"/>
          <w:sz w:val="32"/>
          <w:szCs w:val="32"/>
          <w:lang w:val="en-US" w:eastAsia="zh-CN"/>
        </w:rPr>
        <w:t>1.30</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5.1</w:t>
      </w:r>
      <w:r>
        <w:rPr>
          <w:rFonts w:ascii="Times New Roman" w:hAnsi="Times New Roman" w:eastAsia="方正仿宋_GBK" w:cs="Times New Roman"/>
          <w:color w:val="auto"/>
          <w:sz w:val="32"/>
          <w:szCs w:val="32"/>
        </w:rPr>
        <w:t>%。全年地方财政支出</w:t>
      </w:r>
      <w:r>
        <w:rPr>
          <w:rFonts w:hint="eastAsia" w:ascii="Times New Roman" w:hAnsi="Times New Roman" w:eastAsia="方正仿宋_GBK" w:cs="Times New Roman"/>
          <w:color w:val="auto"/>
          <w:sz w:val="32"/>
          <w:szCs w:val="32"/>
          <w:lang w:val="en-US" w:eastAsia="zh-CN"/>
        </w:rPr>
        <w:t>96.91</w:t>
      </w:r>
      <w:r>
        <w:rPr>
          <w:rFonts w:ascii="Times New Roman" w:hAnsi="Times New Roman" w:eastAsia="方正仿宋_GBK" w:cs="Times New Roman"/>
          <w:color w:val="auto"/>
          <w:sz w:val="32"/>
          <w:szCs w:val="32"/>
        </w:rPr>
        <w:t>亿元，比上年</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20.9</w:t>
      </w:r>
      <w:r>
        <w:rPr>
          <w:rFonts w:ascii="Times New Roman" w:hAnsi="Times New Roman" w:eastAsia="方正仿宋_GBK" w:cs="Times New Roman"/>
          <w:color w:val="auto"/>
          <w:sz w:val="32"/>
          <w:szCs w:val="32"/>
        </w:rPr>
        <w:t>%，其中一般公共预算支出</w:t>
      </w:r>
      <w:r>
        <w:rPr>
          <w:rFonts w:hint="eastAsia" w:ascii="Times New Roman" w:hAnsi="Times New Roman" w:eastAsia="方正仿宋_GBK" w:cs="Times New Roman"/>
          <w:color w:val="auto"/>
          <w:sz w:val="32"/>
          <w:szCs w:val="32"/>
          <w:lang w:val="en-US" w:eastAsia="zh-CN"/>
        </w:rPr>
        <w:t>59.66</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6.3</w:t>
      </w:r>
      <w:r>
        <w:rPr>
          <w:rFonts w:ascii="Times New Roman" w:hAnsi="Times New Roman" w:eastAsia="方正仿宋_GBK" w:cs="Times New Roman"/>
          <w:color w:val="auto"/>
          <w:sz w:val="32"/>
          <w:szCs w:val="32"/>
        </w:rPr>
        <w:t>%；教育、社会保障和就业、卫生健康分别支出</w:t>
      </w:r>
      <w:r>
        <w:rPr>
          <w:rFonts w:hint="eastAsia" w:ascii="Times New Roman" w:hAnsi="Times New Roman" w:eastAsia="方正仿宋_GBK" w:cs="Times New Roman"/>
          <w:color w:val="auto"/>
          <w:sz w:val="32"/>
          <w:szCs w:val="32"/>
          <w:lang w:val="en-US" w:eastAsia="zh-CN"/>
        </w:rPr>
        <w:t>11.33</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val="en-US" w:eastAsia="zh-CN"/>
        </w:rPr>
        <w:t>9.06</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val="en-US" w:eastAsia="zh-CN"/>
        </w:rPr>
        <w:t>5.18</w:t>
      </w:r>
      <w:r>
        <w:rPr>
          <w:rFonts w:ascii="Times New Roman" w:hAnsi="Times New Roman" w:eastAsia="方正仿宋_GBK" w:cs="Times New Roman"/>
          <w:color w:val="auto"/>
          <w:sz w:val="32"/>
          <w:szCs w:val="32"/>
        </w:rPr>
        <w:t>亿元，分别增长</w:t>
      </w:r>
      <w:r>
        <w:rPr>
          <w:rFonts w:hint="eastAsia" w:ascii="Times New Roman" w:hAnsi="Times New Roman" w:eastAsia="方正仿宋_GBK" w:cs="Times New Roman"/>
          <w:color w:val="auto"/>
          <w:sz w:val="32"/>
          <w:szCs w:val="32"/>
          <w:lang w:val="en-US" w:eastAsia="zh-CN"/>
        </w:rPr>
        <w:t>0.7</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28.1</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25.9</w:t>
      </w:r>
      <w:r>
        <w:rPr>
          <w:rFonts w:ascii="Times New Roman" w:hAnsi="Times New Roman" w:eastAsia="方正仿宋_GBK" w:cs="Times New Roman"/>
          <w:color w:val="auto"/>
          <w:sz w:val="32"/>
          <w:szCs w:val="32"/>
        </w:rPr>
        <w:t>%。全县辖区税收收入累计完成</w:t>
      </w:r>
      <w:r>
        <w:rPr>
          <w:rFonts w:hint="eastAsia" w:ascii="Times New Roman" w:hAnsi="Times New Roman" w:eastAsia="方正仿宋_GBK" w:cs="Times New Roman"/>
          <w:color w:val="auto"/>
          <w:sz w:val="32"/>
          <w:szCs w:val="32"/>
          <w:lang w:val="en-US" w:eastAsia="zh-CN"/>
        </w:rPr>
        <w:t>16.19</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16.3</w:t>
      </w:r>
      <w:r>
        <w:rPr>
          <w:rFonts w:ascii="Times New Roman" w:hAnsi="Times New Roman" w:eastAsia="方正仿宋_GBK" w:cs="Times New Roman"/>
          <w:color w:val="auto"/>
          <w:sz w:val="32"/>
          <w:szCs w:val="32"/>
        </w:rPr>
        <w:t>%。</w:t>
      </w:r>
    </w:p>
    <w:p>
      <w:pPr>
        <w:spacing w:after="0" w:line="560" w:lineRule="exact"/>
        <w:jc w:val="center"/>
        <w:rPr>
          <w:rFonts w:ascii="宋体" w:hAnsi="宋体" w:eastAsia="宋体" w:cs="Times New Roman"/>
          <w:color w:val="auto"/>
          <w:sz w:val="24"/>
          <w:szCs w:val="24"/>
        </w:rPr>
      </w:pPr>
      <w:r>
        <w:rPr>
          <w:rFonts w:ascii="宋体" w:hAnsi="宋体" w:eastAsia="宋体" w:cs="Times New Roman"/>
          <w:b/>
          <w:color w:val="auto"/>
          <w:sz w:val="24"/>
          <w:szCs w:val="24"/>
        </w:rPr>
        <w:t>图5  201</w:t>
      </w:r>
      <w:r>
        <w:rPr>
          <w:rFonts w:hint="eastAsia" w:ascii="宋体" w:hAnsi="宋体" w:eastAsia="宋体" w:cs="Times New Roman"/>
          <w:b/>
          <w:color w:val="auto"/>
          <w:sz w:val="24"/>
          <w:szCs w:val="24"/>
          <w:lang w:val="en-US" w:eastAsia="zh-CN"/>
        </w:rPr>
        <w:t>9</w:t>
      </w:r>
      <w:r>
        <w:rPr>
          <w:rFonts w:ascii="宋体" w:hAnsi="宋体" w:eastAsia="宋体" w:cs="Times New Roman"/>
          <w:b/>
          <w:color w:val="auto"/>
          <w:sz w:val="24"/>
          <w:szCs w:val="24"/>
        </w:rPr>
        <w:t>-202</w:t>
      </w:r>
      <w:r>
        <w:rPr>
          <w:rFonts w:hint="eastAsia" w:ascii="宋体" w:hAnsi="宋体" w:eastAsia="宋体" w:cs="Times New Roman"/>
          <w:b/>
          <w:color w:val="auto"/>
          <w:sz w:val="24"/>
          <w:szCs w:val="24"/>
          <w:lang w:val="en-US" w:eastAsia="zh-CN"/>
        </w:rPr>
        <w:t>3</w:t>
      </w:r>
      <w:r>
        <w:rPr>
          <w:rFonts w:ascii="宋体" w:hAnsi="宋体" w:eastAsia="宋体" w:cs="Times New Roman"/>
          <w:b/>
          <w:color w:val="auto"/>
          <w:sz w:val="24"/>
          <w:szCs w:val="24"/>
        </w:rPr>
        <w:t>年全县一般公共预算收入及其增长速度</w:t>
      </w:r>
    </w:p>
    <w:p>
      <w:pPr>
        <w:spacing w:after="0"/>
        <w:jc w:val="center"/>
        <w:rPr>
          <w:color w:val="auto"/>
        </w:rPr>
      </w:pPr>
      <w:r>
        <w:rPr>
          <w:color w:val="auto"/>
        </w:rPr>
        <w:drawing>
          <wp:inline distT="0" distB="0" distL="0" distR="0">
            <wp:extent cx="5655310" cy="2502535"/>
            <wp:effectExtent l="0" t="0" r="2540" b="1206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0"/>
        <w:rPr>
          <w:rFonts w:ascii="方正仿宋_GBK" w:eastAsia="方正仿宋_GBK"/>
          <w:color w:val="auto"/>
          <w:spacing w:val="-10"/>
          <w:sz w:val="20"/>
          <w:szCs w:val="20"/>
        </w:rPr>
      </w:pPr>
      <w:r>
        <w:rPr>
          <w:rFonts w:hint="eastAsia" w:ascii="方正仿宋_GBK" w:eastAsia="方正仿宋_GBK"/>
          <w:color w:val="auto"/>
          <w:spacing w:val="-10"/>
          <w:sz w:val="20"/>
          <w:szCs w:val="20"/>
        </w:rPr>
        <w:t>注：2019年为同口径增速</w:t>
      </w:r>
      <w:r>
        <w:rPr>
          <w:rFonts w:hint="eastAsia" w:ascii="方正仿宋_GBK" w:eastAsia="方正仿宋_GBK"/>
          <w:color w:val="auto"/>
          <w:spacing w:val="-10"/>
          <w:sz w:val="20"/>
          <w:szCs w:val="20"/>
          <w:lang w:eastAsia="zh-CN"/>
        </w:rPr>
        <w:t>，</w:t>
      </w:r>
      <w:r>
        <w:rPr>
          <w:rFonts w:hint="eastAsia" w:ascii="方正仿宋_GBK" w:eastAsia="方正仿宋_GBK"/>
          <w:color w:val="auto"/>
          <w:spacing w:val="-10"/>
          <w:sz w:val="20"/>
          <w:szCs w:val="20"/>
          <w:lang w:val="en-US" w:eastAsia="zh-CN"/>
        </w:rPr>
        <w:t>2020-2023为同比增速</w:t>
      </w:r>
      <w:r>
        <w:rPr>
          <w:rFonts w:hint="eastAsia" w:ascii="方正仿宋_GBK" w:eastAsia="方正仿宋_GBK"/>
          <w:color w:val="auto"/>
          <w:spacing w:val="-10"/>
          <w:sz w:val="20"/>
          <w:szCs w:val="20"/>
        </w:rPr>
        <w:t>。</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年末全县金融机构各项存款余额</w:t>
      </w:r>
      <w:r>
        <w:rPr>
          <w:rFonts w:hint="eastAsia" w:ascii="Times New Roman" w:hAnsi="Times New Roman" w:eastAsia="方正仿宋_GBK" w:cs="Times New Roman"/>
          <w:color w:val="auto"/>
          <w:sz w:val="32"/>
          <w:szCs w:val="32"/>
          <w:lang w:val="en-US" w:eastAsia="zh-CN"/>
        </w:rPr>
        <w:t>361.29</w:t>
      </w:r>
      <w:r>
        <w:rPr>
          <w:rFonts w:ascii="Times New Roman" w:hAnsi="Times New Roman" w:eastAsia="方正仿宋_GBK" w:cs="Times New Roman"/>
          <w:color w:val="auto"/>
          <w:sz w:val="32"/>
          <w:szCs w:val="32"/>
        </w:rPr>
        <w:t>亿元，比年初增加</w:t>
      </w:r>
      <w:r>
        <w:rPr>
          <w:rFonts w:hint="eastAsia" w:ascii="Times New Roman" w:hAnsi="Times New Roman" w:eastAsia="方正仿宋_GBK" w:cs="Times New Roman"/>
          <w:color w:val="auto"/>
          <w:sz w:val="32"/>
          <w:szCs w:val="32"/>
          <w:lang w:val="en-US" w:eastAsia="zh-CN"/>
        </w:rPr>
        <w:t>44.14</w:t>
      </w:r>
      <w:r>
        <w:rPr>
          <w:rFonts w:ascii="Times New Roman" w:hAnsi="Times New Roman" w:eastAsia="方正仿宋_GBK" w:cs="Times New Roman"/>
          <w:color w:val="auto"/>
          <w:sz w:val="32"/>
          <w:szCs w:val="32"/>
        </w:rPr>
        <w:t>亿元，其中住户存款</w:t>
      </w:r>
      <w:r>
        <w:rPr>
          <w:rFonts w:hint="eastAsia" w:ascii="Times New Roman" w:hAnsi="Times New Roman" w:eastAsia="方正仿宋_GBK" w:cs="Times New Roman"/>
          <w:color w:val="auto"/>
          <w:sz w:val="32"/>
          <w:szCs w:val="32"/>
          <w:lang w:val="en-US" w:eastAsia="zh-CN"/>
        </w:rPr>
        <w:t>299.56</w:t>
      </w:r>
      <w:r>
        <w:rPr>
          <w:rFonts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比年初</w:t>
      </w:r>
      <w:r>
        <w:rPr>
          <w:rFonts w:ascii="Times New Roman" w:hAnsi="Times New Roman" w:eastAsia="方正仿宋_GBK" w:cs="Times New Roman"/>
          <w:color w:val="auto"/>
          <w:sz w:val="32"/>
          <w:szCs w:val="32"/>
        </w:rPr>
        <w:t>增加</w:t>
      </w:r>
      <w:r>
        <w:rPr>
          <w:rFonts w:hint="eastAsia" w:ascii="Times New Roman" w:hAnsi="Times New Roman" w:eastAsia="方正仿宋_GBK" w:cs="Times New Roman"/>
          <w:color w:val="auto"/>
          <w:sz w:val="32"/>
          <w:szCs w:val="32"/>
          <w:lang w:val="en-US" w:eastAsia="zh-CN"/>
        </w:rPr>
        <w:t>34.95</w:t>
      </w:r>
      <w:r>
        <w:rPr>
          <w:rFonts w:ascii="Times New Roman" w:hAnsi="Times New Roman" w:eastAsia="方正仿宋_GBK" w:cs="Times New Roman"/>
          <w:color w:val="auto"/>
          <w:sz w:val="32"/>
          <w:szCs w:val="32"/>
        </w:rPr>
        <w:t>亿元；金融机构各项贷款余额</w:t>
      </w:r>
      <w:r>
        <w:rPr>
          <w:rFonts w:hint="eastAsia" w:ascii="Times New Roman" w:hAnsi="Times New Roman" w:eastAsia="方正仿宋_GBK" w:cs="Times New Roman"/>
          <w:color w:val="auto"/>
          <w:sz w:val="32"/>
          <w:szCs w:val="32"/>
          <w:lang w:val="en-US" w:eastAsia="zh-CN"/>
        </w:rPr>
        <w:t>296.53</w:t>
      </w:r>
      <w:r>
        <w:rPr>
          <w:rFonts w:ascii="Times New Roman" w:hAnsi="Times New Roman" w:eastAsia="方正仿宋_GBK" w:cs="Times New Roman"/>
          <w:color w:val="auto"/>
          <w:sz w:val="32"/>
          <w:szCs w:val="32"/>
        </w:rPr>
        <w:t>亿元，比年初增加</w:t>
      </w:r>
      <w:r>
        <w:rPr>
          <w:rFonts w:hint="eastAsia" w:ascii="Times New Roman" w:hAnsi="Times New Roman" w:eastAsia="方正仿宋_GBK" w:cs="Times New Roman"/>
          <w:color w:val="auto"/>
          <w:sz w:val="32"/>
          <w:szCs w:val="32"/>
          <w:lang w:val="en-US" w:eastAsia="zh-CN"/>
        </w:rPr>
        <w:t>36.95</w:t>
      </w:r>
      <w:r>
        <w:rPr>
          <w:rFonts w:ascii="Times New Roman" w:hAnsi="Times New Roman" w:eastAsia="方正仿宋_GBK" w:cs="Times New Roman"/>
          <w:color w:val="auto"/>
          <w:sz w:val="32"/>
          <w:szCs w:val="32"/>
        </w:rPr>
        <w:t>亿元。年末金融机构不良贷款余额</w:t>
      </w:r>
      <w:r>
        <w:rPr>
          <w:rFonts w:hint="eastAsia" w:ascii="Times New Roman" w:hAnsi="Times New Roman" w:eastAsia="方正仿宋_GBK" w:cs="Times New Roman"/>
          <w:color w:val="auto"/>
          <w:sz w:val="32"/>
          <w:szCs w:val="32"/>
          <w:lang w:val="en-US" w:eastAsia="zh-CN"/>
        </w:rPr>
        <w:t>3.61</w:t>
      </w:r>
      <w:r>
        <w:rPr>
          <w:rFonts w:ascii="Times New Roman" w:hAnsi="Times New Roman" w:eastAsia="方正仿宋_GBK" w:cs="Times New Roman"/>
          <w:color w:val="auto"/>
          <w:sz w:val="32"/>
          <w:szCs w:val="32"/>
        </w:rPr>
        <w:t>亿元，不良贷款率为</w:t>
      </w:r>
      <w:r>
        <w:rPr>
          <w:rFonts w:hint="eastAsia" w:ascii="Times New Roman" w:hAnsi="Times New Roman" w:eastAsia="方正仿宋_GBK" w:cs="Times New Roman"/>
          <w:color w:val="auto"/>
          <w:sz w:val="32"/>
          <w:szCs w:val="32"/>
          <w:lang w:val="en-US" w:eastAsia="zh-CN"/>
        </w:rPr>
        <w:t>1.21</w:t>
      </w:r>
      <w:r>
        <w:rPr>
          <w:rFonts w:ascii="Times New Roman" w:hAnsi="Times New Roman" w:eastAsia="方正仿宋_GBK" w:cs="Times New Roman"/>
          <w:color w:val="auto"/>
          <w:sz w:val="32"/>
          <w:szCs w:val="32"/>
        </w:rPr>
        <w:t>%，比上年</w:t>
      </w:r>
      <w:r>
        <w:rPr>
          <w:rFonts w:hint="eastAsia" w:ascii="Times New Roman" w:hAnsi="Times New Roman" w:eastAsia="方正仿宋_GBK" w:cs="Times New Roman"/>
          <w:color w:val="auto"/>
          <w:sz w:val="32"/>
          <w:szCs w:val="32"/>
          <w:lang w:eastAsia="zh-CN"/>
        </w:rPr>
        <w:t>上升</w:t>
      </w:r>
      <w:r>
        <w:rPr>
          <w:rFonts w:hint="eastAsia" w:ascii="Times New Roman" w:hAnsi="Times New Roman" w:eastAsia="方正仿宋_GBK" w:cs="Times New Roman"/>
          <w:color w:val="auto"/>
          <w:sz w:val="32"/>
          <w:szCs w:val="32"/>
          <w:lang w:val="en-US" w:eastAsia="zh-CN"/>
        </w:rPr>
        <w:t>0.16</w:t>
      </w:r>
      <w:r>
        <w:rPr>
          <w:rFonts w:ascii="Times New Roman" w:hAnsi="Times New Roman" w:eastAsia="方正仿宋_GBK" w:cs="Times New Roman"/>
          <w:color w:val="auto"/>
          <w:sz w:val="32"/>
          <w:szCs w:val="32"/>
        </w:rPr>
        <w:t>个百分点。</w:t>
      </w:r>
    </w:p>
    <w:p>
      <w:pPr>
        <w:spacing w:after="0" w:line="560" w:lineRule="exact"/>
        <w:jc w:val="center"/>
        <w:rPr>
          <w:rFonts w:ascii="宋体" w:hAnsi="宋体" w:eastAsia="宋体" w:cs="宋体"/>
          <w:b/>
          <w:bCs/>
          <w:color w:val="auto"/>
          <w:sz w:val="24"/>
        </w:rPr>
      </w:pPr>
      <w:r>
        <w:rPr>
          <w:rFonts w:hint="eastAsia" w:ascii="宋体" w:hAnsi="宋体" w:eastAsia="宋体" w:cs="宋体"/>
          <w:b/>
          <w:bCs/>
          <w:color w:val="auto"/>
          <w:sz w:val="24"/>
        </w:rPr>
        <w:t>表</w:t>
      </w:r>
      <w:r>
        <w:rPr>
          <w:rFonts w:hint="eastAsia" w:ascii="宋体" w:hAnsi="宋体" w:eastAsia="宋体" w:cs="宋体"/>
          <w:b/>
          <w:bCs/>
          <w:color w:val="auto"/>
          <w:sz w:val="24"/>
          <w:lang w:val="en-US" w:eastAsia="zh-CN"/>
        </w:rPr>
        <w:t>7</w:t>
      </w:r>
      <w:r>
        <w:rPr>
          <w:rFonts w:ascii="宋体" w:hAnsi="宋体" w:eastAsia="宋体" w:cs="宋体"/>
          <w:b/>
          <w:bCs/>
          <w:color w:val="auto"/>
          <w:sz w:val="24"/>
        </w:rPr>
        <w:t xml:space="preserve">  20</w:t>
      </w: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年末金融机构各项存贷款余额及其增长速度</w:t>
      </w:r>
    </w:p>
    <w:tbl>
      <w:tblPr>
        <w:tblStyle w:val="8"/>
        <w:tblW w:w="5000" w:type="pct"/>
        <w:jc w:val="center"/>
        <w:tblLayout w:type="autofit"/>
        <w:tblCellMar>
          <w:top w:w="0" w:type="dxa"/>
          <w:left w:w="108" w:type="dxa"/>
          <w:bottom w:w="0" w:type="dxa"/>
          <w:right w:w="108" w:type="dxa"/>
        </w:tblCellMar>
      </w:tblPr>
      <w:tblGrid>
        <w:gridCol w:w="3609"/>
        <w:gridCol w:w="2689"/>
        <w:gridCol w:w="2648"/>
      </w:tblGrid>
      <w:tr>
        <w:tblPrEx>
          <w:tblCellMar>
            <w:top w:w="0" w:type="dxa"/>
            <w:left w:w="108" w:type="dxa"/>
            <w:bottom w:w="0" w:type="dxa"/>
            <w:right w:w="108" w:type="dxa"/>
          </w:tblCellMar>
        </w:tblPrEx>
        <w:trPr>
          <w:trHeight w:val="475" w:hRule="exact"/>
          <w:jc w:val="center"/>
        </w:trPr>
        <w:tc>
          <w:tcPr>
            <w:tcW w:w="2017" w:type="pct"/>
            <w:tcBorders>
              <w:top w:val="single" w:color="auto" w:sz="12"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指</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标</w:t>
            </w:r>
          </w:p>
        </w:tc>
        <w:tc>
          <w:tcPr>
            <w:tcW w:w="1503" w:type="pct"/>
            <w:tcBorders>
              <w:top w:val="single" w:color="auto" w:sz="12"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3</w:t>
            </w:r>
            <w:r>
              <w:rPr>
                <w:rFonts w:ascii="Times New Roman" w:hAnsi="Times New Roman" w:eastAsia="宋体" w:cs="Times New Roman"/>
                <w:color w:val="auto"/>
                <w:sz w:val="21"/>
                <w:szCs w:val="21"/>
              </w:rPr>
              <w:t>年末（亿元）</w:t>
            </w:r>
          </w:p>
        </w:tc>
        <w:tc>
          <w:tcPr>
            <w:tcW w:w="1480" w:type="pct"/>
            <w:tcBorders>
              <w:top w:val="single" w:color="auto" w:sz="12" w:space="0"/>
              <w:left w:val="nil"/>
              <w:bottom w:val="single" w:color="auto" w:sz="8" w:space="0"/>
              <w:right w:val="nil"/>
            </w:tcBorders>
            <w:vAlign w:val="center"/>
          </w:tcPr>
          <w:p>
            <w:pPr>
              <w:spacing w:before="100" w:beforeAutospacing="1" w:after="100" w:afterAutospacing="1"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比上年末增长（%）</w:t>
            </w:r>
          </w:p>
        </w:tc>
      </w:tr>
      <w:tr>
        <w:tblPrEx>
          <w:tblCellMar>
            <w:top w:w="0" w:type="dxa"/>
            <w:left w:w="108" w:type="dxa"/>
            <w:bottom w:w="0" w:type="dxa"/>
            <w:right w:w="108" w:type="dxa"/>
          </w:tblCellMar>
        </w:tblPrEx>
        <w:trPr>
          <w:trHeight w:val="408" w:hRule="exact"/>
          <w:jc w:val="center"/>
        </w:trPr>
        <w:tc>
          <w:tcPr>
            <w:tcW w:w="2017" w:type="pct"/>
            <w:tcBorders>
              <w:top w:val="single" w:color="auto" w:sz="8" w:space="0"/>
              <w:left w:val="nil"/>
              <w:bottom w:val="nil"/>
              <w:right w:val="single" w:color="auto" w:sz="8" w:space="0"/>
            </w:tcBorders>
            <w:vAlign w:val="center"/>
          </w:tcPr>
          <w:p>
            <w:pPr>
              <w:spacing w:after="0" w:line="300" w:lineRule="exact"/>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 xml:space="preserve">各项存款余额 </w:t>
            </w:r>
          </w:p>
        </w:tc>
        <w:tc>
          <w:tcPr>
            <w:tcW w:w="1503" w:type="pct"/>
            <w:tcBorders>
              <w:top w:val="single" w:color="auto" w:sz="8" w:space="0"/>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361.29</w:t>
            </w:r>
          </w:p>
        </w:tc>
        <w:tc>
          <w:tcPr>
            <w:tcW w:w="1480" w:type="pct"/>
            <w:tcBorders>
              <w:top w:val="single" w:color="auto" w:sz="8" w:space="0"/>
              <w:left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13.9</w:t>
            </w:r>
          </w:p>
        </w:tc>
      </w:tr>
      <w:tr>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住户存款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299.56</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13.2</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非金融企业存款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22.09</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5.3</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广义政府存款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39.60</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25.5</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#财政性存款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7.14</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53.6</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各项贷款余额</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296.53</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1.3</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住户贷款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130.32</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3.8</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 xml:space="preserve"> #短期贷款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36.74</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23.6</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中长期贷款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93.58</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-2.3</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非金融企业及机关团体贷款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166.21</w:t>
            </w:r>
          </w:p>
        </w:tc>
        <w:tc>
          <w:tcPr>
            <w:tcW w:w="1480" w:type="pct"/>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-0.7</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#短期贷款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19.83</w:t>
            </w:r>
          </w:p>
        </w:tc>
        <w:tc>
          <w:tcPr>
            <w:tcW w:w="1480" w:type="pct"/>
            <w:tcBorders>
              <w:top w:val="nil"/>
              <w:left w:val="nil"/>
              <w:bottom w:val="nil"/>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-0.5</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        </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中长期贷款</w:t>
            </w:r>
          </w:p>
        </w:tc>
        <w:tc>
          <w:tcPr>
            <w:tcW w:w="1503" w:type="pct"/>
            <w:tcBorders>
              <w:top w:val="nil"/>
              <w:left w:val="nil"/>
              <w:bottom w:val="single" w:color="auto" w:sz="12" w:space="0"/>
              <w:right w:val="single" w:color="auto" w:sz="8" w:space="0"/>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135.81</w:t>
            </w:r>
          </w:p>
        </w:tc>
        <w:tc>
          <w:tcPr>
            <w:tcW w:w="1480" w:type="pct"/>
            <w:tcBorders>
              <w:top w:val="nil"/>
              <w:left w:val="nil"/>
              <w:bottom w:val="single" w:color="auto" w:sz="12" w:space="0"/>
              <w:right w:val="nil"/>
            </w:tcBorders>
            <w:vAlign w:val="center"/>
          </w:tcPr>
          <w:p>
            <w:pPr>
              <w:spacing w:after="0" w:line="300" w:lineRule="exact"/>
              <w:jc w:val="righ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12.7</w:t>
            </w:r>
          </w:p>
        </w:tc>
      </w:tr>
    </w:tbl>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年末，全县共有保险机构1</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家，全年完成保费总收入</w:t>
      </w:r>
      <w:r>
        <w:rPr>
          <w:rFonts w:hint="eastAsia" w:ascii="Times New Roman" w:hAnsi="Times New Roman" w:eastAsia="方正仿宋_GBK" w:cs="Times New Roman"/>
          <w:color w:val="auto"/>
          <w:sz w:val="32"/>
          <w:szCs w:val="32"/>
          <w:lang w:val="en-US" w:eastAsia="zh-CN"/>
        </w:rPr>
        <w:t>7.70</w:t>
      </w:r>
      <w:r>
        <w:rPr>
          <w:rFonts w:ascii="Times New Roman" w:hAnsi="Times New Roman" w:eastAsia="方正仿宋_GBK" w:cs="Times New Roman"/>
          <w:color w:val="auto"/>
          <w:sz w:val="32"/>
          <w:szCs w:val="32"/>
        </w:rPr>
        <w:t>亿元。全县理赔各类保险金</w:t>
      </w:r>
      <w:r>
        <w:rPr>
          <w:rFonts w:hint="eastAsia" w:ascii="Times New Roman" w:hAnsi="Times New Roman" w:eastAsia="方正仿宋_GBK" w:cs="Times New Roman"/>
          <w:color w:val="auto"/>
          <w:sz w:val="32"/>
          <w:szCs w:val="32"/>
          <w:lang w:val="en-US" w:eastAsia="zh-CN"/>
        </w:rPr>
        <w:t>3.31</w:t>
      </w:r>
      <w:r>
        <w:rPr>
          <w:rFonts w:ascii="Times New Roman" w:hAnsi="Times New Roman" w:eastAsia="方正仿宋_GBK" w:cs="Times New Roman"/>
          <w:color w:val="auto"/>
          <w:sz w:val="32"/>
          <w:szCs w:val="32"/>
        </w:rPr>
        <w:t>亿元。</w:t>
      </w:r>
    </w:p>
    <w:p>
      <w:pPr>
        <w:spacing w:after="0" w:line="56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八、居民收入消费和社会保障</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全年全</w:t>
      </w:r>
      <w:r>
        <w:rPr>
          <w:rFonts w:ascii="Times New Roman" w:hAnsi="Times New Roman" w:eastAsia="方正仿宋_GBK" w:cs="Times New Roman"/>
          <w:color w:val="auto"/>
          <w:spacing w:val="-4"/>
          <w:sz w:val="32"/>
          <w:szCs w:val="32"/>
        </w:rPr>
        <w:t>县常住居民人均可支配收入</w:t>
      </w:r>
      <w:r>
        <w:rPr>
          <w:rFonts w:hint="eastAsia" w:ascii="Times New Roman" w:hAnsi="Times New Roman" w:eastAsia="方正仿宋_GBK" w:cs="Times New Roman"/>
          <w:color w:val="auto"/>
          <w:spacing w:val="-4"/>
          <w:sz w:val="32"/>
          <w:szCs w:val="32"/>
          <w:lang w:val="en-US" w:eastAsia="zh-CN"/>
        </w:rPr>
        <w:t>33286</w:t>
      </w:r>
      <w:r>
        <w:rPr>
          <w:rFonts w:ascii="Times New Roman" w:hAnsi="Times New Roman" w:eastAsia="方正仿宋_GBK" w:cs="Times New Roman"/>
          <w:color w:val="auto"/>
          <w:spacing w:val="-4"/>
          <w:sz w:val="32"/>
          <w:szCs w:val="32"/>
        </w:rPr>
        <w:t>元，比上年增长</w:t>
      </w:r>
      <w:r>
        <w:rPr>
          <w:rFonts w:hint="eastAsia" w:ascii="Times New Roman" w:hAnsi="Times New Roman" w:eastAsia="方正仿宋_GBK" w:cs="Times New Roman"/>
          <w:color w:val="auto"/>
          <w:spacing w:val="-4"/>
          <w:sz w:val="32"/>
          <w:szCs w:val="32"/>
          <w:lang w:val="en-US" w:eastAsia="zh-CN"/>
        </w:rPr>
        <w:t>5.4</w:t>
      </w:r>
      <w:r>
        <w:rPr>
          <w:rFonts w:ascii="Times New Roman" w:hAnsi="Times New Roman" w:eastAsia="方正仿宋_GBK" w:cs="Times New Roman"/>
          <w:color w:val="auto"/>
          <w:spacing w:val="-4"/>
          <w:sz w:val="32"/>
          <w:szCs w:val="32"/>
        </w:rPr>
        <w:t>%。按常住地分，城镇居民人均可支配收入</w:t>
      </w:r>
      <w:r>
        <w:rPr>
          <w:rFonts w:hint="eastAsia" w:ascii="Times New Roman" w:hAnsi="Times New Roman" w:eastAsia="方正仿宋_GBK" w:cs="Times New Roman"/>
          <w:color w:val="auto"/>
          <w:spacing w:val="-4"/>
          <w:sz w:val="32"/>
          <w:szCs w:val="32"/>
          <w:lang w:val="en-US" w:eastAsia="zh-CN"/>
        </w:rPr>
        <w:t>42630</w:t>
      </w:r>
      <w:r>
        <w:rPr>
          <w:rFonts w:ascii="Times New Roman" w:hAnsi="Times New Roman" w:eastAsia="方正仿宋_GBK" w:cs="Times New Roman"/>
          <w:color w:val="auto"/>
          <w:spacing w:val="-4"/>
          <w:sz w:val="32"/>
          <w:szCs w:val="32"/>
        </w:rPr>
        <w:t>元，增长</w:t>
      </w:r>
      <w:r>
        <w:rPr>
          <w:rFonts w:hint="eastAsia" w:ascii="Times New Roman" w:hAnsi="Times New Roman" w:eastAsia="方正仿宋_GBK" w:cs="Times New Roman"/>
          <w:color w:val="auto"/>
          <w:spacing w:val="-4"/>
          <w:sz w:val="32"/>
          <w:szCs w:val="32"/>
          <w:lang w:val="en-US" w:eastAsia="zh-CN"/>
        </w:rPr>
        <w:t>4.3</w:t>
      </w:r>
      <w:r>
        <w:rPr>
          <w:rFonts w:ascii="Times New Roman" w:hAnsi="Times New Roman" w:eastAsia="方正仿宋_GBK" w:cs="Times New Roman"/>
          <w:color w:val="auto"/>
          <w:spacing w:val="-4"/>
          <w:sz w:val="32"/>
          <w:szCs w:val="32"/>
        </w:rPr>
        <w:t>%；农村居民人均可支配收入</w:t>
      </w:r>
      <w:r>
        <w:rPr>
          <w:rFonts w:hint="eastAsia" w:ascii="Times New Roman" w:hAnsi="Times New Roman" w:eastAsia="方正仿宋_GBK" w:cs="Times New Roman"/>
          <w:color w:val="auto"/>
          <w:spacing w:val="-4"/>
          <w:sz w:val="32"/>
          <w:szCs w:val="32"/>
          <w:lang w:val="en-US" w:eastAsia="zh-CN"/>
        </w:rPr>
        <w:t>19807</w:t>
      </w:r>
      <w:r>
        <w:rPr>
          <w:rFonts w:ascii="Times New Roman" w:hAnsi="Times New Roman" w:eastAsia="方正仿宋_GBK" w:cs="Times New Roman"/>
          <w:color w:val="auto"/>
          <w:spacing w:val="-4"/>
          <w:sz w:val="32"/>
          <w:szCs w:val="32"/>
        </w:rPr>
        <w:t>元，增长</w:t>
      </w:r>
      <w:r>
        <w:rPr>
          <w:rFonts w:hint="eastAsia" w:ascii="Times New Roman" w:hAnsi="Times New Roman" w:eastAsia="方正仿宋_GBK" w:cs="Times New Roman"/>
          <w:color w:val="auto"/>
          <w:spacing w:val="-4"/>
          <w:sz w:val="32"/>
          <w:szCs w:val="32"/>
          <w:lang w:val="en-US" w:eastAsia="zh-CN"/>
        </w:rPr>
        <w:t>8.1</w:t>
      </w:r>
      <w:r>
        <w:rPr>
          <w:rFonts w:ascii="Times New Roman" w:hAnsi="Times New Roman" w:eastAsia="方正仿宋_GBK" w:cs="Times New Roman"/>
          <w:color w:val="auto"/>
          <w:spacing w:val="-4"/>
          <w:sz w:val="32"/>
          <w:szCs w:val="32"/>
        </w:rPr>
        <w:t>%。城乡收入比由上年</w:t>
      </w:r>
      <w:r>
        <w:rPr>
          <w:rFonts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val="en-US" w:eastAsia="zh-CN"/>
        </w:rPr>
        <w:t>2.23</w:t>
      </w:r>
      <w:r>
        <w:rPr>
          <w:rFonts w:ascii="Times New Roman" w:hAnsi="Times New Roman" w:eastAsia="方正仿宋_GBK" w:cs="Times New Roman"/>
          <w:color w:val="auto"/>
          <w:sz w:val="32"/>
          <w:szCs w:val="32"/>
        </w:rPr>
        <w:t>:1调整优化为</w:t>
      </w:r>
      <w:r>
        <w:rPr>
          <w:rFonts w:hint="eastAsia" w:ascii="Times New Roman" w:hAnsi="Times New Roman" w:eastAsia="方正仿宋_GBK" w:cs="Times New Roman"/>
          <w:color w:val="auto"/>
          <w:sz w:val="32"/>
          <w:szCs w:val="32"/>
          <w:lang w:val="en-US" w:eastAsia="zh-CN"/>
        </w:rPr>
        <w:t>2.15</w:t>
      </w:r>
      <w:r>
        <w:rPr>
          <w:rFonts w:ascii="Times New Roman" w:hAnsi="Times New Roman" w:eastAsia="方正仿宋_GBK" w:cs="Times New Roman"/>
          <w:color w:val="auto"/>
          <w:sz w:val="32"/>
          <w:szCs w:val="32"/>
        </w:rPr>
        <w:t>:1。年末城镇居民和农村居民人均</w:t>
      </w:r>
      <w:r>
        <w:rPr>
          <w:rFonts w:hint="eastAsia" w:ascii="Times New Roman" w:hAnsi="Times New Roman" w:eastAsia="方正仿宋_GBK" w:cs="Times New Roman"/>
          <w:color w:val="auto"/>
          <w:sz w:val="32"/>
          <w:szCs w:val="32"/>
          <w:lang w:eastAsia="zh-CN"/>
        </w:rPr>
        <w:t>住房</w:t>
      </w:r>
      <w:r>
        <w:rPr>
          <w:rFonts w:ascii="Times New Roman" w:hAnsi="Times New Roman" w:eastAsia="方正仿宋_GBK" w:cs="Times New Roman"/>
          <w:color w:val="auto"/>
          <w:sz w:val="32"/>
          <w:szCs w:val="32"/>
        </w:rPr>
        <w:t>建筑面积分别为</w:t>
      </w:r>
      <w:r>
        <w:rPr>
          <w:rFonts w:hint="eastAsia" w:ascii="Times New Roman" w:hAnsi="Times New Roman" w:eastAsia="方正仿宋_GBK" w:cs="Times New Roman"/>
          <w:color w:val="auto"/>
          <w:sz w:val="32"/>
          <w:szCs w:val="32"/>
          <w:lang w:val="en-US" w:eastAsia="zh-CN"/>
        </w:rPr>
        <w:t>53.2</w:t>
      </w:r>
      <w:r>
        <w:rPr>
          <w:rFonts w:ascii="Times New Roman" w:hAnsi="Times New Roman" w:eastAsia="方正仿宋_GBK" w:cs="Times New Roman"/>
          <w:color w:val="auto"/>
          <w:sz w:val="32"/>
          <w:szCs w:val="32"/>
        </w:rPr>
        <w:t>平方米、</w:t>
      </w:r>
      <w:r>
        <w:rPr>
          <w:rFonts w:hint="eastAsia" w:ascii="Times New Roman" w:hAnsi="Times New Roman" w:eastAsia="方正仿宋_GBK" w:cs="Times New Roman"/>
          <w:color w:val="auto"/>
          <w:sz w:val="32"/>
          <w:szCs w:val="32"/>
          <w:lang w:val="en-US" w:eastAsia="zh-CN"/>
        </w:rPr>
        <w:t>57.8</w:t>
      </w:r>
      <w:r>
        <w:rPr>
          <w:rFonts w:ascii="Times New Roman" w:hAnsi="Times New Roman" w:eastAsia="方正仿宋_GBK" w:cs="Times New Roman"/>
          <w:color w:val="auto"/>
          <w:sz w:val="32"/>
          <w:szCs w:val="32"/>
        </w:rPr>
        <w:t>平方米。</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全县居民人均消费支出</w:t>
      </w:r>
      <w:r>
        <w:rPr>
          <w:rFonts w:hint="eastAsia" w:ascii="Times New Roman" w:hAnsi="Times New Roman" w:eastAsia="方正仿宋_GBK" w:cs="Times New Roman"/>
          <w:color w:val="auto"/>
          <w:sz w:val="32"/>
          <w:szCs w:val="32"/>
          <w:lang w:val="en-US" w:eastAsia="zh-CN"/>
        </w:rPr>
        <w:t>18397</w:t>
      </w:r>
      <w:r>
        <w:rPr>
          <w:rFonts w:ascii="Times New Roman" w:hAnsi="Times New Roman" w:eastAsia="方正仿宋_GBK" w:cs="Times New Roman"/>
          <w:color w:val="auto"/>
          <w:sz w:val="32"/>
          <w:szCs w:val="32"/>
        </w:rPr>
        <w:t>元，比上年增长</w:t>
      </w:r>
      <w:r>
        <w:rPr>
          <w:rFonts w:hint="eastAsia" w:ascii="Times New Roman" w:hAnsi="Times New Roman" w:eastAsia="方正仿宋_GBK" w:cs="Times New Roman"/>
          <w:color w:val="auto"/>
          <w:sz w:val="32"/>
          <w:szCs w:val="32"/>
          <w:lang w:val="en-US" w:eastAsia="zh-CN"/>
        </w:rPr>
        <w:t>4.6</w:t>
      </w:r>
      <w:r>
        <w:rPr>
          <w:rFonts w:ascii="Times New Roman" w:hAnsi="Times New Roman" w:eastAsia="方正仿宋_GBK" w:cs="Times New Roman"/>
          <w:color w:val="auto"/>
          <w:sz w:val="32"/>
          <w:szCs w:val="32"/>
        </w:rPr>
        <w:t>%。按常住地分，城镇居民人均消费支出</w:t>
      </w:r>
      <w:r>
        <w:rPr>
          <w:rFonts w:hint="eastAsia" w:ascii="Times New Roman" w:hAnsi="Times New Roman" w:eastAsia="方正仿宋_GBK" w:cs="Times New Roman"/>
          <w:color w:val="auto"/>
          <w:sz w:val="32"/>
          <w:szCs w:val="32"/>
          <w:lang w:val="en-US" w:eastAsia="zh-CN"/>
        </w:rPr>
        <w:t>21472</w:t>
      </w:r>
      <w:r>
        <w:rPr>
          <w:rFonts w:ascii="Times New Roman" w:hAnsi="Times New Roman" w:eastAsia="方正仿宋_GBK" w:cs="Times New Roman"/>
          <w:color w:val="auto"/>
          <w:sz w:val="32"/>
          <w:szCs w:val="32"/>
        </w:rPr>
        <w:t>元，增长</w:t>
      </w:r>
      <w:r>
        <w:rPr>
          <w:rFonts w:hint="eastAsia" w:ascii="Times New Roman" w:hAnsi="Times New Roman" w:eastAsia="方正仿宋_GBK" w:cs="Times New Roman"/>
          <w:color w:val="auto"/>
          <w:sz w:val="32"/>
          <w:szCs w:val="32"/>
          <w:lang w:val="en-US" w:eastAsia="zh-CN"/>
        </w:rPr>
        <w:t>4.1</w:t>
      </w:r>
      <w:r>
        <w:rPr>
          <w:rFonts w:ascii="Times New Roman" w:hAnsi="Times New Roman" w:eastAsia="方正仿宋_GBK" w:cs="Times New Roman"/>
          <w:color w:val="auto"/>
          <w:sz w:val="32"/>
          <w:szCs w:val="32"/>
        </w:rPr>
        <w:t>%；农村居民人均消费支出</w:t>
      </w:r>
      <w:r>
        <w:rPr>
          <w:rFonts w:hint="eastAsia" w:ascii="Times New Roman" w:hAnsi="Times New Roman" w:eastAsia="方正仿宋_GBK" w:cs="Times New Roman"/>
          <w:color w:val="auto"/>
          <w:sz w:val="32"/>
          <w:szCs w:val="32"/>
          <w:lang w:val="en-US" w:eastAsia="zh-CN"/>
        </w:rPr>
        <w:t>13962</w:t>
      </w:r>
      <w:r>
        <w:rPr>
          <w:rFonts w:ascii="Times New Roman" w:hAnsi="Times New Roman" w:eastAsia="方正仿宋_GBK" w:cs="Times New Roman"/>
          <w:color w:val="auto"/>
          <w:sz w:val="32"/>
          <w:szCs w:val="32"/>
        </w:rPr>
        <w:t>元，增长</w:t>
      </w:r>
      <w:r>
        <w:rPr>
          <w:rFonts w:hint="eastAsia" w:ascii="Times New Roman" w:hAnsi="Times New Roman" w:eastAsia="方正仿宋_GBK" w:cs="Times New Roman"/>
          <w:color w:val="auto"/>
          <w:sz w:val="32"/>
          <w:szCs w:val="32"/>
          <w:lang w:val="en-US" w:eastAsia="zh-CN"/>
        </w:rPr>
        <w:t>5.5</w:t>
      </w:r>
      <w:r>
        <w:rPr>
          <w:rFonts w:ascii="Times New Roman" w:hAnsi="Times New Roman" w:eastAsia="方正仿宋_GBK" w:cs="Times New Roman"/>
          <w:color w:val="auto"/>
          <w:sz w:val="32"/>
          <w:szCs w:val="32"/>
        </w:rPr>
        <w:t>%。全县居民恩格尔系数为</w:t>
      </w:r>
      <w:r>
        <w:rPr>
          <w:rFonts w:hint="eastAsia" w:ascii="Times New Roman" w:hAnsi="Times New Roman" w:eastAsia="方正仿宋_GBK" w:cs="Times New Roman"/>
          <w:color w:val="auto"/>
          <w:sz w:val="32"/>
          <w:szCs w:val="32"/>
          <w:lang w:val="en-US" w:eastAsia="zh-CN"/>
        </w:rPr>
        <w:t>32.7</w:t>
      </w:r>
      <w:r>
        <w:rPr>
          <w:rFonts w:ascii="Times New Roman" w:hAnsi="Times New Roman" w:eastAsia="方正仿宋_GBK" w:cs="Times New Roman"/>
          <w:color w:val="auto"/>
          <w:sz w:val="32"/>
          <w:szCs w:val="32"/>
        </w:rPr>
        <w:t>%，比上年下降</w:t>
      </w:r>
      <w:r>
        <w:rPr>
          <w:rFonts w:hint="eastAsia" w:ascii="Times New Roman" w:hAnsi="Times New Roman" w:eastAsia="方正仿宋_GBK" w:cs="Times New Roman"/>
          <w:color w:val="auto"/>
          <w:sz w:val="32"/>
          <w:szCs w:val="32"/>
          <w:lang w:val="en-US" w:eastAsia="zh-CN"/>
        </w:rPr>
        <w:t>0.7</w:t>
      </w:r>
      <w:r>
        <w:rPr>
          <w:rFonts w:ascii="Times New Roman" w:hAnsi="Times New Roman" w:eastAsia="方正仿宋_GBK" w:cs="Times New Roman"/>
          <w:color w:val="auto"/>
          <w:sz w:val="32"/>
          <w:szCs w:val="32"/>
        </w:rPr>
        <w:t>个百分点。其中城镇为</w:t>
      </w:r>
      <w:r>
        <w:rPr>
          <w:rFonts w:hint="eastAsia" w:ascii="Times New Roman" w:hAnsi="Times New Roman" w:eastAsia="方正仿宋_GBK" w:cs="Times New Roman"/>
          <w:color w:val="auto"/>
          <w:sz w:val="32"/>
          <w:szCs w:val="32"/>
          <w:lang w:val="en-US" w:eastAsia="zh-CN"/>
        </w:rPr>
        <w:t>32.1</w:t>
      </w:r>
      <w:r>
        <w:rPr>
          <w:rFonts w:ascii="Times New Roman" w:hAnsi="Times New Roman" w:eastAsia="方正仿宋_GBK" w:cs="Times New Roman"/>
          <w:color w:val="auto"/>
          <w:sz w:val="32"/>
          <w:szCs w:val="32"/>
        </w:rPr>
        <w:t>%，农村为34.</w:t>
      </w:r>
      <w:r>
        <w:rPr>
          <w:rFonts w:hint="eastAsia" w:ascii="Times New Roman" w:hAnsi="Times New Roman" w:eastAsia="方正仿宋_GBK" w:cs="Times New Roman"/>
          <w:color w:val="auto"/>
          <w:sz w:val="32"/>
          <w:szCs w:val="32"/>
          <w:lang w:val="en-US" w:eastAsia="zh-CN"/>
        </w:rPr>
        <w:t>0</w:t>
      </w:r>
      <w:r>
        <w:rPr>
          <w:rFonts w:ascii="Times New Roman" w:hAnsi="Times New Roman" w:eastAsia="方正仿宋_GBK" w:cs="Times New Roman"/>
          <w:color w:val="auto"/>
          <w:sz w:val="32"/>
          <w:szCs w:val="32"/>
        </w:rPr>
        <w:t>%。</w:t>
      </w:r>
    </w:p>
    <w:p>
      <w:pPr>
        <w:spacing w:after="0" w:line="560" w:lineRule="exact"/>
        <w:jc w:val="center"/>
        <w:rPr>
          <w:rFonts w:ascii="宋体" w:hAnsi="宋体" w:eastAsia="宋体" w:cs="宋体"/>
          <w:color w:val="auto"/>
          <w:sz w:val="24"/>
        </w:rPr>
      </w:pPr>
      <w:r>
        <w:rPr>
          <w:rFonts w:hint="eastAsia" w:ascii="宋体" w:hAnsi="宋体" w:eastAsia="宋体" w:cs="宋体"/>
          <w:b/>
          <w:bCs/>
          <w:color w:val="auto"/>
          <w:sz w:val="24"/>
        </w:rPr>
        <w:t>表</w:t>
      </w:r>
      <w:r>
        <w:rPr>
          <w:rFonts w:hint="eastAsia" w:ascii="宋体" w:hAnsi="宋体" w:eastAsia="宋体" w:cs="宋体"/>
          <w:b/>
          <w:bCs/>
          <w:color w:val="auto"/>
          <w:sz w:val="24"/>
          <w:lang w:val="en-US" w:eastAsia="zh-CN"/>
        </w:rPr>
        <w:t>8</w:t>
      </w:r>
      <w:r>
        <w:rPr>
          <w:rFonts w:ascii="宋体" w:hAnsi="宋体" w:eastAsia="宋体" w:cs="宋体"/>
          <w:b/>
          <w:bCs/>
          <w:color w:val="auto"/>
          <w:sz w:val="24"/>
        </w:rPr>
        <w:t xml:space="preserve"> </w:t>
      </w:r>
      <w:r>
        <w:rPr>
          <w:rFonts w:hint="eastAsia" w:ascii="宋体" w:hAnsi="宋体" w:eastAsia="宋体" w:cs="宋体"/>
          <w:b/>
          <w:bCs/>
          <w:color w:val="auto"/>
          <w:sz w:val="24"/>
        </w:rPr>
        <w:t xml:space="preserve"> </w:t>
      </w:r>
      <w:r>
        <w:rPr>
          <w:rFonts w:ascii="宋体" w:hAnsi="宋体" w:eastAsia="宋体" w:cs="宋体"/>
          <w:b/>
          <w:bCs/>
          <w:color w:val="auto"/>
          <w:sz w:val="24"/>
        </w:rPr>
        <w:t>20</w:t>
      </w: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年居民人均可支配收入及其增长速度</w:t>
      </w:r>
    </w:p>
    <w:tbl>
      <w:tblPr>
        <w:tblStyle w:val="8"/>
        <w:tblW w:w="500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156"/>
        <w:gridCol w:w="1262"/>
        <w:gridCol w:w="1156"/>
        <w:gridCol w:w="1262"/>
        <w:gridCol w:w="1158"/>
        <w:gridCol w:w="13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922" w:type="pct"/>
            <w:vMerge w:val="restart"/>
            <w:tcBorders>
              <w:top w:val="single" w:color="auto" w:sz="12" w:space="0"/>
            </w:tcBorders>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指</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标</w:t>
            </w:r>
          </w:p>
        </w:tc>
        <w:tc>
          <w:tcPr>
            <w:tcW w:w="1349" w:type="pct"/>
            <w:gridSpan w:val="2"/>
            <w:tcBorders>
              <w:top w:val="single" w:color="auto" w:sz="12" w:space="0"/>
            </w:tcBorders>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全县居民</w:t>
            </w:r>
          </w:p>
        </w:tc>
        <w:tc>
          <w:tcPr>
            <w:tcW w:w="1349" w:type="pct"/>
            <w:gridSpan w:val="2"/>
            <w:tcBorders>
              <w:top w:val="single" w:color="auto" w:sz="12" w:space="0"/>
            </w:tcBorders>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城镇常住居民</w:t>
            </w:r>
          </w:p>
        </w:tc>
        <w:tc>
          <w:tcPr>
            <w:tcW w:w="1378" w:type="pct"/>
            <w:gridSpan w:val="2"/>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农村常住居民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922" w:type="pct"/>
            <w:vMerge w:val="continue"/>
            <w:vAlign w:val="center"/>
          </w:tcPr>
          <w:p>
            <w:pPr>
              <w:spacing w:after="0" w:line="300" w:lineRule="exact"/>
              <w:ind w:firstLine="400" w:firstLineChars="200"/>
              <w:jc w:val="center"/>
              <w:rPr>
                <w:rFonts w:ascii="Times New Roman" w:hAnsi="Times New Roman" w:eastAsia="宋体" w:cs="Times New Roman"/>
                <w:color w:val="auto"/>
                <w:sz w:val="20"/>
                <w:szCs w:val="20"/>
              </w:rPr>
            </w:pPr>
          </w:p>
        </w:tc>
        <w:tc>
          <w:tcPr>
            <w:tcW w:w="645"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绝对量</w:t>
            </w:r>
          </w:p>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（元）</w:t>
            </w:r>
          </w:p>
        </w:tc>
        <w:tc>
          <w:tcPr>
            <w:tcW w:w="704"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比上年增长（%）</w:t>
            </w:r>
          </w:p>
        </w:tc>
        <w:tc>
          <w:tcPr>
            <w:tcW w:w="645"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绝对量</w:t>
            </w:r>
          </w:p>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（元）</w:t>
            </w:r>
          </w:p>
        </w:tc>
        <w:tc>
          <w:tcPr>
            <w:tcW w:w="704"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比上年增长（%）</w:t>
            </w:r>
          </w:p>
        </w:tc>
        <w:tc>
          <w:tcPr>
            <w:tcW w:w="646"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绝对量</w:t>
            </w:r>
          </w:p>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（元）</w:t>
            </w:r>
          </w:p>
        </w:tc>
        <w:tc>
          <w:tcPr>
            <w:tcW w:w="732"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比上年增长</w:t>
            </w:r>
          </w:p>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922" w:type="pct"/>
            <w:tcBorders>
              <w:bottom w:val="nil"/>
            </w:tcBorders>
            <w:vAlign w:val="center"/>
          </w:tcPr>
          <w:p>
            <w:pPr>
              <w:spacing w:after="0" w:line="300" w:lineRule="exact"/>
              <w:rPr>
                <w:rFonts w:ascii="Times New Roman" w:hAnsi="Times New Roman" w:eastAsia="宋体" w:cs="Times New Roman"/>
                <w:color w:val="auto"/>
                <w:spacing w:val="-20"/>
                <w:sz w:val="21"/>
                <w:szCs w:val="21"/>
              </w:rPr>
            </w:pPr>
            <w:r>
              <w:rPr>
                <w:rFonts w:ascii="Times New Roman" w:hAnsi="Times New Roman" w:eastAsia="宋体" w:cs="Times New Roman"/>
                <w:color w:val="auto"/>
                <w:spacing w:val="-20"/>
                <w:sz w:val="21"/>
                <w:szCs w:val="21"/>
              </w:rPr>
              <w:t>人均可支配收入</w:t>
            </w:r>
          </w:p>
        </w:tc>
        <w:tc>
          <w:tcPr>
            <w:tcW w:w="645"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33286</w:t>
            </w:r>
          </w:p>
        </w:tc>
        <w:tc>
          <w:tcPr>
            <w:tcW w:w="704"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5.4</w:t>
            </w:r>
          </w:p>
        </w:tc>
        <w:tc>
          <w:tcPr>
            <w:tcW w:w="645"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42630</w:t>
            </w:r>
          </w:p>
        </w:tc>
        <w:tc>
          <w:tcPr>
            <w:tcW w:w="704"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4.3</w:t>
            </w:r>
          </w:p>
        </w:tc>
        <w:tc>
          <w:tcPr>
            <w:tcW w:w="646"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19807</w:t>
            </w:r>
          </w:p>
        </w:tc>
        <w:tc>
          <w:tcPr>
            <w:tcW w:w="732"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922"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工资性收入</w:t>
            </w:r>
          </w:p>
        </w:tc>
        <w:tc>
          <w:tcPr>
            <w:tcW w:w="645"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15621</w:t>
            </w:r>
          </w:p>
        </w:tc>
        <w:tc>
          <w:tcPr>
            <w:tcW w:w="70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5.1</w:t>
            </w:r>
          </w:p>
        </w:tc>
        <w:tc>
          <w:tcPr>
            <w:tcW w:w="645"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21128</w:t>
            </w:r>
          </w:p>
        </w:tc>
        <w:tc>
          <w:tcPr>
            <w:tcW w:w="70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4.2</w:t>
            </w:r>
          </w:p>
        </w:tc>
        <w:tc>
          <w:tcPr>
            <w:tcW w:w="646"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7677</w:t>
            </w:r>
          </w:p>
        </w:tc>
        <w:tc>
          <w:tcPr>
            <w:tcW w:w="732"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922"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经营净收入</w:t>
            </w:r>
          </w:p>
        </w:tc>
        <w:tc>
          <w:tcPr>
            <w:tcW w:w="645"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9413</w:t>
            </w:r>
          </w:p>
        </w:tc>
        <w:tc>
          <w:tcPr>
            <w:tcW w:w="70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6.1</w:t>
            </w:r>
          </w:p>
        </w:tc>
        <w:tc>
          <w:tcPr>
            <w:tcW w:w="645"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10221</w:t>
            </w:r>
          </w:p>
        </w:tc>
        <w:tc>
          <w:tcPr>
            <w:tcW w:w="70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4.8</w:t>
            </w:r>
          </w:p>
        </w:tc>
        <w:tc>
          <w:tcPr>
            <w:tcW w:w="646"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8247</w:t>
            </w:r>
          </w:p>
        </w:tc>
        <w:tc>
          <w:tcPr>
            <w:tcW w:w="732"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8.4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922"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财产净收入</w:t>
            </w:r>
          </w:p>
        </w:tc>
        <w:tc>
          <w:tcPr>
            <w:tcW w:w="645"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1652</w:t>
            </w:r>
          </w:p>
        </w:tc>
        <w:tc>
          <w:tcPr>
            <w:tcW w:w="70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5.5</w:t>
            </w:r>
          </w:p>
        </w:tc>
        <w:tc>
          <w:tcPr>
            <w:tcW w:w="645"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2116</w:t>
            </w:r>
          </w:p>
        </w:tc>
        <w:tc>
          <w:tcPr>
            <w:tcW w:w="70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5.1</w:t>
            </w:r>
          </w:p>
        </w:tc>
        <w:tc>
          <w:tcPr>
            <w:tcW w:w="646"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984</w:t>
            </w:r>
          </w:p>
        </w:tc>
        <w:tc>
          <w:tcPr>
            <w:tcW w:w="732"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22" w:type="pct"/>
            <w:tcBorders>
              <w:top w:val="nil"/>
              <w:bottom w:val="single" w:color="auto" w:sz="12" w:space="0"/>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转移净收入</w:t>
            </w:r>
          </w:p>
        </w:tc>
        <w:tc>
          <w:tcPr>
            <w:tcW w:w="645"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6600</w:t>
            </w:r>
          </w:p>
        </w:tc>
        <w:tc>
          <w:tcPr>
            <w:tcW w:w="704"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4.9</w:t>
            </w:r>
          </w:p>
        </w:tc>
        <w:tc>
          <w:tcPr>
            <w:tcW w:w="645"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9165</w:t>
            </w:r>
          </w:p>
        </w:tc>
        <w:tc>
          <w:tcPr>
            <w:tcW w:w="704"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3.8</w:t>
            </w:r>
          </w:p>
        </w:tc>
        <w:tc>
          <w:tcPr>
            <w:tcW w:w="646"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2899</w:t>
            </w:r>
          </w:p>
        </w:tc>
        <w:tc>
          <w:tcPr>
            <w:tcW w:w="732"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9.1</w:t>
            </w:r>
          </w:p>
        </w:tc>
      </w:tr>
    </w:tbl>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年末参加城乡居民基本养老保险人数</w:t>
      </w:r>
      <w:r>
        <w:rPr>
          <w:rFonts w:hint="eastAsia" w:ascii="Times New Roman" w:hAnsi="Times New Roman" w:eastAsia="方正仿宋_GBK" w:cs="Times New Roman"/>
          <w:color w:val="auto"/>
          <w:sz w:val="32"/>
          <w:szCs w:val="32"/>
          <w:lang w:val="en-US" w:eastAsia="zh-CN"/>
        </w:rPr>
        <w:t>23.42</w:t>
      </w:r>
      <w:r>
        <w:rPr>
          <w:rFonts w:ascii="Times New Roman" w:hAnsi="Times New Roman" w:eastAsia="方正仿宋_GBK" w:cs="Times New Roman"/>
          <w:color w:val="auto"/>
          <w:sz w:val="32"/>
          <w:szCs w:val="32"/>
        </w:rPr>
        <w:t>万人，</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1.6</w:t>
      </w:r>
      <w:r>
        <w:rPr>
          <w:rFonts w:ascii="Times New Roman" w:hAnsi="Times New Roman" w:eastAsia="方正仿宋_GBK" w:cs="Times New Roman"/>
          <w:color w:val="auto"/>
          <w:sz w:val="32"/>
          <w:szCs w:val="32"/>
        </w:rPr>
        <w:t>%。参加</w:t>
      </w:r>
      <w:r>
        <w:rPr>
          <w:rFonts w:hint="eastAsia" w:ascii="Times New Roman" w:hAnsi="Times New Roman" w:eastAsia="方正仿宋_GBK" w:cs="Times New Roman"/>
          <w:color w:val="auto"/>
          <w:sz w:val="32"/>
          <w:szCs w:val="32"/>
          <w:lang w:eastAsia="zh-CN"/>
        </w:rPr>
        <w:t>城乡居民</w:t>
      </w:r>
      <w:r>
        <w:rPr>
          <w:rFonts w:ascii="Times New Roman" w:hAnsi="Times New Roman" w:eastAsia="方正仿宋_GBK" w:cs="Times New Roman"/>
          <w:color w:val="auto"/>
          <w:sz w:val="32"/>
          <w:szCs w:val="32"/>
        </w:rPr>
        <w:t>医疗保险人数</w:t>
      </w:r>
      <w:r>
        <w:rPr>
          <w:rFonts w:hint="eastAsia" w:ascii="Times New Roman" w:hAnsi="Times New Roman" w:eastAsia="方正仿宋_GBK" w:cs="Times New Roman"/>
          <w:color w:val="auto"/>
          <w:sz w:val="32"/>
          <w:szCs w:val="32"/>
          <w:lang w:val="en-US" w:eastAsia="zh-CN"/>
        </w:rPr>
        <w:t>42.06</w:t>
      </w:r>
      <w:r>
        <w:rPr>
          <w:rFonts w:ascii="Times New Roman" w:hAnsi="Times New Roman" w:eastAsia="方正仿宋_GBK" w:cs="Times New Roman"/>
          <w:color w:val="auto"/>
          <w:sz w:val="32"/>
          <w:szCs w:val="32"/>
        </w:rPr>
        <w:t>万人，下降</w:t>
      </w:r>
      <w:r>
        <w:rPr>
          <w:rFonts w:hint="eastAsia" w:ascii="Times New Roman" w:hAnsi="Times New Roman" w:eastAsia="方正仿宋_GBK" w:cs="Times New Roman"/>
          <w:color w:val="auto"/>
          <w:sz w:val="32"/>
          <w:szCs w:val="32"/>
          <w:lang w:val="en-US" w:eastAsia="zh-CN"/>
        </w:rPr>
        <w:t>3.1</w:t>
      </w:r>
      <w:r>
        <w:rPr>
          <w:rFonts w:ascii="Times New Roman" w:hAnsi="Times New Roman" w:eastAsia="方正仿宋_GBK" w:cs="Times New Roman"/>
          <w:color w:val="auto"/>
          <w:sz w:val="32"/>
          <w:szCs w:val="32"/>
        </w:rPr>
        <w:t>%。参加城镇职工基本医疗保险人数</w:t>
      </w:r>
      <w:r>
        <w:rPr>
          <w:rFonts w:hint="eastAsia" w:ascii="Times New Roman" w:hAnsi="Times New Roman" w:eastAsia="方正仿宋_GBK" w:cs="Times New Roman"/>
          <w:color w:val="auto"/>
          <w:sz w:val="32"/>
          <w:szCs w:val="32"/>
          <w:lang w:val="en-US" w:eastAsia="zh-CN"/>
        </w:rPr>
        <w:t>4.96</w:t>
      </w:r>
      <w:r>
        <w:rPr>
          <w:rFonts w:ascii="Times New Roman" w:hAnsi="Times New Roman" w:eastAsia="方正仿宋_GBK" w:cs="Times New Roman"/>
          <w:color w:val="auto"/>
          <w:sz w:val="32"/>
          <w:szCs w:val="32"/>
        </w:rPr>
        <w:t>万人，增长</w:t>
      </w:r>
      <w:r>
        <w:rPr>
          <w:rFonts w:hint="eastAsia" w:ascii="Times New Roman" w:hAnsi="Times New Roman" w:eastAsia="方正仿宋_GBK" w:cs="Times New Roman"/>
          <w:color w:val="auto"/>
          <w:sz w:val="32"/>
          <w:szCs w:val="32"/>
          <w:lang w:val="en-US" w:eastAsia="zh-CN"/>
        </w:rPr>
        <w:t>1.4</w:t>
      </w:r>
      <w:r>
        <w:rPr>
          <w:rFonts w:ascii="Times New Roman" w:hAnsi="Times New Roman" w:eastAsia="方正仿宋_GBK" w:cs="Times New Roman"/>
          <w:color w:val="auto"/>
          <w:sz w:val="32"/>
          <w:szCs w:val="32"/>
        </w:rPr>
        <w:t>。参加工伤保险人数</w:t>
      </w:r>
      <w:r>
        <w:rPr>
          <w:rFonts w:hint="eastAsia" w:ascii="Times New Roman" w:hAnsi="Times New Roman" w:eastAsia="方正仿宋_GBK" w:cs="Times New Roman"/>
          <w:color w:val="auto"/>
          <w:sz w:val="32"/>
          <w:szCs w:val="32"/>
          <w:lang w:val="en-US" w:eastAsia="zh-CN"/>
        </w:rPr>
        <w:t>5.78</w:t>
      </w:r>
      <w:r>
        <w:rPr>
          <w:rFonts w:ascii="Times New Roman" w:hAnsi="Times New Roman" w:eastAsia="方正仿宋_GBK" w:cs="Times New Roman"/>
          <w:color w:val="auto"/>
          <w:sz w:val="32"/>
          <w:szCs w:val="32"/>
        </w:rPr>
        <w:t>万人，</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0.5</w:t>
      </w:r>
      <w:r>
        <w:rPr>
          <w:rFonts w:ascii="Times New Roman" w:hAnsi="Times New Roman" w:eastAsia="方正仿宋_GBK" w:cs="Times New Roman"/>
          <w:color w:val="auto"/>
          <w:sz w:val="32"/>
          <w:szCs w:val="32"/>
        </w:rPr>
        <w:t>% 。参加生育保险人数</w:t>
      </w:r>
      <w:r>
        <w:rPr>
          <w:rFonts w:hint="eastAsia" w:ascii="Times New Roman" w:hAnsi="Times New Roman" w:eastAsia="方正仿宋_GBK" w:cs="Times New Roman"/>
          <w:color w:val="auto"/>
          <w:sz w:val="32"/>
          <w:szCs w:val="32"/>
          <w:lang w:val="en-US" w:eastAsia="zh-CN"/>
        </w:rPr>
        <w:t>3.24</w:t>
      </w:r>
      <w:r>
        <w:rPr>
          <w:rFonts w:ascii="Times New Roman" w:hAnsi="Times New Roman" w:eastAsia="方正仿宋_GBK" w:cs="Times New Roman"/>
          <w:color w:val="auto"/>
          <w:sz w:val="32"/>
          <w:szCs w:val="32"/>
        </w:rPr>
        <w:t>万人，</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0.8</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参加失业保险人数2.61万人，下降13.6%。</w:t>
      </w:r>
    </w:p>
    <w:p>
      <w:pPr>
        <w:spacing w:after="0" w:line="56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全县共</w:t>
      </w:r>
      <w:r>
        <w:rPr>
          <w:rFonts w:ascii="Times New Roman" w:hAnsi="Times New Roman" w:eastAsia="方正仿宋_GBK" w:cs="Times New Roman"/>
          <w:color w:val="auto"/>
          <w:sz w:val="32"/>
          <w:szCs w:val="32"/>
          <w:lang w:val="zh-CN"/>
        </w:rPr>
        <w:t>有低保</w:t>
      </w:r>
      <w:r>
        <w:rPr>
          <w:rFonts w:hint="eastAsia" w:ascii="Times New Roman" w:hAnsi="Times New Roman" w:eastAsia="方正仿宋_GBK" w:cs="Times New Roman"/>
          <w:color w:val="auto"/>
          <w:sz w:val="32"/>
          <w:szCs w:val="32"/>
          <w:lang w:val="en-US" w:eastAsia="zh-CN"/>
        </w:rPr>
        <w:t>17308</w:t>
      </w:r>
      <w:r>
        <w:rPr>
          <w:rFonts w:ascii="Times New Roman" w:hAnsi="Times New Roman" w:eastAsia="方正仿宋_GBK" w:cs="Times New Roman"/>
          <w:color w:val="auto"/>
          <w:sz w:val="32"/>
          <w:szCs w:val="32"/>
          <w:lang w:val="zh-CN"/>
        </w:rPr>
        <w:t>人，其中城市低保31</w:t>
      </w:r>
      <w:r>
        <w:rPr>
          <w:rFonts w:hint="eastAsia" w:ascii="Times New Roman" w:hAnsi="Times New Roman" w:eastAsia="方正仿宋_GBK" w:cs="Times New Roman"/>
          <w:color w:val="auto"/>
          <w:sz w:val="32"/>
          <w:szCs w:val="32"/>
          <w:lang w:val="en-US" w:eastAsia="zh-CN"/>
        </w:rPr>
        <w:t>28</w:t>
      </w:r>
      <w:r>
        <w:rPr>
          <w:rFonts w:ascii="Times New Roman" w:hAnsi="Times New Roman" w:eastAsia="方正仿宋_GBK" w:cs="Times New Roman"/>
          <w:color w:val="auto"/>
          <w:sz w:val="32"/>
          <w:szCs w:val="32"/>
          <w:lang w:val="zh-CN"/>
        </w:rPr>
        <w:t>人</w:t>
      </w:r>
      <w:r>
        <w:rPr>
          <w:rFonts w:hint="eastAsia" w:ascii="Times New Roman" w:hAnsi="Times New Roman" w:eastAsia="方正仿宋_GBK" w:cs="Times New Roman"/>
          <w:color w:val="auto"/>
          <w:sz w:val="32"/>
          <w:szCs w:val="32"/>
          <w:lang w:val="zh-CN"/>
        </w:rPr>
        <w:t>、</w:t>
      </w:r>
      <w:r>
        <w:rPr>
          <w:rFonts w:ascii="Times New Roman" w:hAnsi="Times New Roman" w:eastAsia="方正仿宋_GBK" w:cs="Times New Roman"/>
          <w:color w:val="auto"/>
          <w:sz w:val="32"/>
          <w:szCs w:val="32"/>
          <w:lang w:val="zh-CN"/>
        </w:rPr>
        <w:t>农村低保</w:t>
      </w:r>
      <w:r>
        <w:rPr>
          <w:rFonts w:hint="eastAsia" w:ascii="Times New Roman" w:hAnsi="Times New Roman" w:eastAsia="方正仿宋_GBK" w:cs="Times New Roman"/>
          <w:color w:val="auto"/>
          <w:sz w:val="32"/>
          <w:szCs w:val="32"/>
          <w:lang w:val="en-US" w:eastAsia="zh-CN"/>
        </w:rPr>
        <w:t>14180</w:t>
      </w:r>
      <w:r>
        <w:rPr>
          <w:rFonts w:ascii="Times New Roman" w:hAnsi="Times New Roman" w:eastAsia="方正仿宋_GBK" w:cs="Times New Roman"/>
          <w:color w:val="auto"/>
          <w:sz w:val="32"/>
          <w:szCs w:val="32"/>
          <w:lang w:val="zh-CN"/>
        </w:rPr>
        <w:t>人</w:t>
      </w:r>
      <w:r>
        <w:rPr>
          <w:rFonts w:hint="eastAsia" w:ascii="Times New Roman" w:hAnsi="Times New Roman" w:eastAsia="方正仿宋_GBK" w:cs="Times New Roman"/>
          <w:color w:val="auto"/>
          <w:sz w:val="32"/>
          <w:szCs w:val="32"/>
          <w:lang w:val="zh-CN" w:eastAsia="zh-CN"/>
        </w:rPr>
        <w:t>，累计</w:t>
      </w:r>
      <w:r>
        <w:rPr>
          <w:rFonts w:ascii="Times New Roman" w:hAnsi="Times New Roman" w:eastAsia="方正仿宋_GBK" w:cs="Times New Roman"/>
          <w:color w:val="auto"/>
          <w:sz w:val="32"/>
          <w:szCs w:val="32"/>
          <w:lang w:val="zh-CN"/>
        </w:rPr>
        <w:t>发放城乡低保资金</w:t>
      </w:r>
      <w:r>
        <w:rPr>
          <w:rFonts w:hint="eastAsia" w:ascii="Times New Roman" w:hAnsi="Times New Roman" w:eastAsia="方正仿宋_GBK" w:cs="Times New Roman"/>
          <w:color w:val="auto"/>
          <w:sz w:val="32"/>
          <w:szCs w:val="32"/>
          <w:lang w:val="en-US" w:eastAsia="zh-CN"/>
        </w:rPr>
        <w:t>10110.91</w:t>
      </w:r>
      <w:r>
        <w:rPr>
          <w:rFonts w:ascii="Times New Roman" w:hAnsi="Times New Roman" w:eastAsia="方正仿宋_GBK" w:cs="Times New Roman"/>
          <w:color w:val="auto"/>
          <w:sz w:val="32"/>
          <w:szCs w:val="32"/>
          <w:lang w:val="zh-CN"/>
        </w:rPr>
        <w:t>万元</w:t>
      </w:r>
      <w:r>
        <w:rPr>
          <w:rFonts w:hint="eastAsia" w:ascii="Times New Roman" w:hAnsi="Times New Roman" w:eastAsia="方正仿宋_GBK" w:cs="Times New Roman"/>
          <w:color w:val="auto"/>
          <w:sz w:val="32"/>
          <w:szCs w:val="32"/>
          <w:lang w:val="zh-CN" w:eastAsia="zh-CN"/>
        </w:rPr>
        <w:t>；共有特困人员</w:t>
      </w:r>
      <w:r>
        <w:rPr>
          <w:rFonts w:hint="eastAsia" w:ascii="Times New Roman" w:hAnsi="Times New Roman" w:eastAsia="方正仿宋_GBK" w:cs="Times New Roman"/>
          <w:color w:val="auto"/>
          <w:sz w:val="32"/>
          <w:szCs w:val="32"/>
          <w:lang w:val="en-US" w:eastAsia="zh-CN"/>
        </w:rPr>
        <w:t>1482名，</w:t>
      </w:r>
      <w:r>
        <w:rPr>
          <w:rFonts w:hint="eastAsia" w:ascii="Times New Roman" w:hAnsi="Times New Roman" w:eastAsia="方正仿宋_GBK" w:cs="Times New Roman"/>
          <w:color w:val="auto"/>
          <w:sz w:val="32"/>
          <w:szCs w:val="32"/>
          <w:lang w:val="zh-CN" w:eastAsia="zh-CN"/>
        </w:rPr>
        <w:t>累计发放供养金</w:t>
      </w:r>
      <w:r>
        <w:rPr>
          <w:rFonts w:hint="eastAsia" w:ascii="Times New Roman" w:hAnsi="Times New Roman" w:eastAsia="方正仿宋_GBK" w:cs="Times New Roman"/>
          <w:color w:val="auto"/>
          <w:sz w:val="32"/>
          <w:szCs w:val="32"/>
          <w:lang w:val="en-US" w:eastAsia="zh-CN"/>
        </w:rPr>
        <w:t>1686.05</w:t>
      </w:r>
      <w:r>
        <w:rPr>
          <w:rFonts w:hint="eastAsia" w:ascii="Times New Roman" w:hAnsi="Times New Roman" w:eastAsia="方正仿宋_GBK" w:cs="Times New Roman"/>
          <w:color w:val="auto"/>
          <w:sz w:val="32"/>
          <w:szCs w:val="32"/>
          <w:lang w:val="zh-CN" w:eastAsia="zh-CN"/>
        </w:rPr>
        <w:t>万元；</w:t>
      </w:r>
      <w:r>
        <w:rPr>
          <w:rFonts w:ascii="Times New Roman" w:hAnsi="Times New Roman" w:eastAsia="方正仿宋_GBK" w:cs="Times New Roman"/>
          <w:color w:val="auto"/>
          <w:sz w:val="32"/>
          <w:szCs w:val="32"/>
          <w:lang w:val="zh-CN"/>
        </w:rPr>
        <w:t>发放临时困难救助金</w:t>
      </w:r>
      <w:r>
        <w:rPr>
          <w:rFonts w:hint="eastAsia" w:ascii="Times New Roman" w:hAnsi="Times New Roman" w:eastAsia="方正仿宋_GBK" w:cs="Times New Roman"/>
          <w:color w:val="auto"/>
          <w:sz w:val="32"/>
          <w:szCs w:val="32"/>
          <w:lang w:val="en-US" w:eastAsia="zh-CN"/>
        </w:rPr>
        <w:t>587.64</w:t>
      </w:r>
      <w:r>
        <w:rPr>
          <w:rFonts w:ascii="Times New Roman" w:hAnsi="Times New Roman" w:eastAsia="方正仿宋_GBK" w:cs="Times New Roman"/>
          <w:color w:val="auto"/>
          <w:sz w:val="32"/>
          <w:szCs w:val="32"/>
          <w:lang w:val="zh-CN"/>
        </w:rPr>
        <w:t>万元。</w:t>
      </w:r>
      <w:r>
        <w:rPr>
          <w:rFonts w:hint="eastAsia" w:ascii="Times New Roman" w:hAnsi="Times New Roman" w:eastAsia="方正仿宋_GBK" w:cs="Times New Roman"/>
          <w:color w:val="auto"/>
          <w:sz w:val="32"/>
          <w:szCs w:val="32"/>
          <w:lang w:val="zh-CN" w:eastAsia="zh-CN"/>
        </w:rPr>
        <w:t>全县</w:t>
      </w:r>
      <w:r>
        <w:rPr>
          <w:rFonts w:ascii="Times New Roman" w:hAnsi="Times New Roman" w:eastAsia="方正仿宋_GBK" w:cs="Times New Roman"/>
          <w:color w:val="auto"/>
          <w:sz w:val="32"/>
          <w:szCs w:val="32"/>
          <w:lang w:val="zh-CN"/>
        </w:rPr>
        <w:t>共有养老机构</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lang w:val="zh-CN"/>
        </w:rPr>
        <w:t>个</w:t>
      </w:r>
      <w:r>
        <w:rPr>
          <w:rFonts w:hint="eastAsia" w:ascii="Times New Roman" w:hAnsi="Times New Roman" w:eastAsia="方正仿宋_GBK" w:cs="Times New Roman"/>
          <w:color w:val="auto"/>
          <w:sz w:val="32"/>
          <w:szCs w:val="32"/>
          <w:lang w:val="zh-CN" w:eastAsia="zh-CN"/>
        </w:rPr>
        <w:t>，</w:t>
      </w:r>
      <w:r>
        <w:rPr>
          <w:rFonts w:ascii="Times New Roman" w:hAnsi="Times New Roman" w:eastAsia="方正仿宋_GBK" w:cs="Times New Roman"/>
          <w:color w:val="auto"/>
          <w:sz w:val="32"/>
          <w:szCs w:val="32"/>
          <w:lang w:val="zh-CN"/>
        </w:rPr>
        <w:t>养老床位</w:t>
      </w:r>
      <w:r>
        <w:rPr>
          <w:rFonts w:hint="eastAsia" w:ascii="Times New Roman" w:hAnsi="Times New Roman" w:eastAsia="方正仿宋_GBK" w:cs="Times New Roman"/>
          <w:color w:val="auto"/>
          <w:sz w:val="32"/>
          <w:szCs w:val="32"/>
          <w:lang w:val="en-US" w:eastAsia="zh-CN"/>
        </w:rPr>
        <w:t>1974</w:t>
      </w:r>
      <w:r>
        <w:rPr>
          <w:rFonts w:ascii="Times New Roman" w:hAnsi="Times New Roman" w:eastAsia="方正仿宋_GBK" w:cs="Times New Roman"/>
          <w:color w:val="auto"/>
          <w:sz w:val="32"/>
          <w:szCs w:val="32"/>
          <w:lang w:val="zh-CN"/>
        </w:rPr>
        <w:t>个，其中护理型床位</w:t>
      </w:r>
      <w:r>
        <w:rPr>
          <w:rFonts w:hint="eastAsia" w:ascii="Times New Roman" w:hAnsi="Times New Roman" w:eastAsia="方正仿宋_GBK" w:cs="Times New Roman"/>
          <w:color w:val="auto"/>
          <w:sz w:val="32"/>
          <w:szCs w:val="32"/>
          <w:lang w:val="en-US" w:eastAsia="zh-CN"/>
        </w:rPr>
        <w:t>880</w:t>
      </w:r>
      <w:r>
        <w:rPr>
          <w:rFonts w:ascii="Times New Roman" w:hAnsi="Times New Roman" w:eastAsia="方正仿宋_GBK" w:cs="Times New Roman"/>
          <w:color w:val="auto"/>
          <w:sz w:val="32"/>
          <w:szCs w:val="32"/>
          <w:lang w:val="zh-CN"/>
        </w:rPr>
        <w:t>个</w:t>
      </w:r>
      <w:r>
        <w:rPr>
          <w:rFonts w:hint="eastAsia" w:ascii="Times New Roman" w:hAnsi="Times New Roman" w:eastAsia="方正仿宋_GBK" w:cs="Times New Roman"/>
          <w:color w:val="auto"/>
          <w:sz w:val="32"/>
          <w:szCs w:val="32"/>
          <w:lang w:val="zh-CN" w:eastAsia="zh-CN"/>
        </w:rPr>
        <w:t>。</w:t>
      </w:r>
    </w:p>
    <w:p>
      <w:pPr>
        <w:spacing w:after="0" w:line="56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九、市政、环境与应急管理</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全县共有停车场（点）</w:t>
      </w:r>
      <w:r>
        <w:rPr>
          <w:rFonts w:hint="eastAsia" w:ascii="Times New Roman" w:hAnsi="Times New Roman" w:eastAsia="方正仿宋_GBK" w:cs="Times New Roman"/>
          <w:color w:val="auto"/>
          <w:sz w:val="32"/>
          <w:szCs w:val="32"/>
          <w:lang w:val="en-US" w:eastAsia="zh-CN"/>
        </w:rPr>
        <w:t>326</w:t>
      </w:r>
      <w:r>
        <w:rPr>
          <w:rFonts w:ascii="Times New Roman" w:hAnsi="Times New Roman" w:eastAsia="方正仿宋_GBK" w:cs="Times New Roman"/>
          <w:color w:val="auto"/>
          <w:sz w:val="32"/>
          <w:szCs w:val="32"/>
        </w:rPr>
        <w:t>个，停车位</w:t>
      </w:r>
      <w:r>
        <w:rPr>
          <w:rFonts w:hint="eastAsia" w:ascii="Times New Roman" w:hAnsi="Times New Roman" w:eastAsia="方正仿宋_GBK" w:cs="Times New Roman"/>
          <w:color w:val="auto"/>
          <w:sz w:val="32"/>
          <w:szCs w:val="32"/>
          <w:lang w:val="en-US" w:eastAsia="zh-CN"/>
        </w:rPr>
        <w:t>4.14</w:t>
      </w:r>
      <w:r>
        <w:rPr>
          <w:rFonts w:ascii="Times New Roman" w:hAnsi="Times New Roman" w:eastAsia="方正仿宋_GBK" w:cs="Times New Roman"/>
          <w:color w:val="auto"/>
          <w:sz w:val="32"/>
          <w:szCs w:val="32"/>
        </w:rPr>
        <w:t>万个，其中室内停车场</w:t>
      </w:r>
      <w:r>
        <w:rPr>
          <w:rFonts w:hint="eastAsia" w:ascii="Times New Roman" w:hAnsi="Times New Roman" w:eastAsia="方正仿宋_GBK" w:cs="Times New Roman"/>
          <w:color w:val="auto"/>
          <w:sz w:val="32"/>
          <w:szCs w:val="32"/>
          <w:lang w:val="en-US" w:eastAsia="zh-CN"/>
        </w:rPr>
        <w:t>124</w:t>
      </w:r>
      <w:r>
        <w:rPr>
          <w:rFonts w:ascii="Times New Roman" w:hAnsi="Times New Roman" w:eastAsia="方正仿宋_GBK" w:cs="Times New Roman"/>
          <w:color w:val="auto"/>
          <w:sz w:val="32"/>
          <w:szCs w:val="32"/>
        </w:rPr>
        <w:t>个，</w:t>
      </w:r>
      <w:r>
        <w:rPr>
          <w:rFonts w:hint="eastAsia" w:ascii="Times New Roman" w:hAnsi="Times New Roman" w:eastAsia="方正仿宋_GBK" w:cs="Times New Roman"/>
          <w:color w:val="auto"/>
          <w:sz w:val="32"/>
          <w:szCs w:val="32"/>
          <w:lang w:eastAsia="zh-CN"/>
        </w:rPr>
        <w:t>室内</w:t>
      </w:r>
      <w:r>
        <w:rPr>
          <w:rFonts w:ascii="Times New Roman" w:hAnsi="Times New Roman" w:eastAsia="方正仿宋_GBK" w:cs="Times New Roman"/>
          <w:color w:val="auto"/>
          <w:sz w:val="32"/>
          <w:szCs w:val="32"/>
        </w:rPr>
        <w:t>停车位</w:t>
      </w:r>
      <w:r>
        <w:rPr>
          <w:rFonts w:hint="eastAsia" w:ascii="Times New Roman" w:hAnsi="Times New Roman" w:eastAsia="方正仿宋_GBK" w:cs="Times New Roman"/>
          <w:color w:val="auto"/>
          <w:sz w:val="32"/>
          <w:szCs w:val="32"/>
          <w:lang w:val="en-US" w:eastAsia="zh-CN"/>
        </w:rPr>
        <w:t>2.99</w:t>
      </w:r>
      <w:r>
        <w:rPr>
          <w:rFonts w:ascii="Times New Roman" w:hAnsi="Times New Roman" w:eastAsia="方正仿宋_GBK" w:cs="Times New Roman"/>
          <w:color w:val="auto"/>
          <w:sz w:val="32"/>
          <w:szCs w:val="32"/>
        </w:rPr>
        <w:t>万个。车行道面积</w:t>
      </w:r>
      <w:r>
        <w:rPr>
          <w:rFonts w:hint="eastAsia" w:ascii="Times New Roman" w:hAnsi="Times New Roman" w:eastAsia="方正仿宋_GBK" w:cs="Times New Roman"/>
          <w:color w:val="auto"/>
          <w:sz w:val="32"/>
          <w:szCs w:val="32"/>
          <w:lang w:val="en-US" w:eastAsia="zh-CN"/>
        </w:rPr>
        <w:t>103.34</w:t>
      </w:r>
      <w:r>
        <w:rPr>
          <w:rFonts w:ascii="Times New Roman" w:hAnsi="Times New Roman" w:eastAsia="方正仿宋_GBK" w:cs="Times New Roman"/>
          <w:color w:val="auto"/>
          <w:sz w:val="32"/>
          <w:szCs w:val="32"/>
        </w:rPr>
        <w:t>万平方米。年末功能性照明路灯数量</w:t>
      </w:r>
      <w:r>
        <w:rPr>
          <w:rFonts w:hint="eastAsia" w:ascii="Times New Roman" w:hAnsi="Times New Roman" w:eastAsia="方正仿宋_GBK" w:cs="Times New Roman"/>
          <w:color w:val="auto"/>
          <w:sz w:val="32"/>
          <w:szCs w:val="32"/>
          <w:lang w:val="en-US" w:eastAsia="zh-CN"/>
        </w:rPr>
        <w:t>13488</w:t>
      </w:r>
      <w:r>
        <w:rPr>
          <w:rFonts w:ascii="Times New Roman" w:hAnsi="Times New Roman" w:eastAsia="方正仿宋_GBK" w:cs="Times New Roman"/>
          <w:color w:val="auto"/>
          <w:sz w:val="32"/>
          <w:szCs w:val="32"/>
        </w:rPr>
        <w:t>盏，道路照明总长度</w:t>
      </w:r>
      <w:r>
        <w:rPr>
          <w:rFonts w:hint="eastAsia" w:ascii="Times New Roman" w:hAnsi="Times New Roman" w:eastAsia="方正仿宋_GBK" w:cs="Times New Roman"/>
          <w:color w:val="auto"/>
          <w:sz w:val="32"/>
          <w:szCs w:val="32"/>
          <w:lang w:val="en-US" w:eastAsia="zh-CN"/>
        </w:rPr>
        <w:t>100.18</w:t>
      </w:r>
      <w:r>
        <w:rPr>
          <w:rFonts w:ascii="Times New Roman" w:hAnsi="Times New Roman" w:eastAsia="方正仿宋_GBK" w:cs="Times New Roman"/>
          <w:color w:val="auto"/>
          <w:sz w:val="32"/>
          <w:szCs w:val="32"/>
        </w:rPr>
        <w:t>公里。全县环卫直管固定公厕</w:t>
      </w:r>
      <w:r>
        <w:rPr>
          <w:rFonts w:hint="eastAsia" w:ascii="Times New Roman" w:hAnsi="Times New Roman" w:eastAsia="方正仿宋_GBK" w:cs="Times New Roman"/>
          <w:color w:val="auto"/>
          <w:sz w:val="32"/>
          <w:szCs w:val="32"/>
          <w:lang w:val="en-US" w:eastAsia="zh-CN"/>
        </w:rPr>
        <w:t>57</w:t>
      </w:r>
      <w:r>
        <w:rPr>
          <w:rFonts w:ascii="Times New Roman" w:hAnsi="Times New Roman" w:eastAsia="方正仿宋_GBK" w:cs="Times New Roman"/>
          <w:color w:val="auto"/>
          <w:sz w:val="32"/>
          <w:szCs w:val="32"/>
        </w:rPr>
        <w:t>座，垃圾</w:t>
      </w:r>
      <w:r>
        <w:rPr>
          <w:rFonts w:hint="eastAsia" w:ascii="Times New Roman" w:hAnsi="Times New Roman" w:eastAsia="方正仿宋_GBK" w:cs="Times New Roman"/>
          <w:color w:val="auto"/>
          <w:sz w:val="32"/>
          <w:szCs w:val="32"/>
          <w:lang w:eastAsia="zh-CN"/>
        </w:rPr>
        <w:t>中转</w:t>
      </w:r>
      <w:r>
        <w:rPr>
          <w:rFonts w:ascii="Times New Roman" w:hAnsi="Times New Roman" w:eastAsia="方正仿宋_GBK" w:cs="Times New Roman"/>
          <w:color w:val="auto"/>
          <w:sz w:val="32"/>
          <w:szCs w:val="32"/>
        </w:rPr>
        <w:t>站</w:t>
      </w: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座，垃圾运输车</w:t>
      </w:r>
      <w:r>
        <w:rPr>
          <w:rFonts w:hint="eastAsia" w:ascii="Times New Roman" w:hAnsi="Times New Roman" w:eastAsia="方正仿宋_GBK" w:cs="Times New Roman"/>
          <w:color w:val="auto"/>
          <w:sz w:val="32"/>
          <w:szCs w:val="32"/>
          <w:lang w:val="en-US" w:eastAsia="zh-CN"/>
        </w:rPr>
        <w:t>58</w:t>
      </w:r>
      <w:r>
        <w:rPr>
          <w:rFonts w:ascii="Times New Roman" w:hAnsi="Times New Roman" w:eastAsia="方正仿宋_GBK" w:cs="Times New Roman"/>
          <w:color w:val="auto"/>
          <w:sz w:val="32"/>
          <w:szCs w:val="32"/>
        </w:rPr>
        <w:t>辆，扫地车</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辆，洁洗车</w:t>
      </w:r>
      <w:r>
        <w:rPr>
          <w:rFonts w:hint="eastAsia" w:ascii="Times New Roman" w:hAnsi="Times New Roman" w:eastAsia="方正仿宋_GBK" w:cs="Times New Roman"/>
          <w:color w:val="auto"/>
          <w:sz w:val="32"/>
          <w:szCs w:val="32"/>
          <w:lang w:val="en-US" w:eastAsia="zh-CN"/>
        </w:rPr>
        <w:t>17</w:t>
      </w:r>
      <w:r>
        <w:rPr>
          <w:rFonts w:ascii="Times New Roman" w:hAnsi="Times New Roman" w:eastAsia="方正仿宋_GBK" w:cs="Times New Roman"/>
          <w:color w:val="auto"/>
          <w:sz w:val="32"/>
          <w:szCs w:val="32"/>
        </w:rPr>
        <w:t>辆，环卫工人</w:t>
      </w:r>
      <w:r>
        <w:rPr>
          <w:rFonts w:hint="eastAsia" w:ascii="Times New Roman" w:hAnsi="Times New Roman" w:eastAsia="方正仿宋_GBK" w:cs="Times New Roman"/>
          <w:color w:val="auto"/>
          <w:sz w:val="32"/>
          <w:szCs w:val="32"/>
          <w:lang w:val="en-US" w:eastAsia="zh-CN"/>
        </w:rPr>
        <w:t>630</w:t>
      </w:r>
      <w:r>
        <w:rPr>
          <w:rFonts w:ascii="Times New Roman" w:hAnsi="Times New Roman" w:eastAsia="方正仿宋_GBK" w:cs="Times New Roman"/>
          <w:color w:val="auto"/>
          <w:sz w:val="32"/>
          <w:szCs w:val="32"/>
        </w:rPr>
        <w:t>人，道路清扫保洁面积1</w:t>
      </w:r>
      <w:r>
        <w:rPr>
          <w:rFonts w:hint="eastAsia" w:ascii="Times New Roman" w:hAnsi="Times New Roman" w:eastAsia="方正仿宋_GBK" w:cs="Times New Roman"/>
          <w:color w:val="auto"/>
          <w:sz w:val="32"/>
          <w:szCs w:val="32"/>
          <w:lang w:val="en-US" w:eastAsia="zh-CN"/>
        </w:rPr>
        <w:t>82.14</w:t>
      </w:r>
      <w:r>
        <w:rPr>
          <w:rFonts w:ascii="Times New Roman" w:hAnsi="Times New Roman" w:eastAsia="方正仿宋_GBK" w:cs="Times New Roman"/>
          <w:color w:val="auto"/>
          <w:sz w:val="32"/>
          <w:szCs w:val="32"/>
        </w:rPr>
        <w:t>万平方米。</w:t>
      </w:r>
    </w:p>
    <w:p>
      <w:pPr>
        <w:spacing w:after="0" w:line="560" w:lineRule="exact"/>
        <w:ind w:firstLine="640" w:firstLineChars="200"/>
        <w:jc w:val="both"/>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全年总用水量</w:t>
      </w:r>
      <w:r>
        <w:rPr>
          <w:rFonts w:hint="eastAsia" w:ascii="Times New Roman" w:hAnsi="Times New Roman" w:eastAsia="方正仿宋_GBK" w:cs="Times New Roman"/>
          <w:color w:val="auto"/>
          <w:sz w:val="32"/>
          <w:szCs w:val="32"/>
          <w:lang w:val="en-US" w:eastAsia="zh-CN"/>
        </w:rPr>
        <w:t>7686</w:t>
      </w:r>
      <w:r>
        <w:rPr>
          <w:rFonts w:ascii="Times New Roman" w:hAnsi="Times New Roman" w:eastAsia="方正仿宋_GBK" w:cs="Times New Roman"/>
          <w:color w:val="auto"/>
          <w:sz w:val="32"/>
          <w:szCs w:val="32"/>
        </w:rPr>
        <w:t>万立方米</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成功创建节水型公共机构100个、节水型小区42个</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全年</w:t>
      </w:r>
      <w:r>
        <w:rPr>
          <w:rFonts w:hint="eastAsia" w:ascii="Times New Roman" w:hAnsi="Times New Roman" w:eastAsia="方正仿宋_GBK" w:cs="Times New Roman"/>
          <w:color w:val="auto"/>
          <w:sz w:val="32"/>
          <w:szCs w:val="32"/>
          <w:lang w:eastAsia="zh-CN"/>
        </w:rPr>
        <w:t>新增</w:t>
      </w:r>
      <w:r>
        <w:rPr>
          <w:rFonts w:ascii="Times New Roman" w:hAnsi="Times New Roman" w:eastAsia="方正仿宋_GBK" w:cs="Times New Roman"/>
          <w:color w:val="auto"/>
          <w:sz w:val="32"/>
          <w:szCs w:val="32"/>
        </w:rPr>
        <w:t>营造林面积</w:t>
      </w:r>
      <w:r>
        <w:rPr>
          <w:rFonts w:hint="eastAsia" w:ascii="Times New Roman" w:hAnsi="Times New Roman" w:eastAsia="方正仿宋_GBK" w:cs="Times New Roman"/>
          <w:color w:val="auto"/>
          <w:sz w:val="32"/>
          <w:szCs w:val="32"/>
          <w:lang w:val="en-US" w:eastAsia="zh-CN"/>
        </w:rPr>
        <w:t>16</w:t>
      </w:r>
      <w:r>
        <w:rPr>
          <w:rFonts w:hint="eastAsia" w:ascii="Times New Roman" w:hAnsi="Times New Roman" w:eastAsia="方正仿宋_GBK" w:cs="Times New Roman"/>
          <w:color w:val="auto"/>
          <w:sz w:val="32"/>
          <w:szCs w:val="32"/>
        </w:rPr>
        <w:t>万亩</w:t>
      </w:r>
      <w:r>
        <w:rPr>
          <w:rFonts w:ascii="Times New Roman" w:hAnsi="Times New Roman" w:eastAsia="方正仿宋_GBK" w:cs="Times New Roman"/>
          <w:color w:val="auto"/>
          <w:sz w:val="32"/>
          <w:szCs w:val="32"/>
        </w:rPr>
        <w:t>，森林覆盖率</w:t>
      </w:r>
      <w:r>
        <w:rPr>
          <w:rFonts w:hint="eastAsia" w:ascii="Times New Roman" w:hAnsi="Times New Roman" w:eastAsia="方正仿宋_GBK" w:cs="Times New Roman"/>
          <w:color w:val="auto"/>
          <w:sz w:val="32"/>
          <w:szCs w:val="32"/>
          <w:lang w:val="en-US" w:eastAsia="zh-CN"/>
        </w:rPr>
        <w:t>达到63.2%。空气质量优良率稳定在95%以上。县城垃圾处理量4.69万吨。城市生活污水集中处理率98%，乡镇生活污水集中处理率92%，4个出境断面水质稳定达标。治理水土流失面积57平方公里，修复历史遗留矿山26.5公顷。大唐火电、西南水泥等企业实施节能低碳改造，累计完成碳排放交易33.8万吨。</w:t>
      </w:r>
    </w:p>
    <w:p>
      <w:pPr>
        <w:spacing w:after="0" w:line="560" w:lineRule="exact"/>
        <w:ind w:left="110" w:leftChars="50"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全年共发生火灾以外的各类生产经营性安全伤亡事故</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起，死亡</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人。其中，道路交通安全事故</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起，死亡</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人，</w:t>
      </w:r>
      <w:r>
        <w:rPr>
          <w:rFonts w:hint="eastAsia" w:ascii="Times New Roman" w:hAnsi="Times New Roman" w:eastAsia="方正仿宋_GBK" w:cs="Times New Roman"/>
          <w:color w:val="auto"/>
          <w:sz w:val="32"/>
          <w:szCs w:val="32"/>
          <w:lang w:eastAsia="zh-CN"/>
        </w:rPr>
        <w:t>分别比上年减少</w:t>
      </w:r>
      <w:r>
        <w:rPr>
          <w:rFonts w:hint="eastAsia" w:ascii="Times New Roman" w:hAnsi="Times New Roman" w:eastAsia="方正仿宋_GBK" w:cs="Times New Roman"/>
          <w:color w:val="auto"/>
          <w:sz w:val="32"/>
          <w:szCs w:val="32"/>
          <w:lang w:val="en-US" w:eastAsia="zh-CN"/>
        </w:rPr>
        <w:t>3起和3人</w:t>
      </w:r>
      <w:r>
        <w:rPr>
          <w:rFonts w:ascii="Times New Roman" w:hAnsi="Times New Roman" w:eastAsia="方正仿宋_GBK" w:cs="Times New Roman"/>
          <w:color w:val="auto"/>
          <w:sz w:val="32"/>
          <w:szCs w:val="32"/>
        </w:rPr>
        <w:t>；建筑施工事故</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起，死亡</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人，分别比上年</w:t>
      </w:r>
      <w:r>
        <w:rPr>
          <w:rFonts w:hint="eastAsia" w:ascii="Times New Roman" w:hAnsi="Times New Roman" w:eastAsia="方正仿宋_GBK" w:cs="Times New Roman"/>
          <w:color w:val="auto"/>
          <w:sz w:val="32"/>
          <w:szCs w:val="32"/>
          <w:lang w:eastAsia="zh-CN"/>
        </w:rPr>
        <w:t>增加</w:t>
      </w:r>
      <w:r>
        <w:rPr>
          <w:rFonts w:ascii="Times New Roman" w:hAnsi="Times New Roman" w:eastAsia="方正仿宋_GBK" w:cs="Times New Roman"/>
          <w:color w:val="auto"/>
          <w:sz w:val="32"/>
          <w:szCs w:val="32"/>
        </w:rPr>
        <w:t>2起和2人；工矿商贸及其他事故</w:t>
      </w:r>
      <w:r>
        <w:rPr>
          <w:rFonts w:hint="eastAsia" w:ascii="Times New Roman" w:hAnsi="Times New Roman" w:eastAsia="方正仿宋_GBK" w:cs="Times New Roman"/>
          <w:color w:val="auto"/>
          <w:sz w:val="32"/>
          <w:szCs w:val="32"/>
          <w:lang w:val="en-US" w:eastAsia="zh-CN"/>
        </w:rPr>
        <w:t>1起，死亡1人</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分别比上年</w:t>
      </w:r>
      <w:r>
        <w:rPr>
          <w:rFonts w:hint="eastAsia" w:ascii="Times New Roman" w:hAnsi="Times New Roman" w:eastAsia="方正仿宋_GBK" w:cs="Times New Roman"/>
          <w:color w:val="auto"/>
          <w:sz w:val="32"/>
          <w:szCs w:val="32"/>
          <w:lang w:eastAsia="zh-CN"/>
        </w:rPr>
        <w:t>增加</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起和</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人。全年火灾事故</w:t>
      </w:r>
      <w:r>
        <w:rPr>
          <w:rFonts w:hint="eastAsia" w:ascii="Times New Roman" w:hAnsi="Times New Roman" w:eastAsia="方正仿宋_GBK" w:cs="Times New Roman"/>
          <w:color w:val="auto"/>
          <w:sz w:val="32"/>
          <w:szCs w:val="32"/>
          <w:lang w:val="en-US" w:eastAsia="zh-CN"/>
        </w:rPr>
        <w:t>183</w:t>
      </w:r>
      <w:r>
        <w:rPr>
          <w:rFonts w:ascii="Times New Roman" w:hAnsi="Times New Roman" w:eastAsia="方正仿宋_GBK" w:cs="Times New Roman"/>
          <w:color w:val="auto"/>
          <w:sz w:val="32"/>
          <w:szCs w:val="32"/>
        </w:rPr>
        <w:t>起，死亡</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人，火灾直接经济损失</w:t>
      </w:r>
      <w:r>
        <w:rPr>
          <w:rFonts w:hint="eastAsia" w:ascii="Times New Roman" w:hAnsi="Times New Roman" w:eastAsia="方正仿宋_GBK" w:cs="Times New Roman"/>
          <w:color w:val="auto"/>
          <w:sz w:val="32"/>
          <w:szCs w:val="32"/>
          <w:lang w:val="en-US" w:eastAsia="zh-CN"/>
        </w:rPr>
        <w:t>205.5</w:t>
      </w:r>
      <w:r>
        <w:rPr>
          <w:rFonts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减少</w:t>
      </w:r>
      <w:r>
        <w:rPr>
          <w:rFonts w:hint="eastAsia" w:ascii="Times New Roman" w:hAnsi="Times New Roman" w:eastAsia="方正仿宋_GBK" w:cs="Times New Roman"/>
          <w:color w:val="auto"/>
          <w:sz w:val="32"/>
          <w:szCs w:val="32"/>
          <w:lang w:val="en-US" w:eastAsia="zh-CN"/>
        </w:rPr>
        <w:t>44.5</w:t>
      </w:r>
      <w:r>
        <w:rPr>
          <w:rFonts w:ascii="Times New Roman" w:hAnsi="Times New Roman" w:eastAsia="方正仿宋_GBK" w:cs="Times New Roman"/>
          <w:color w:val="auto"/>
          <w:sz w:val="32"/>
          <w:szCs w:val="32"/>
        </w:rPr>
        <w:t>万元。</w:t>
      </w:r>
    </w:p>
    <w:p>
      <w:pPr>
        <w:spacing w:after="0" w:line="560" w:lineRule="exact"/>
        <w:ind w:firstLine="640" w:firstLineChars="200"/>
        <w:jc w:val="both"/>
        <w:rPr>
          <w:rFonts w:hint="eastAsia" w:ascii="Times New Roman" w:hAnsi="Times New Roman" w:eastAsia="方正仿宋_GBK" w:cs="Times New Roman"/>
          <w:color w:val="auto"/>
          <w:sz w:val="32"/>
          <w:szCs w:val="32"/>
          <w:lang w:val="zh-CN" w:eastAsia="zh-CN"/>
        </w:rPr>
      </w:pPr>
      <w:r>
        <w:rPr>
          <w:rFonts w:hint="eastAsia" w:ascii="方正黑体_GBK" w:hAnsi="宋体" w:eastAsia="方正黑体_GBK" w:cs="宋体"/>
          <w:color w:val="auto"/>
          <w:sz w:val="32"/>
          <w:szCs w:val="32"/>
        </w:rPr>
        <w:t>十、乡村振兴</w:t>
      </w:r>
    </w:p>
    <w:p>
      <w:pPr>
        <w:spacing w:after="0" w:line="560" w:lineRule="exact"/>
        <w:ind w:firstLine="640" w:firstLineChars="200"/>
        <w:jc w:val="both"/>
        <w:rPr>
          <w:rFonts w:hint="eastAsia" w:ascii="Times New Roman" w:hAnsi="Times New Roman" w:eastAsia="方正仿宋_GBK" w:cs="Times New Roman"/>
          <w:color w:val="auto"/>
          <w:kern w:val="2"/>
          <w:sz w:val="32"/>
          <w:szCs w:val="32"/>
          <w:highlight w:val="none"/>
          <w:lang w:eastAsia="zh-CN"/>
        </w:rPr>
      </w:pPr>
      <w:r>
        <w:rPr>
          <w:rFonts w:hint="eastAsia" w:ascii="Times New Roman" w:hAnsi="Times New Roman" w:eastAsia="方正仿宋_GBK" w:cs="Times New Roman"/>
          <w:color w:val="auto"/>
          <w:kern w:val="2"/>
          <w:sz w:val="32"/>
          <w:szCs w:val="32"/>
          <w:highlight w:val="none"/>
        </w:rPr>
        <w:t>脱贫成果持续巩固，</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6543”防返贫监测工作法获全市推广，脱贫人口人均纯收入达到19494元、增长15.9%</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新建和改建“四好农村路”145.8公里，新建及改扩建4G基站</w:t>
      </w:r>
      <w:r>
        <w:rPr>
          <w:rFonts w:hint="eastAsia" w:ascii="Times New Roman" w:hAnsi="Times New Roman" w:eastAsia="方正仿宋_GBK" w:cs="Times New Roman"/>
          <w:color w:val="auto"/>
          <w:kern w:val="2"/>
          <w:sz w:val="32"/>
          <w:szCs w:val="32"/>
          <w:highlight w:val="none"/>
          <w:lang w:val="en-US" w:eastAsia="zh-CN"/>
        </w:rPr>
        <w:t>622</w:t>
      </w:r>
      <w:r>
        <w:rPr>
          <w:rFonts w:hint="eastAsia" w:ascii="Times New Roman" w:hAnsi="Times New Roman" w:eastAsia="方正仿宋_GBK" w:cs="Times New Roman"/>
          <w:color w:val="auto"/>
          <w:kern w:val="2"/>
          <w:sz w:val="32"/>
          <w:szCs w:val="32"/>
          <w:highlight w:val="none"/>
        </w:rPr>
        <w:t>个、5G基站</w:t>
      </w:r>
      <w:r>
        <w:rPr>
          <w:rFonts w:hint="eastAsia" w:ascii="Times New Roman" w:hAnsi="Times New Roman" w:eastAsia="方正仿宋_GBK" w:cs="Times New Roman"/>
          <w:color w:val="auto"/>
          <w:kern w:val="2"/>
          <w:sz w:val="32"/>
          <w:szCs w:val="32"/>
          <w:highlight w:val="none"/>
          <w:lang w:val="en-US" w:eastAsia="zh-CN"/>
        </w:rPr>
        <w:t>1007</w:t>
      </w:r>
      <w:r>
        <w:rPr>
          <w:rFonts w:hint="eastAsia" w:ascii="Times New Roman" w:hAnsi="Times New Roman" w:eastAsia="方正仿宋_GBK" w:cs="Times New Roman"/>
          <w:color w:val="auto"/>
          <w:kern w:val="2"/>
          <w:sz w:val="32"/>
          <w:szCs w:val="32"/>
          <w:highlight w:val="none"/>
        </w:rPr>
        <w:t>个</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新建及改造高标准农田4万亩，累计发展“三色”产业60万亩以上</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深入实施“万企兴万村”行动，实施兴村产业项目488个</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桥头镇创建全国“万企兴万村”示范镇案例获评全市乡村振兴十大示范案例，石柱成功入选国家乡村振兴示范县创建名单。系统谋划农村人居环境综合治理改革，启动黄水、鱼池等11个乡镇（街道）改革试点，桥头镇入选市级美丽宜居示范乡镇</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中益乡坪坝村等10个村成功创建市级乡村治理示范村</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新创建悦崃镇新城村等文明村镇37个。</w:t>
      </w:r>
    </w:p>
    <w:p>
      <w:pPr>
        <w:spacing w:after="0" w:line="560" w:lineRule="exact"/>
        <w:ind w:firstLine="640" w:firstLineChars="200"/>
        <w:jc w:val="both"/>
        <w:rPr>
          <w:rFonts w:hint="eastAsia" w:ascii="Times New Roman" w:hAnsi="Times New Roman" w:eastAsia="方正仿宋_GBK" w:cs="Times New Roman"/>
          <w:color w:val="auto"/>
          <w:kern w:val="2"/>
          <w:sz w:val="32"/>
          <w:szCs w:val="32"/>
          <w:highlight w:val="none"/>
          <w:lang w:eastAsia="zh-CN"/>
        </w:rPr>
      </w:pPr>
      <w:r>
        <w:rPr>
          <w:rFonts w:hint="eastAsia" w:ascii="Times New Roman" w:hAnsi="Times New Roman" w:eastAsia="方正仿宋_GBK" w:cs="Times New Roman"/>
          <w:color w:val="auto"/>
          <w:kern w:val="2"/>
          <w:sz w:val="32"/>
          <w:szCs w:val="32"/>
          <w:highlight w:val="none"/>
        </w:rPr>
        <w:t>千方百计拓宽农民增收渠道，累计向低收入群体发放产业补贴230万元，发放小额贷款2884万元，完成消费帮扶1.3亿元</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持续强化工需对接，累计开展职业技能培训2892人次，全覆盖兑现脱贫人口交通补贴1.6万人次、“雨露计划”补助3627人次，发放创业担保贷款6321万元，实现有就业意愿的2.6万名脱贫人口全部就业</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引育卫生、教育等领域各类人才1120人。继续落实义务教育、基本医疗、住房安全、饮水安全等政策措施，</w:t>
      </w:r>
      <w:r>
        <w:rPr>
          <w:rFonts w:hint="eastAsia" w:ascii="Times New Roman" w:hAnsi="Times New Roman" w:eastAsia="方正仿宋_GBK" w:cs="Times New Roman"/>
          <w:color w:val="auto"/>
          <w:kern w:val="2"/>
          <w:sz w:val="32"/>
          <w:szCs w:val="32"/>
          <w:highlight w:val="none"/>
          <w:lang w:eastAsia="zh-CN"/>
        </w:rPr>
        <w:t>实施</w:t>
      </w:r>
      <w:r>
        <w:rPr>
          <w:rFonts w:hint="eastAsia" w:ascii="Times New Roman" w:hAnsi="Times New Roman" w:eastAsia="方正仿宋_GBK" w:cs="Times New Roman"/>
          <w:color w:val="auto"/>
          <w:kern w:val="2"/>
          <w:sz w:val="32"/>
          <w:szCs w:val="32"/>
          <w:highlight w:val="none"/>
        </w:rPr>
        <w:t>教育资助</w:t>
      </w:r>
      <w:r>
        <w:rPr>
          <w:rFonts w:hint="eastAsia" w:ascii="Times New Roman" w:hAnsi="Times New Roman" w:eastAsia="方正仿宋_GBK" w:cs="Times New Roman"/>
          <w:color w:val="auto"/>
          <w:kern w:val="2"/>
          <w:sz w:val="32"/>
          <w:szCs w:val="32"/>
          <w:highlight w:val="none"/>
          <w:lang w:val="en-US" w:eastAsia="zh-CN"/>
        </w:rPr>
        <w:t>5.4</w:t>
      </w:r>
      <w:r>
        <w:rPr>
          <w:rFonts w:hint="eastAsia" w:ascii="Times New Roman" w:hAnsi="Times New Roman" w:eastAsia="方正仿宋_GBK" w:cs="Times New Roman"/>
          <w:color w:val="auto"/>
          <w:kern w:val="2"/>
          <w:sz w:val="32"/>
          <w:szCs w:val="32"/>
          <w:highlight w:val="none"/>
        </w:rPr>
        <w:t>万人次、113名重度残疾适龄学生送教上门全覆盖，医疗救助6.96万人次、33种大病患者“应治尽治”</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rPr>
        <w:t>实施农村危旧房改造256户、农村供水保障建设项目32处</w:t>
      </w:r>
      <w:r>
        <w:rPr>
          <w:rFonts w:hint="eastAsia" w:ascii="Times New Roman" w:hAnsi="Times New Roman" w:eastAsia="方正仿宋_GBK" w:cs="Times New Roman"/>
          <w:color w:val="auto"/>
          <w:kern w:val="2"/>
          <w:sz w:val="32"/>
          <w:szCs w:val="32"/>
          <w:highlight w:val="none"/>
          <w:lang w:eastAsia="zh-CN"/>
        </w:rPr>
        <w:t>。</w:t>
      </w:r>
    </w:p>
    <w:p>
      <w:pPr>
        <w:spacing w:after="0" w:line="56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十一、科学技术、教育和文化旅游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全年共获得专利授权</w:t>
      </w:r>
      <w:r>
        <w:rPr>
          <w:rFonts w:hint="eastAsia" w:ascii="Times New Roman" w:hAnsi="Times New Roman" w:eastAsia="方正仿宋_GBK" w:cs="Times New Roman"/>
          <w:color w:val="auto"/>
          <w:sz w:val="32"/>
          <w:szCs w:val="32"/>
          <w:lang w:val="en-US" w:eastAsia="zh-CN"/>
        </w:rPr>
        <w:t>105</w:t>
      </w:r>
      <w:r>
        <w:rPr>
          <w:rFonts w:ascii="Times New Roman" w:hAnsi="Times New Roman" w:eastAsia="方正仿宋_GBK" w:cs="Times New Roman"/>
          <w:color w:val="auto"/>
          <w:sz w:val="32"/>
          <w:szCs w:val="32"/>
        </w:rPr>
        <w:t>件，其中发明专利授权</w:t>
      </w:r>
      <w:r>
        <w:rPr>
          <w:rFonts w:hint="eastAsia" w:ascii="Times New Roman" w:hAnsi="Times New Roman" w:eastAsia="方正仿宋_GBK" w:cs="Times New Roman"/>
          <w:color w:val="auto"/>
          <w:sz w:val="32"/>
          <w:szCs w:val="32"/>
          <w:lang w:val="en-US" w:eastAsia="zh-CN"/>
        </w:rPr>
        <w:t>12</w:t>
      </w:r>
      <w:r>
        <w:rPr>
          <w:rFonts w:ascii="Times New Roman" w:hAnsi="Times New Roman" w:eastAsia="方正仿宋_GBK" w:cs="Times New Roman"/>
          <w:color w:val="auto"/>
          <w:sz w:val="32"/>
          <w:szCs w:val="32"/>
        </w:rPr>
        <w:t>件。截至年底，全县市级研发机构</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家，国家高新技术企业</w:t>
      </w:r>
      <w:r>
        <w:rPr>
          <w:rFonts w:hint="eastAsia" w:ascii="Times New Roman" w:hAnsi="Times New Roman" w:eastAsia="方正仿宋_GBK" w:cs="Times New Roman"/>
          <w:color w:val="auto"/>
          <w:sz w:val="32"/>
          <w:szCs w:val="32"/>
          <w:lang w:val="en-US" w:eastAsia="zh-CN"/>
        </w:rPr>
        <w:t>20</w:t>
      </w:r>
      <w:r>
        <w:rPr>
          <w:rFonts w:ascii="Times New Roman" w:hAnsi="Times New Roman" w:eastAsia="方正仿宋_GBK" w:cs="Times New Roman"/>
          <w:color w:val="auto"/>
          <w:sz w:val="32"/>
          <w:szCs w:val="32"/>
        </w:rPr>
        <w:t>家，科技型企业</w:t>
      </w:r>
      <w:r>
        <w:rPr>
          <w:rFonts w:hint="eastAsia" w:ascii="Times New Roman" w:hAnsi="Times New Roman" w:eastAsia="方正仿宋_GBK" w:cs="Times New Roman"/>
          <w:color w:val="auto"/>
          <w:sz w:val="32"/>
          <w:szCs w:val="32"/>
          <w:lang w:val="en-US" w:eastAsia="zh-CN"/>
        </w:rPr>
        <w:t>382</w:t>
      </w:r>
      <w:r>
        <w:rPr>
          <w:rFonts w:ascii="Times New Roman" w:hAnsi="Times New Roman" w:eastAsia="方正仿宋_GBK" w:cs="Times New Roman"/>
          <w:color w:val="auto"/>
          <w:sz w:val="32"/>
          <w:szCs w:val="32"/>
        </w:rPr>
        <w:t>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全县有各级各类学校</w:t>
      </w:r>
      <w:r>
        <w:rPr>
          <w:rFonts w:hint="eastAsia" w:ascii="Times New Roman" w:hAnsi="Times New Roman" w:eastAsia="方正仿宋_GBK" w:cs="Times New Roman"/>
          <w:color w:val="auto"/>
          <w:sz w:val="32"/>
          <w:szCs w:val="32"/>
          <w:lang w:val="en-US" w:eastAsia="zh-CN"/>
        </w:rPr>
        <w:t>175</w:t>
      </w:r>
      <w:r>
        <w:rPr>
          <w:rFonts w:ascii="Times New Roman" w:hAnsi="Times New Roman" w:eastAsia="方正仿宋_GBK" w:cs="Times New Roman"/>
          <w:color w:val="auto"/>
          <w:sz w:val="32"/>
          <w:szCs w:val="32"/>
          <w:lang w:val="en-US" w:eastAsia="zh-CN"/>
        </w:rPr>
        <w:t>所。其中，中等职业学校</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lang w:val="en-US" w:eastAsia="zh-CN"/>
        </w:rPr>
        <w:t>所，普通中学20所，小学</w:t>
      </w:r>
      <w:r>
        <w:rPr>
          <w:rFonts w:hint="eastAsia" w:ascii="Times New Roman" w:hAnsi="Times New Roman" w:eastAsia="方正仿宋_GBK" w:cs="Times New Roman"/>
          <w:color w:val="auto"/>
          <w:sz w:val="32"/>
          <w:szCs w:val="32"/>
          <w:lang w:val="en-US" w:eastAsia="zh-CN"/>
        </w:rPr>
        <w:t>73</w:t>
      </w:r>
      <w:r>
        <w:rPr>
          <w:rFonts w:ascii="Times New Roman" w:hAnsi="Times New Roman" w:eastAsia="方正仿宋_GBK" w:cs="Times New Roman"/>
          <w:color w:val="auto"/>
          <w:sz w:val="32"/>
          <w:szCs w:val="32"/>
          <w:lang w:val="en-US" w:eastAsia="zh-CN"/>
        </w:rPr>
        <w:t>所，幼儿园</w:t>
      </w:r>
      <w:r>
        <w:rPr>
          <w:rFonts w:hint="eastAsia" w:ascii="Times New Roman" w:hAnsi="Times New Roman" w:eastAsia="方正仿宋_GBK" w:cs="Times New Roman"/>
          <w:color w:val="auto"/>
          <w:sz w:val="32"/>
          <w:szCs w:val="32"/>
          <w:lang w:val="en-US" w:eastAsia="zh-CN"/>
        </w:rPr>
        <w:t>80</w:t>
      </w:r>
      <w:r>
        <w:rPr>
          <w:rFonts w:ascii="Times New Roman" w:hAnsi="Times New Roman" w:eastAsia="方正仿宋_GBK" w:cs="Times New Roman"/>
          <w:color w:val="auto"/>
          <w:sz w:val="32"/>
          <w:szCs w:val="32"/>
          <w:lang w:val="en-US" w:eastAsia="zh-CN"/>
        </w:rPr>
        <w:t>所，特殊教育学校1所。普通高中招生</w:t>
      </w:r>
      <w:r>
        <w:rPr>
          <w:rFonts w:hint="eastAsia" w:ascii="Times New Roman" w:hAnsi="Times New Roman" w:eastAsia="方正仿宋_GBK" w:cs="Times New Roman"/>
          <w:color w:val="auto"/>
          <w:sz w:val="32"/>
          <w:szCs w:val="32"/>
          <w:lang w:val="en-US" w:eastAsia="zh-CN"/>
        </w:rPr>
        <w:t>3933</w:t>
      </w:r>
      <w:r>
        <w:rPr>
          <w:rFonts w:ascii="Times New Roman" w:hAnsi="Times New Roman" w:eastAsia="方正仿宋_GBK" w:cs="Times New Roman"/>
          <w:color w:val="auto"/>
          <w:sz w:val="32"/>
          <w:szCs w:val="32"/>
          <w:lang w:val="en-US" w:eastAsia="zh-CN"/>
        </w:rPr>
        <w:t>人，在校生</w:t>
      </w:r>
      <w:r>
        <w:rPr>
          <w:rFonts w:hint="eastAsia" w:ascii="Times New Roman" w:hAnsi="Times New Roman" w:eastAsia="方正仿宋_GBK" w:cs="Times New Roman"/>
          <w:color w:val="auto"/>
          <w:sz w:val="32"/>
          <w:szCs w:val="32"/>
          <w:lang w:val="en-US" w:eastAsia="zh-CN"/>
        </w:rPr>
        <w:t>12986</w:t>
      </w:r>
      <w:r>
        <w:rPr>
          <w:rFonts w:ascii="Times New Roman" w:hAnsi="Times New Roman" w:eastAsia="方正仿宋_GBK" w:cs="Times New Roman"/>
          <w:color w:val="auto"/>
          <w:sz w:val="32"/>
          <w:szCs w:val="32"/>
          <w:lang w:val="en-US" w:eastAsia="zh-CN"/>
        </w:rPr>
        <w:t>人，毕业生</w:t>
      </w:r>
      <w:r>
        <w:rPr>
          <w:rFonts w:hint="eastAsia" w:ascii="Times New Roman" w:hAnsi="Times New Roman" w:eastAsia="方正仿宋_GBK" w:cs="Times New Roman"/>
          <w:color w:val="auto"/>
          <w:sz w:val="32"/>
          <w:szCs w:val="32"/>
          <w:lang w:val="en-US" w:eastAsia="zh-CN"/>
        </w:rPr>
        <w:t>4538</w:t>
      </w:r>
      <w:r>
        <w:rPr>
          <w:rFonts w:ascii="Times New Roman" w:hAnsi="Times New Roman" w:eastAsia="方正仿宋_GBK" w:cs="Times New Roman"/>
          <w:color w:val="auto"/>
          <w:sz w:val="32"/>
          <w:szCs w:val="32"/>
          <w:lang w:val="en-US" w:eastAsia="zh-CN"/>
        </w:rPr>
        <w:t>人，专任教师</w:t>
      </w:r>
      <w:r>
        <w:rPr>
          <w:rFonts w:hint="eastAsia" w:ascii="Times New Roman" w:hAnsi="Times New Roman" w:eastAsia="方正仿宋_GBK" w:cs="Times New Roman"/>
          <w:color w:val="auto"/>
          <w:sz w:val="32"/>
          <w:szCs w:val="32"/>
          <w:lang w:val="en-US" w:eastAsia="zh-CN"/>
        </w:rPr>
        <w:t>867</w:t>
      </w:r>
      <w:r>
        <w:rPr>
          <w:rFonts w:ascii="Times New Roman" w:hAnsi="Times New Roman" w:eastAsia="方正仿宋_GBK" w:cs="Times New Roman"/>
          <w:color w:val="auto"/>
          <w:sz w:val="32"/>
          <w:szCs w:val="32"/>
          <w:lang w:val="en-US" w:eastAsia="zh-CN"/>
        </w:rPr>
        <w:t>人；普通初中招生</w:t>
      </w:r>
      <w:r>
        <w:rPr>
          <w:rFonts w:hint="eastAsia" w:ascii="Times New Roman" w:hAnsi="Times New Roman" w:eastAsia="方正仿宋_GBK" w:cs="Times New Roman"/>
          <w:color w:val="auto"/>
          <w:sz w:val="32"/>
          <w:szCs w:val="32"/>
          <w:lang w:val="en-US" w:eastAsia="zh-CN"/>
        </w:rPr>
        <w:t>4761</w:t>
      </w:r>
      <w:r>
        <w:rPr>
          <w:rFonts w:ascii="Times New Roman" w:hAnsi="Times New Roman" w:eastAsia="方正仿宋_GBK" w:cs="Times New Roman"/>
          <w:color w:val="auto"/>
          <w:sz w:val="32"/>
          <w:szCs w:val="32"/>
          <w:lang w:val="en-US" w:eastAsia="zh-CN"/>
        </w:rPr>
        <w:t>人，在校生</w:t>
      </w:r>
      <w:r>
        <w:rPr>
          <w:rFonts w:hint="eastAsia" w:ascii="Times New Roman" w:hAnsi="Times New Roman" w:eastAsia="方正仿宋_GBK" w:cs="Times New Roman"/>
          <w:color w:val="auto"/>
          <w:sz w:val="32"/>
          <w:szCs w:val="32"/>
          <w:lang w:val="en-US" w:eastAsia="zh-CN"/>
        </w:rPr>
        <w:t>15101</w:t>
      </w:r>
      <w:r>
        <w:rPr>
          <w:rFonts w:ascii="Times New Roman" w:hAnsi="Times New Roman" w:eastAsia="方正仿宋_GBK" w:cs="Times New Roman"/>
          <w:color w:val="auto"/>
          <w:sz w:val="32"/>
          <w:szCs w:val="32"/>
          <w:lang w:val="en-US" w:eastAsia="zh-CN"/>
        </w:rPr>
        <w:t>人，毕业生</w:t>
      </w:r>
      <w:r>
        <w:rPr>
          <w:rFonts w:hint="eastAsia" w:ascii="Times New Roman" w:hAnsi="Times New Roman" w:eastAsia="方正仿宋_GBK" w:cs="Times New Roman"/>
          <w:color w:val="auto"/>
          <w:sz w:val="32"/>
          <w:szCs w:val="32"/>
          <w:lang w:val="en-US" w:eastAsia="zh-CN"/>
        </w:rPr>
        <w:t>5340</w:t>
      </w:r>
      <w:r>
        <w:rPr>
          <w:rFonts w:ascii="Times New Roman" w:hAnsi="Times New Roman" w:eastAsia="方正仿宋_GBK" w:cs="Times New Roman"/>
          <w:color w:val="auto"/>
          <w:sz w:val="32"/>
          <w:szCs w:val="32"/>
          <w:lang w:val="en-US" w:eastAsia="zh-CN"/>
        </w:rPr>
        <w:t>人，专任教师</w:t>
      </w:r>
      <w:r>
        <w:rPr>
          <w:rFonts w:hint="eastAsia" w:ascii="Times New Roman" w:hAnsi="Times New Roman" w:eastAsia="方正仿宋_GBK" w:cs="Times New Roman"/>
          <w:color w:val="auto"/>
          <w:sz w:val="32"/>
          <w:szCs w:val="32"/>
          <w:lang w:val="en-US" w:eastAsia="zh-CN"/>
        </w:rPr>
        <w:t>1282</w:t>
      </w:r>
      <w:r>
        <w:rPr>
          <w:rFonts w:ascii="Times New Roman" w:hAnsi="Times New Roman" w:eastAsia="方正仿宋_GBK" w:cs="Times New Roman"/>
          <w:color w:val="auto"/>
          <w:sz w:val="32"/>
          <w:szCs w:val="32"/>
          <w:lang w:val="en-US" w:eastAsia="zh-CN"/>
        </w:rPr>
        <w:t>人；小学招生</w:t>
      </w:r>
      <w:r>
        <w:rPr>
          <w:rFonts w:hint="eastAsia" w:ascii="Times New Roman" w:hAnsi="Times New Roman" w:eastAsia="方正仿宋_GBK" w:cs="Times New Roman"/>
          <w:color w:val="auto"/>
          <w:sz w:val="32"/>
          <w:szCs w:val="32"/>
          <w:lang w:val="en-US" w:eastAsia="zh-CN"/>
        </w:rPr>
        <w:t>4260</w:t>
      </w:r>
      <w:r>
        <w:rPr>
          <w:rFonts w:ascii="Times New Roman" w:hAnsi="Times New Roman" w:eastAsia="方正仿宋_GBK" w:cs="Times New Roman"/>
          <w:color w:val="auto"/>
          <w:sz w:val="32"/>
          <w:szCs w:val="32"/>
          <w:lang w:val="en-US" w:eastAsia="zh-CN"/>
        </w:rPr>
        <w:t>人，在校生</w:t>
      </w:r>
      <w:r>
        <w:rPr>
          <w:rFonts w:hint="eastAsia" w:ascii="Times New Roman" w:hAnsi="Times New Roman" w:eastAsia="方正仿宋_GBK" w:cs="Times New Roman"/>
          <w:color w:val="auto"/>
          <w:sz w:val="32"/>
          <w:szCs w:val="32"/>
          <w:lang w:val="en-US" w:eastAsia="zh-CN"/>
        </w:rPr>
        <w:t>26020</w:t>
      </w:r>
      <w:r>
        <w:rPr>
          <w:rFonts w:ascii="Times New Roman" w:hAnsi="Times New Roman" w:eastAsia="方正仿宋_GBK" w:cs="Times New Roman"/>
          <w:color w:val="auto"/>
          <w:sz w:val="32"/>
          <w:szCs w:val="32"/>
          <w:lang w:val="en-US" w:eastAsia="zh-CN"/>
        </w:rPr>
        <w:t>人，毕业生</w:t>
      </w:r>
      <w:r>
        <w:rPr>
          <w:rFonts w:hint="eastAsia" w:ascii="Times New Roman" w:hAnsi="Times New Roman" w:eastAsia="方正仿宋_GBK" w:cs="Times New Roman"/>
          <w:color w:val="auto"/>
          <w:sz w:val="32"/>
          <w:szCs w:val="32"/>
          <w:lang w:val="en-US" w:eastAsia="zh-CN"/>
        </w:rPr>
        <w:t>4734</w:t>
      </w:r>
      <w:r>
        <w:rPr>
          <w:rFonts w:ascii="Times New Roman" w:hAnsi="Times New Roman" w:eastAsia="方正仿宋_GBK" w:cs="Times New Roman"/>
          <w:color w:val="auto"/>
          <w:sz w:val="32"/>
          <w:szCs w:val="32"/>
          <w:lang w:val="en-US" w:eastAsia="zh-CN"/>
        </w:rPr>
        <w:t>人，专任教师</w:t>
      </w:r>
      <w:r>
        <w:rPr>
          <w:rFonts w:hint="eastAsia" w:ascii="Times New Roman" w:hAnsi="Times New Roman" w:eastAsia="方正仿宋_GBK" w:cs="Times New Roman"/>
          <w:color w:val="auto"/>
          <w:sz w:val="32"/>
          <w:szCs w:val="32"/>
          <w:lang w:val="en-US" w:eastAsia="zh-CN"/>
        </w:rPr>
        <w:t>2117</w:t>
      </w:r>
      <w:r>
        <w:rPr>
          <w:rFonts w:ascii="Times New Roman" w:hAnsi="Times New Roman" w:eastAsia="方正仿宋_GBK" w:cs="Times New Roman"/>
          <w:color w:val="auto"/>
          <w:sz w:val="32"/>
          <w:szCs w:val="32"/>
          <w:lang w:val="en-US" w:eastAsia="zh-CN"/>
        </w:rPr>
        <w:t>人</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val="en-US" w:eastAsia="zh-CN"/>
        </w:rPr>
        <w:t>学前教育毛入园率、义务教育巩固率分别达</w:t>
      </w:r>
      <w:r>
        <w:rPr>
          <w:rFonts w:hint="eastAsia" w:ascii="Times New Roman" w:hAnsi="Times New Roman" w:eastAsia="方正仿宋_GBK" w:cs="Times New Roman"/>
          <w:color w:val="auto"/>
          <w:sz w:val="32"/>
          <w:szCs w:val="32"/>
          <w:lang w:val="en-US" w:eastAsia="zh-CN"/>
        </w:rPr>
        <w:t>到</w:t>
      </w:r>
      <w:r>
        <w:rPr>
          <w:rFonts w:ascii="Times New Roman" w:hAnsi="Times New Roman" w:eastAsia="方正仿宋_GBK" w:cs="Times New Roman"/>
          <w:color w:val="auto"/>
          <w:sz w:val="32"/>
          <w:szCs w:val="32"/>
          <w:lang w:val="en-US" w:eastAsia="zh-CN"/>
        </w:rPr>
        <w:t>93%、100%，职业教育毕业生就业率稳定在95%以上</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年末全县拥有国家A级景区</w:t>
      </w: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个，其中4A级景区</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个。</w:t>
      </w:r>
      <w:r>
        <w:rPr>
          <w:rFonts w:hint="eastAsia" w:ascii="Times New Roman" w:hAnsi="Times New Roman" w:eastAsia="方正仿宋_GBK" w:cs="方正仿宋_GBK"/>
          <w:b w:val="0"/>
          <w:bCs w:val="0"/>
          <w:color w:val="auto"/>
          <w:w w:val="100"/>
          <w:sz w:val="32"/>
          <w:szCs w:val="32"/>
          <w:lang w:val="en-US" w:eastAsia="zh-CN"/>
        </w:rPr>
        <w:t>太阳湖景区成功创建国家4A级旅</w:t>
      </w:r>
      <w:r>
        <w:rPr>
          <w:rFonts w:hint="eastAsia" w:ascii="Times New Roman" w:hAnsi="Times New Roman" w:eastAsia="方正仿宋_GBK" w:cs="Times New Roman"/>
          <w:color w:val="auto"/>
          <w:sz w:val="32"/>
          <w:szCs w:val="32"/>
          <w:lang w:val="en-US" w:eastAsia="zh-CN"/>
        </w:rPr>
        <w:t>游景区，</w:t>
      </w:r>
      <w:r>
        <w:rPr>
          <w:rFonts w:hint="eastAsia" w:ascii="Times New Roman" w:hAnsi="Times New Roman" w:eastAsia="方正仿宋_GBK" w:cs="Times New Roman"/>
          <w:color w:val="auto"/>
          <w:sz w:val="32"/>
          <w:szCs w:val="32"/>
          <w:lang w:val="en-US" w:eastAsia="zh-Hans"/>
        </w:rPr>
        <w:t>桥头镇长沙村</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Hans"/>
        </w:rPr>
        <w:t>中益乡坪坝村</w:t>
      </w:r>
      <w:r>
        <w:rPr>
          <w:rFonts w:hint="eastAsia" w:ascii="Times New Roman" w:hAnsi="Times New Roman" w:eastAsia="方正仿宋_GBK" w:cs="Times New Roman"/>
          <w:color w:val="auto"/>
          <w:sz w:val="32"/>
          <w:szCs w:val="32"/>
          <w:lang w:eastAsia="zh-Hans"/>
        </w:rPr>
        <w:t>2</w:t>
      </w:r>
      <w:r>
        <w:rPr>
          <w:rFonts w:hint="eastAsia" w:ascii="Times New Roman" w:hAnsi="Times New Roman" w:eastAsia="方正仿宋_GBK" w:cs="Times New Roman"/>
          <w:color w:val="auto"/>
          <w:sz w:val="32"/>
          <w:szCs w:val="32"/>
          <w:lang w:val="en-US" w:eastAsia="zh-Hans"/>
        </w:rPr>
        <w:t>个村落成</w:t>
      </w:r>
      <w:r>
        <w:rPr>
          <w:rFonts w:hint="eastAsia" w:ascii="Times New Roman" w:hAnsi="Times New Roman" w:eastAsia="方正仿宋_GBK" w:cs="Times New Roman"/>
          <w:color w:val="auto"/>
          <w:sz w:val="32"/>
          <w:szCs w:val="32"/>
          <w:lang w:val="en-US" w:eastAsia="zh-CN"/>
        </w:rPr>
        <w:t>功入选</w:t>
      </w:r>
      <w:r>
        <w:rPr>
          <w:rFonts w:hint="eastAsia" w:ascii="Times New Roman" w:hAnsi="Times New Roman" w:eastAsia="方正仿宋_GBK" w:cs="Times New Roman"/>
          <w:color w:val="auto"/>
          <w:sz w:val="32"/>
          <w:szCs w:val="32"/>
          <w:lang w:val="en-US" w:eastAsia="zh-Hans"/>
        </w:rPr>
        <w:t>重庆市乡村旅游重点村</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万寿山景区成功创建市级文明旅游示范单位。</w:t>
      </w:r>
      <w:r>
        <w:rPr>
          <w:rFonts w:ascii="Times New Roman" w:hAnsi="Times New Roman" w:eastAsia="方正仿宋_GBK" w:cs="Times New Roman"/>
          <w:color w:val="auto"/>
          <w:sz w:val="32"/>
          <w:szCs w:val="32"/>
        </w:rPr>
        <w:t>全年共接待游客</w:t>
      </w:r>
      <w:r>
        <w:rPr>
          <w:rFonts w:hint="eastAsia" w:ascii="Times New Roman" w:hAnsi="Times New Roman" w:eastAsia="方正仿宋_GBK" w:cs="Times New Roman"/>
          <w:color w:val="auto"/>
          <w:sz w:val="32"/>
          <w:szCs w:val="32"/>
          <w:lang w:val="en-US" w:eastAsia="zh-CN"/>
        </w:rPr>
        <w:t>2390</w:t>
      </w:r>
      <w:r>
        <w:rPr>
          <w:rFonts w:ascii="Times New Roman" w:hAnsi="Times New Roman" w:eastAsia="方正仿宋_GBK" w:cs="Times New Roman"/>
          <w:color w:val="auto"/>
          <w:sz w:val="32"/>
          <w:szCs w:val="32"/>
        </w:rPr>
        <w:t>万人次，比上年增长</w:t>
      </w:r>
      <w:r>
        <w:rPr>
          <w:rFonts w:hint="eastAsia" w:ascii="Times New Roman" w:hAnsi="Times New Roman" w:eastAsia="方正仿宋_GBK" w:cs="Times New Roman"/>
          <w:color w:val="auto"/>
          <w:sz w:val="32"/>
          <w:szCs w:val="32"/>
          <w:lang w:val="en-US" w:eastAsia="zh-CN"/>
        </w:rPr>
        <w:t>22.6</w:t>
      </w:r>
      <w:r>
        <w:rPr>
          <w:rFonts w:ascii="Times New Roman" w:hAnsi="Times New Roman" w:eastAsia="方正仿宋_GBK" w:cs="Times New Roman"/>
          <w:color w:val="auto"/>
          <w:sz w:val="32"/>
          <w:szCs w:val="32"/>
        </w:rPr>
        <w:t>%；实现旅游综合收入</w:t>
      </w:r>
      <w:r>
        <w:rPr>
          <w:rFonts w:hint="eastAsia" w:ascii="Times New Roman" w:hAnsi="Times New Roman" w:eastAsia="方正仿宋_GBK" w:cs="Times New Roman"/>
          <w:color w:val="auto"/>
          <w:sz w:val="32"/>
          <w:szCs w:val="32"/>
          <w:lang w:val="en-US" w:eastAsia="zh-CN"/>
        </w:rPr>
        <w:t>170</w:t>
      </w:r>
      <w:r>
        <w:rPr>
          <w:rFonts w:ascii="Times New Roman" w:hAnsi="Times New Roman" w:eastAsia="方正仿宋_GBK" w:cs="Times New Roman"/>
          <w:color w:val="auto"/>
          <w:sz w:val="32"/>
          <w:szCs w:val="32"/>
        </w:rPr>
        <w:t>亿元，比上年增长</w:t>
      </w:r>
      <w:r>
        <w:rPr>
          <w:rFonts w:hint="eastAsia" w:ascii="Times New Roman" w:hAnsi="Times New Roman" w:eastAsia="方正仿宋_GBK" w:cs="Times New Roman"/>
          <w:color w:val="auto"/>
          <w:sz w:val="32"/>
          <w:szCs w:val="32"/>
          <w:lang w:val="en-US" w:eastAsia="zh-CN"/>
        </w:rPr>
        <w:t>16.4%。</w:t>
      </w:r>
      <w:r>
        <w:rPr>
          <w:rFonts w:hint="eastAsia" w:ascii="Times New Roman" w:hAnsi="Times New Roman" w:eastAsia="方正仿宋_GBK" w:cs="Times New Roman"/>
          <w:color w:val="auto"/>
          <w:sz w:val="32"/>
          <w:szCs w:val="32"/>
          <w:lang w:val="en-US" w:eastAsia="zh-Hans"/>
        </w:rPr>
        <w:t>县图书馆开通</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Hans"/>
        </w:rPr>
        <w:t>川渝一卡通”通借通还功能，办理中小学生免费借阅卡1.5万张。建成24小时城市书房1个、乡村书屋5个、幼儿园“绘本驿站”3个</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Hans"/>
        </w:rPr>
        <w:t>完成县文化馆及图书馆黄水旅游度假区分馆建设，打造桥头写生艺术基地</w:t>
      </w:r>
      <w:r>
        <w:rPr>
          <w:rFonts w:hint="eastAsia" w:ascii="Times New Roman" w:hAnsi="Times New Roman" w:eastAsia="方正仿宋_GBK" w:cs="Times New Roman"/>
          <w:color w:val="auto"/>
          <w:sz w:val="32"/>
          <w:szCs w:val="32"/>
          <w:lang w:val="en-US" w:eastAsia="zh-CN"/>
        </w:rPr>
        <w:t>，建成西沱、桥头孔子学堂。</w:t>
      </w:r>
      <w:r>
        <w:rPr>
          <w:rFonts w:hint="eastAsia" w:ascii="Times New Roman" w:hAnsi="Times New Roman" w:eastAsia="方正仿宋_GBK" w:cs="Times New Roman"/>
          <w:color w:val="auto"/>
          <w:sz w:val="32"/>
          <w:szCs w:val="32"/>
          <w:lang w:val="en-US" w:eastAsia="zh-Hans"/>
        </w:rPr>
        <w:t>天上黄水大剧院入选全市第三批演艺新空间。开展啰儿调传唱大赛、全县摆手舞大赛、四季村晚、桥头写生艺术节等大型文化活动，中益光明村村晚成功入选全国四季村晚示范展示点。开展送文化下基层活动393场，流动文化进村1023场次。</w:t>
      </w:r>
    </w:p>
    <w:p>
      <w:pPr>
        <w:spacing w:after="0" w:line="560" w:lineRule="exact"/>
        <w:ind w:firstLine="640" w:firstLineChars="200"/>
        <w:jc w:val="both"/>
        <w:rPr>
          <w:rFonts w:ascii="方正黑体_GBK" w:hAnsi="宋体" w:eastAsia="方正黑体_GBK" w:cs="宋体"/>
          <w:color w:val="auto"/>
          <w:sz w:val="32"/>
          <w:szCs w:val="32"/>
        </w:rPr>
      </w:pPr>
      <w:r>
        <w:rPr>
          <w:rFonts w:hint="eastAsia" w:ascii="方正黑体_GBK" w:hAnsi="宋体" w:eastAsia="方正黑体_GBK" w:cs="宋体"/>
          <w:color w:val="auto"/>
          <w:sz w:val="32"/>
          <w:szCs w:val="32"/>
        </w:rPr>
        <w:t>十二、卫生健康和体育</w:t>
      </w:r>
    </w:p>
    <w:p>
      <w:pPr>
        <w:spacing w:after="0" w:line="560" w:lineRule="exact"/>
        <w:ind w:firstLine="640" w:firstLineChars="200"/>
        <w:jc w:val="both"/>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卫生系统全年</w:t>
      </w:r>
      <w:r>
        <w:rPr>
          <w:rFonts w:hint="eastAsia" w:ascii="Times New Roman" w:hAnsi="Times New Roman" w:eastAsia="方正仿宋_GBK" w:cs="Times New Roman"/>
          <w:color w:val="auto"/>
          <w:sz w:val="32"/>
          <w:szCs w:val="32"/>
          <w:lang w:val="en-US" w:eastAsia="zh-CN"/>
        </w:rPr>
        <w:t>实现总收入10.46亿元。年末全县共有各级各类医疗卫生机构385个，其中：医院9个，社区卫生服务中心（站）5个，乡镇卫生院30个，村卫生室207个。全县现有卫生机构床位3994张，其中医院床位3067张。全县共有卫生技术人员3067人，执业（助理）医师1445人，注册护士1816人。常住人口中每千人拥有卫生技术人员8.2人。县人民医院、县中医院成功晋级三级医院，建成养老服务中心27个、养老服务站144个。城乡居民基本养老、医疗保险参保率稳定在95%以上，“惠民济困保”参保达2.2万余人。</w:t>
      </w:r>
    </w:p>
    <w:p>
      <w:pPr>
        <w:spacing w:line="580" w:lineRule="exact"/>
        <w:ind w:firstLine="640" w:firstLineChars="200"/>
        <w:jc w:val="both"/>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全年</w:t>
      </w:r>
      <w:r>
        <w:rPr>
          <w:rFonts w:hint="eastAsia" w:ascii="Times New Roman" w:hAnsi="Times New Roman" w:eastAsia="方正仿宋_GBK" w:cs="Times New Roman"/>
          <w:color w:val="auto"/>
          <w:sz w:val="32"/>
          <w:szCs w:val="32"/>
        </w:rPr>
        <w:t>新增体育</w:t>
      </w:r>
      <w:r>
        <w:rPr>
          <w:rFonts w:hint="eastAsia" w:ascii="Times New Roman" w:hAnsi="Times New Roman" w:eastAsia="方正仿宋_GBK" w:cs="Times New Roman"/>
          <w:color w:val="auto"/>
          <w:sz w:val="32"/>
          <w:szCs w:val="32"/>
          <w:lang w:eastAsia="zh-CN"/>
        </w:rPr>
        <w:t>场地面积</w:t>
      </w:r>
      <w:r>
        <w:rPr>
          <w:rFonts w:hint="eastAsia" w:ascii="Times New Roman" w:hAnsi="Times New Roman" w:eastAsia="方正仿宋_GBK" w:cs="Times New Roman"/>
          <w:color w:val="auto"/>
          <w:sz w:val="32"/>
          <w:szCs w:val="32"/>
          <w:lang w:val="en-US" w:eastAsia="zh-CN"/>
        </w:rPr>
        <w:t>13.16</w:t>
      </w:r>
      <w:r>
        <w:rPr>
          <w:rFonts w:hint="eastAsia" w:ascii="Times New Roman" w:hAnsi="Times New Roman" w:eastAsia="方正仿宋_GBK" w:cs="Times New Roman"/>
          <w:color w:val="auto"/>
          <w:sz w:val="32"/>
          <w:szCs w:val="32"/>
          <w:lang w:eastAsia="zh-CN"/>
        </w:rPr>
        <w:t>万平方米，全县体育场地总面积达到</w:t>
      </w:r>
      <w:r>
        <w:rPr>
          <w:rFonts w:hint="eastAsia" w:ascii="Times New Roman" w:hAnsi="Times New Roman" w:eastAsia="方正仿宋_GBK" w:cs="Times New Roman"/>
          <w:color w:val="auto"/>
          <w:sz w:val="32"/>
          <w:szCs w:val="32"/>
          <w:lang w:val="en-US" w:eastAsia="zh-CN"/>
        </w:rPr>
        <w:t>103.21</w:t>
      </w:r>
      <w:r>
        <w:rPr>
          <w:rFonts w:hint="eastAsia" w:ascii="Times New Roman" w:hAnsi="Times New Roman" w:eastAsia="方正仿宋_GBK" w:cs="Times New Roman"/>
          <w:color w:val="auto"/>
          <w:sz w:val="32"/>
          <w:szCs w:val="32"/>
          <w:lang w:eastAsia="zh-CN"/>
        </w:rPr>
        <w:t>万平方</w:t>
      </w:r>
      <w:r>
        <w:rPr>
          <w:rFonts w:hint="eastAsia" w:ascii="Times New Roman" w:hAnsi="Times New Roman" w:eastAsia="方正仿宋_GBK" w:cs="Times New Roman"/>
          <w:color w:val="auto"/>
          <w:sz w:val="32"/>
          <w:szCs w:val="32"/>
          <w:lang w:val="en-US" w:eastAsia="zh-CN"/>
        </w:rPr>
        <w:t>米。持续完善公共体育基础设施，新建滨河晓月体育公园，黄水体育公园成功升级为中型体育公园。举办县级青少年体育赛事活动20余场次。成功举办2023年“全民健身日”重庆市公开水域游泳比赛、县第四届民族体育运动会等全民健身赛事活动累计80余场次。全县政府公共体育设施免费开放率达100%。加大体彩促销宣传力度，全县体彩销售点累计达63个，全年销售体彩2.35亿元。</w:t>
      </w:r>
    </w:p>
    <w:p>
      <w:pPr>
        <w:pStyle w:val="2"/>
        <w:rPr>
          <w:rFonts w:hint="eastAsia"/>
          <w:color w:val="auto"/>
          <w:lang w:val="en-US" w:eastAsia="zh-CN"/>
        </w:rPr>
      </w:pPr>
    </w:p>
    <w:p>
      <w:pPr>
        <w:spacing w:after="0" w:line="360" w:lineRule="exact"/>
        <w:ind w:firstLine="420" w:firstLineChars="200"/>
        <w:rPr>
          <w:rFonts w:ascii="方正仿宋_GBK" w:hAnsi="Calibri" w:eastAsia="方正仿宋_GBK" w:cs="Times New Roman"/>
          <w:b/>
          <w:color w:val="auto"/>
          <w:kern w:val="2"/>
          <w:sz w:val="21"/>
          <w:szCs w:val="21"/>
        </w:rPr>
      </w:pPr>
      <w:r>
        <w:rPr>
          <w:rFonts w:hint="eastAsia" w:ascii="方正仿宋_GBK" w:hAnsi="Calibri" w:eastAsia="方正仿宋_GBK" w:cs="Times New Roman"/>
          <w:b/>
          <w:color w:val="auto"/>
          <w:kern w:val="2"/>
          <w:sz w:val="21"/>
          <w:szCs w:val="21"/>
        </w:rPr>
        <w:t>注：1.本公报数据为初步统计数，最终数据以《石柱统计年鉴》为准；</w:t>
      </w:r>
    </w:p>
    <w:p>
      <w:pPr>
        <w:pStyle w:val="18"/>
        <w:spacing w:after="0" w:line="360" w:lineRule="exact"/>
        <w:ind w:left="360" w:firstLine="525" w:firstLineChars="250"/>
        <w:rPr>
          <w:rFonts w:ascii="方正仿宋_GBK" w:hAnsi="Calibri" w:eastAsia="方正仿宋_GBK" w:cs="Times New Roman"/>
          <w:b/>
          <w:color w:val="auto"/>
          <w:kern w:val="2"/>
          <w:sz w:val="21"/>
          <w:szCs w:val="21"/>
        </w:rPr>
      </w:pPr>
      <w:r>
        <w:rPr>
          <w:rFonts w:hint="eastAsia" w:ascii="方正仿宋_GBK" w:hAnsi="Calibri" w:eastAsia="方正仿宋_GBK" w:cs="Times New Roman"/>
          <w:b/>
          <w:color w:val="auto"/>
          <w:kern w:val="2"/>
          <w:sz w:val="21"/>
          <w:szCs w:val="21"/>
        </w:rPr>
        <w:t>2.公报中地区生产总值、三次产业及相关行业增加值、人均地区生产总值绝对数按现价计算，增长速度按可比价计算；</w:t>
      </w:r>
    </w:p>
    <w:p>
      <w:pPr>
        <w:pStyle w:val="18"/>
        <w:spacing w:after="0" w:line="360" w:lineRule="exact"/>
        <w:ind w:left="440" w:leftChars="200" w:firstLine="422"/>
        <w:rPr>
          <w:rFonts w:ascii="方正仿宋_GBK" w:hAnsi="Calibri" w:eastAsia="方正仿宋_GBK" w:cs="Times New Roman"/>
          <w:b/>
          <w:color w:val="auto"/>
          <w:kern w:val="2"/>
          <w:sz w:val="21"/>
          <w:szCs w:val="21"/>
        </w:rPr>
      </w:pPr>
      <w:r>
        <w:rPr>
          <w:rFonts w:hint="eastAsia" w:ascii="方正仿宋_GBK" w:hAnsi="Calibri" w:eastAsia="方正仿宋_GBK" w:cs="Times New Roman"/>
          <w:b/>
          <w:color w:val="auto"/>
          <w:kern w:val="2"/>
          <w:sz w:val="21"/>
          <w:szCs w:val="21"/>
        </w:rPr>
        <w:t>3.公报中GDP及分行业增加值，2019-202</w:t>
      </w:r>
      <w:r>
        <w:rPr>
          <w:rFonts w:hint="eastAsia" w:ascii="方正仿宋_GBK" w:hAnsi="Calibri" w:eastAsia="方正仿宋_GBK" w:cs="Times New Roman"/>
          <w:b/>
          <w:color w:val="auto"/>
          <w:kern w:val="2"/>
          <w:sz w:val="21"/>
          <w:szCs w:val="21"/>
          <w:lang w:val="en-US" w:eastAsia="zh-CN"/>
        </w:rPr>
        <w:t>2</w:t>
      </w:r>
      <w:r>
        <w:rPr>
          <w:rFonts w:hint="eastAsia" w:ascii="方正仿宋_GBK" w:hAnsi="Calibri" w:eastAsia="方正仿宋_GBK" w:cs="Times New Roman"/>
          <w:b/>
          <w:color w:val="auto"/>
          <w:kern w:val="2"/>
          <w:sz w:val="21"/>
          <w:szCs w:val="21"/>
        </w:rPr>
        <w:t>年为年报数据，202</w:t>
      </w:r>
      <w:r>
        <w:rPr>
          <w:rFonts w:hint="eastAsia" w:ascii="方正仿宋_GBK" w:hAnsi="Calibri" w:eastAsia="方正仿宋_GBK" w:cs="Times New Roman"/>
          <w:b/>
          <w:color w:val="auto"/>
          <w:kern w:val="2"/>
          <w:sz w:val="21"/>
          <w:szCs w:val="21"/>
          <w:lang w:val="en-US" w:eastAsia="zh-CN"/>
        </w:rPr>
        <w:t>3</w:t>
      </w:r>
      <w:r>
        <w:rPr>
          <w:rFonts w:hint="eastAsia" w:ascii="方正仿宋_GBK" w:hAnsi="Calibri" w:eastAsia="方正仿宋_GBK" w:cs="Times New Roman"/>
          <w:b/>
          <w:color w:val="auto"/>
          <w:kern w:val="2"/>
          <w:sz w:val="21"/>
          <w:szCs w:val="21"/>
        </w:rPr>
        <w:t>年为快报数据。</w:t>
      </w:r>
    </w:p>
    <w:sectPr>
      <w:footerReference r:id="rId5" w:type="default"/>
      <w:pgSz w:w="11906" w:h="16838"/>
      <w:pgMar w:top="1304" w:right="1588" w:bottom="1304" w:left="1588"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隶书_GBK">
    <w:altName w:val="宋体"/>
    <w:panose1 w:val="03000509000000000000"/>
    <w:charset w:val="86"/>
    <w:family w:val="script"/>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17</w:t>
    </w:r>
    <w:r>
      <w:rPr>
        <w:lang w:val="zh-CN"/>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2Q3OTIxMzJjYmU0MWRiZjUxNjBiNWJkOWYyODE5YTYifQ=="/>
  </w:docVars>
  <w:rsids>
    <w:rsidRoot w:val="00D31D50"/>
    <w:rsid w:val="00000596"/>
    <w:rsid w:val="00000B20"/>
    <w:rsid w:val="00000DB9"/>
    <w:rsid w:val="00001FD6"/>
    <w:rsid w:val="00004267"/>
    <w:rsid w:val="000053C5"/>
    <w:rsid w:val="00006969"/>
    <w:rsid w:val="00010C1F"/>
    <w:rsid w:val="0001105E"/>
    <w:rsid w:val="00016F97"/>
    <w:rsid w:val="00017CB6"/>
    <w:rsid w:val="00022265"/>
    <w:rsid w:val="0002343F"/>
    <w:rsid w:val="000239A2"/>
    <w:rsid w:val="0002559F"/>
    <w:rsid w:val="0002678F"/>
    <w:rsid w:val="000269A0"/>
    <w:rsid w:val="00026D09"/>
    <w:rsid w:val="000301C9"/>
    <w:rsid w:val="000309DB"/>
    <w:rsid w:val="0003189C"/>
    <w:rsid w:val="00031A0C"/>
    <w:rsid w:val="00031DA9"/>
    <w:rsid w:val="00032998"/>
    <w:rsid w:val="00032F70"/>
    <w:rsid w:val="0003672D"/>
    <w:rsid w:val="000434CB"/>
    <w:rsid w:val="000467BA"/>
    <w:rsid w:val="000507BF"/>
    <w:rsid w:val="00050992"/>
    <w:rsid w:val="0005209A"/>
    <w:rsid w:val="00052129"/>
    <w:rsid w:val="00053390"/>
    <w:rsid w:val="0005370A"/>
    <w:rsid w:val="00054F01"/>
    <w:rsid w:val="00056C3A"/>
    <w:rsid w:val="00057AB3"/>
    <w:rsid w:val="00060AA3"/>
    <w:rsid w:val="00060CFC"/>
    <w:rsid w:val="00062389"/>
    <w:rsid w:val="00065773"/>
    <w:rsid w:val="00072BDE"/>
    <w:rsid w:val="00074170"/>
    <w:rsid w:val="00075172"/>
    <w:rsid w:val="0007728C"/>
    <w:rsid w:val="000806C1"/>
    <w:rsid w:val="000818F5"/>
    <w:rsid w:val="00084914"/>
    <w:rsid w:val="00085377"/>
    <w:rsid w:val="00093F61"/>
    <w:rsid w:val="000941F1"/>
    <w:rsid w:val="000958E3"/>
    <w:rsid w:val="00096922"/>
    <w:rsid w:val="00097C05"/>
    <w:rsid w:val="000A2A88"/>
    <w:rsid w:val="000A3506"/>
    <w:rsid w:val="000A73E4"/>
    <w:rsid w:val="000A7C02"/>
    <w:rsid w:val="000B3CC9"/>
    <w:rsid w:val="000B3E5B"/>
    <w:rsid w:val="000B4BC5"/>
    <w:rsid w:val="000B50B0"/>
    <w:rsid w:val="000B6884"/>
    <w:rsid w:val="000B7FE9"/>
    <w:rsid w:val="000C0A02"/>
    <w:rsid w:val="000C31C5"/>
    <w:rsid w:val="000C7AA5"/>
    <w:rsid w:val="000C7DE3"/>
    <w:rsid w:val="000D34A7"/>
    <w:rsid w:val="000D5527"/>
    <w:rsid w:val="000D5DC6"/>
    <w:rsid w:val="000D5FD6"/>
    <w:rsid w:val="000D6070"/>
    <w:rsid w:val="000E060C"/>
    <w:rsid w:val="000E1F15"/>
    <w:rsid w:val="000E261A"/>
    <w:rsid w:val="000E451A"/>
    <w:rsid w:val="000E628C"/>
    <w:rsid w:val="000E6D61"/>
    <w:rsid w:val="000E77C6"/>
    <w:rsid w:val="000F05D3"/>
    <w:rsid w:val="000F2174"/>
    <w:rsid w:val="000F276F"/>
    <w:rsid w:val="000F408B"/>
    <w:rsid w:val="00100A1D"/>
    <w:rsid w:val="001021B7"/>
    <w:rsid w:val="001025A6"/>
    <w:rsid w:val="0010338E"/>
    <w:rsid w:val="0010463A"/>
    <w:rsid w:val="00106222"/>
    <w:rsid w:val="001064AD"/>
    <w:rsid w:val="00107011"/>
    <w:rsid w:val="0011016F"/>
    <w:rsid w:val="00110EC8"/>
    <w:rsid w:val="0011100E"/>
    <w:rsid w:val="001110F2"/>
    <w:rsid w:val="00111B18"/>
    <w:rsid w:val="00112829"/>
    <w:rsid w:val="001130D5"/>
    <w:rsid w:val="00113795"/>
    <w:rsid w:val="00117E11"/>
    <w:rsid w:val="001268DA"/>
    <w:rsid w:val="00127437"/>
    <w:rsid w:val="00131505"/>
    <w:rsid w:val="00131702"/>
    <w:rsid w:val="00133964"/>
    <w:rsid w:val="001364F2"/>
    <w:rsid w:val="00136AE7"/>
    <w:rsid w:val="001409FD"/>
    <w:rsid w:val="0014171A"/>
    <w:rsid w:val="00141C67"/>
    <w:rsid w:val="00141EBB"/>
    <w:rsid w:val="00143D59"/>
    <w:rsid w:val="00143E49"/>
    <w:rsid w:val="0014589A"/>
    <w:rsid w:val="00147B6A"/>
    <w:rsid w:val="0015029F"/>
    <w:rsid w:val="00150C9D"/>
    <w:rsid w:val="001517D4"/>
    <w:rsid w:val="00151CF4"/>
    <w:rsid w:val="00152B5F"/>
    <w:rsid w:val="00154F7D"/>
    <w:rsid w:val="00160D79"/>
    <w:rsid w:val="001637C8"/>
    <w:rsid w:val="00163A28"/>
    <w:rsid w:val="0016400D"/>
    <w:rsid w:val="001654DA"/>
    <w:rsid w:val="001678A1"/>
    <w:rsid w:val="00167E3C"/>
    <w:rsid w:val="00171C26"/>
    <w:rsid w:val="0017225D"/>
    <w:rsid w:val="001738E5"/>
    <w:rsid w:val="00176886"/>
    <w:rsid w:val="00177681"/>
    <w:rsid w:val="00181AAD"/>
    <w:rsid w:val="00183F8F"/>
    <w:rsid w:val="00184C1E"/>
    <w:rsid w:val="00187C02"/>
    <w:rsid w:val="001900F6"/>
    <w:rsid w:val="001917A7"/>
    <w:rsid w:val="00193F18"/>
    <w:rsid w:val="00194794"/>
    <w:rsid w:val="001960AF"/>
    <w:rsid w:val="00197DE4"/>
    <w:rsid w:val="001A3078"/>
    <w:rsid w:val="001A701C"/>
    <w:rsid w:val="001A76D0"/>
    <w:rsid w:val="001B25FA"/>
    <w:rsid w:val="001B2FD9"/>
    <w:rsid w:val="001B3685"/>
    <w:rsid w:val="001B7DF7"/>
    <w:rsid w:val="001B7F9C"/>
    <w:rsid w:val="001C239E"/>
    <w:rsid w:val="001C26BA"/>
    <w:rsid w:val="001C3D07"/>
    <w:rsid w:val="001C5339"/>
    <w:rsid w:val="001C6213"/>
    <w:rsid w:val="001C6657"/>
    <w:rsid w:val="001C68ED"/>
    <w:rsid w:val="001D053E"/>
    <w:rsid w:val="001D1A7A"/>
    <w:rsid w:val="001D1B87"/>
    <w:rsid w:val="001D4EDC"/>
    <w:rsid w:val="001D5369"/>
    <w:rsid w:val="001E0194"/>
    <w:rsid w:val="001E3D31"/>
    <w:rsid w:val="001E472B"/>
    <w:rsid w:val="001E4780"/>
    <w:rsid w:val="001E5047"/>
    <w:rsid w:val="001E51C5"/>
    <w:rsid w:val="001E6474"/>
    <w:rsid w:val="001E6FA2"/>
    <w:rsid w:val="001F2C5C"/>
    <w:rsid w:val="001F3D46"/>
    <w:rsid w:val="001F6ABE"/>
    <w:rsid w:val="001F767D"/>
    <w:rsid w:val="00200DAE"/>
    <w:rsid w:val="002019C5"/>
    <w:rsid w:val="002026C3"/>
    <w:rsid w:val="002037BC"/>
    <w:rsid w:val="00204D3E"/>
    <w:rsid w:val="002051B2"/>
    <w:rsid w:val="002077BE"/>
    <w:rsid w:val="00213458"/>
    <w:rsid w:val="00214D43"/>
    <w:rsid w:val="00214DFE"/>
    <w:rsid w:val="002208DA"/>
    <w:rsid w:val="0022306C"/>
    <w:rsid w:val="00223F5A"/>
    <w:rsid w:val="00224FCD"/>
    <w:rsid w:val="002256E0"/>
    <w:rsid w:val="002267B9"/>
    <w:rsid w:val="0022796E"/>
    <w:rsid w:val="00227A92"/>
    <w:rsid w:val="00231929"/>
    <w:rsid w:val="00235B43"/>
    <w:rsid w:val="00236B00"/>
    <w:rsid w:val="0023725E"/>
    <w:rsid w:val="00237C4B"/>
    <w:rsid w:val="00240979"/>
    <w:rsid w:val="00243E04"/>
    <w:rsid w:val="002450C9"/>
    <w:rsid w:val="002466D2"/>
    <w:rsid w:val="00247DD9"/>
    <w:rsid w:val="002537B6"/>
    <w:rsid w:val="00256163"/>
    <w:rsid w:val="002570D0"/>
    <w:rsid w:val="00257862"/>
    <w:rsid w:val="00262EB6"/>
    <w:rsid w:val="00265769"/>
    <w:rsid w:val="002657EB"/>
    <w:rsid w:val="00271953"/>
    <w:rsid w:val="0027321E"/>
    <w:rsid w:val="002737F6"/>
    <w:rsid w:val="00273899"/>
    <w:rsid w:val="002747C0"/>
    <w:rsid w:val="00275CC1"/>
    <w:rsid w:val="00275F57"/>
    <w:rsid w:val="00281DBB"/>
    <w:rsid w:val="002837C3"/>
    <w:rsid w:val="00284E16"/>
    <w:rsid w:val="00286540"/>
    <w:rsid w:val="00286950"/>
    <w:rsid w:val="00287A6A"/>
    <w:rsid w:val="002901C9"/>
    <w:rsid w:val="00290979"/>
    <w:rsid w:val="00293419"/>
    <w:rsid w:val="00295222"/>
    <w:rsid w:val="002A21CE"/>
    <w:rsid w:val="002A3B20"/>
    <w:rsid w:val="002A46CF"/>
    <w:rsid w:val="002A5145"/>
    <w:rsid w:val="002A5F0D"/>
    <w:rsid w:val="002A6AA2"/>
    <w:rsid w:val="002B5596"/>
    <w:rsid w:val="002B5D20"/>
    <w:rsid w:val="002B708C"/>
    <w:rsid w:val="002C06B4"/>
    <w:rsid w:val="002C262D"/>
    <w:rsid w:val="002C3069"/>
    <w:rsid w:val="002C63F4"/>
    <w:rsid w:val="002C73D0"/>
    <w:rsid w:val="002C7427"/>
    <w:rsid w:val="002D49FD"/>
    <w:rsid w:val="002D7807"/>
    <w:rsid w:val="002E2A9C"/>
    <w:rsid w:val="002E5233"/>
    <w:rsid w:val="002E527F"/>
    <w:rsid w:val="002E60A2"/>
    <w:rsid w:val="002E72E3"/>
    <w:rsid w:val="002F06FE"/>
    <w:rsid w:val="002F0CB9"/>
    <w:rsid w:val="002F3708"/>
    <w:rsid w:val="002F78B4"/>
    <w:rsid w:val="003021C1"/>
    <w:rsid w:val="00304134"/>
    <w:rsid w:val="00307BA7"/>
    <w:rsid w:val="003109B1"/>
    <w:rsid w:val="00310A88"/>
    <w:rsid w:val="00311C86"/>
    <w:rsid w:val="0031584F"/>
    <w:rsid w:val="0031742A"/>
    <w:rsid w:val="00317544"/>
    <w:rsid w:val="003179F4"/>
    <w:rsid w:val="00323B43"/>
    <w:rsid w:val="00324E5B"/>
    <w:rsid w:val="00327FBB"/>
    <w:rsid w:val="00330DA6"/>
    <w:rsid w:val="003335EC"/>
    <w:rsid w:val="00336D1B"/>
    <w:rsid w:val="003400FE"/>
    <w:rsid w:val="0034386D"/>
    <w:rsid w:val="0034497C"/>
    <w:rsid w:val="0034626B"/>
    <w:rsid w:val="003518C0"/>
    <w:rsid w:val="00352820"/>
    <w:rsid w:val="003531F1"/>
    <w:rsid w:val="00353CDB"/>
    <w:rsid w:val="00357819"/>
    <w:rsid w:val="003608A7"/>
    <w:rsid w:val="00365C18"/>
    <w:rsid w:val="003672E7"/>
    <w:rsid w:val="00370336"/>
    <w:rsid w:val="00372B10"/>
    <w:rsid w:val="00372F21"/>
    <w:rsid w:val="00373D1E"/>
    <w:rsid w:val="0037494C"/>
    <w:rsid w:val="00374D03"/>
    <w:rsid w:val="003809C2"/>
    <w:rsid w:val="00380F55"/>
    <w:rsid w:val="00382216"/>
    <w:rsid w:val="00383F28"/>
    <w:rsid w:val="0038690D"/>
    <w:rsid w:val="00387727"/>
    <w:rsid w:val="003954B3"/>
    <w:rsid w:val="003957DE"/>
    <w:rsid w:val="003A513E"/>
    <w:rsid w:val="003A537E"/>
    <w:rsid w:val="003B351D"/>
    <w:rsid w:val="003B62E2"/>
    <w:rsid w:val="003B641A"/>
    <w:rsid w:val="003B65C4"/>
    <w:rsid w:val="003C13D5"/>
    <w:rsid w:val="003C262F"/>
    <w:rsid w:val="003C2CCF"/>
    <w:rsid w:val="003C3103"/>
    <w:rsid w:val="003C6DDB"/>
    <w:rsid w:val="003D2A01"/>
    <w:rsid w:val="003D37D8"/>
    <w:rsid w:val="003D4AC8"/>
    <w:rsid w:val="003E153B"/>
    <w:rsid w:val="003E64FD"/>
    <w:rsid w:val="003F0563"/>
    <w:rsid w:val="003F13FC"/>
    <w:rsid w:val="003F14F7"/>
    <w:rsid w:val="003F174F"/>
    <w:rsid w:val="003F2EAA"/>
    <w:rsid w:val="003F39E8"/>
    <w:rsid w:val="003F59CB"/>
    <w:rsid w:val="003F620A"/>
    <w:rsid w:val="0040396E"/>
    <w:rsid w:val="00403DFF"/>
    <w:rsid w:val="004040C9"/>
    <w:rsid w:val="00406876"/>
    <w:rsid w:val="00410DA2"/>
    <w:rsid w:val="0041125E"/>
    <w:rsid w:val="00411DEE"/>
    <w:rsid w:val="004163FB"/>
    <w:rsid w:val="0042003C"/>
    <w:rsid w:val="00420B1E"/>
    <w:rsid w:val="0042154B"/>
    <w:rsid w:val="00423622"/>
    <w:rsid w:val="00426133"/>
    <w:rsid w:val="00433B00"/>
    <w:rsid w:val="00434208"/>
    <w:rsid w:val="004358AB"/>
    <w:rsid w:val="00436CAF"/>
    <w:rsid w:val="004435C6"/>
    <w:rsid w:val="004458AB"/>
    <w:rsid w:val="004468C6"/>
    <w:rsid w:val="00446F2D"/>
    <w:rsid w:val="00451316"/>
    <w:rsid w:val="004519F7"/>
    <w:rsid w:val="00451FB1"/>
    <w:rsid w:val="00453CF7"/>
    <w:rsid w:val="004542B0"/>
    <w:rsid w:val="004547D1"/>
    <w:rsid w:val="004563E0"/>
    <w:rsid w:val="004644E3"/>
    <w:rsid w:val="0046482F"/>
    <w:rsid w:val="00465D5C"/>
    <w:rsid w:val="00465DB8"/>
    <w:rsid w:val="00472006"/>
    <w:rsid w:val="0047250A"/>
    <w:rsid w:val="00473F32"/>
    <w:rsid w:val="00475EF6"/>
    <w:rsid w:val="00476477"/>
    <w:rsid w:val="00480CD6"/>
    <w:rsid w:val="004818E1"/>
    <w:rsid w:val="00481F86"/>
    <w:rsid w:val="004824D6"/>
    <w:rsid w:val="004835D7"/>
    <w:rsid w:val="00487158"/>
    <w:rsid w:val="00487613"/>
    <w:rsid w:val="004876C5"/>
    <w:rsid w:val="00487987"/>
    <w:rsid w:val="00487D60"/>
    <w:rsid w:val="004907E2"/>
    <w:rsid w:val="004920FB"/>
    <w:rsid w:val="0049276F"/>
    <w:rsid w:val="004941C0"/>
    <w:rsid w:val="0049566E"/>
    <w:rsid w:val="00496232"/>
    <w:rsid w:val="004A2019"/>
    <w:rsid w:val="004A28A8"/>
    <w:rsid w:val="004A7414"/>
    <w:rsid w:val="004B02ED"/>
    <w:rsid w:val="004B1339"/>
    <w:rsid w:val="004B3BFC"/>
    <w:rsid w:val="004B4746"/>
    <w:rsid w:val="004B4EFD"/>
    <w:rsid w:val="004B6C4F"/>
    <w:rsid w:val="004C0B2C"/>
    <w:rsid w:val="004C30FB"/>
    <w:rsid w:val="004C4178"/>
    <w:rsid w:val="004C4929"/>
    <w:rsid w:val="004C5696"/>
    <w:rsid w:val="004C64B5"/>
    <w:rsid w:val="004C6EBB"/>
    <w:rsid w:val="004C6F2F"/>
    <w:rsid w:val="004D08FF"/>
    <w:rsid w:val="004D400B"/>
    <w:rsid w:val="004E1617"/>
    <w:rsid w:val="004E4737"/>
    <w:rsid w:val="004E4994"/>
    <w:rsid w:val="004E7369"/>
    <w:rsid w:val="004E7A19"/>
    <w:rsid w:val="004F166B"/>
    <w:rsid w:val="004F5BCF"/>
    <w:rsid w:val="004F6571"/>
    <w:rsid w:val="005000D6"/>
    <w:rsid w:val="00502949"/>
    <w:rsid w:val="00504475"/>
    <w:rsid w:val="005051CC"/>
    <w:rsid w:val="00507D03"/>
    <w:rsid w:val="00507E72"/>
    <w:rsid w:val="00511540"/>
    <w:rsid w:val="0051741F"/>
    <w:rsid w:val="00517551"/>
    <w:rsid w:val="0051755F"/>
    <w:rsid w:val="00517F46"/>
    <w:rsid w:val="005221F8"/>
    <w:rsid w:val="00524F9E"/>
    <w:rsid w:val="005267F6"/>
    <w:rsid w:val="005305E9"/>
    <w:rsid w:val="005315E2"/>
    <w:rsid w:val="00531616"/>
    <w:rsid w:val="00533D1D"/>
    <w:rsid w:val="00535A26"/>
    <w:rsid w:val="005451C9"/>
    <w:rsid w:val="00547B55"/>
    <w:rsid w:val="005501D3"/>
    <w:rsid w:val="005509D2"/>
    <w:rsid w:val="00553D05"/>
    <w:rsid w:val="005552AE"/>
    <w:rsid w:val="00556141"/>
    <w:rsid w:val="00560AF8"/>
    <w:rsid w:val="00560B06"/>
    <w:rsid w:val="005628F0"/>
    <w:rsid w:val="00564B94"/>
    <w:rsid w:val="005653D1"/>
    <w:rsid w:val="00566220"/>
    <w:rsid w:val="00566399"/>
    <w:rsid w:val="00570317"/>
    <w:rsid w:val="005715C4"/>
    <w:rsid w:val="00571E72"/>
    <w:rsid w:val="00573164"/>
    <w:rsid w:val="0057485F"/>
    <w:rsid w:val="005748BE"/>
    <w:rsid w:val="005748D4"/>
    <w:rsid w:val="005764AD"/>
    <w:rsid w:val="00576F06"/>
    <w:rsid w:val="00577575"/>
    <w:rsid w:val="00577B2F"/>
    <w:rsid w:val="00577D1D"/>
    <w:rsid w:val="00580A83"/>
    <w:rsid w:val="005818E2"/>
    <w:rsid w:val="00582AF8"/>
    <w:rsid w:val="00586EFC"/>
    <w:rsid w:val="00586F68"/>
    <w:rsid w:val="0059128B"/>
    <w:rsid w:val="00591494"/>
    <w:rsid w:val="00594AC4"/>
    <w:rsid w:val="00595643"/>
    <w:rsid w:val="00597964"/>
    <w:rsid w:val="005A0CA4"/>
    <w:rsid w:val="005A0D1F"/>
    <w:rsid w:val="005A0EF0"/>
    <w:rsid w:val="005A189E"/>
    <w:rsid w:val="005A38D8"/>
    <w:rsid w:val="005A3BD2"/>
    <w:rsid w:val="005A4814"/>
    <w:rsid w:val="005A4BC7"/>
    <w:rsid w:val="005A55C0"/>
    <w:rsid w:val="005A59E6"/>
    <w:rsid w:val="005A645C"/>
    <w:rsid w:val="005B0C5C"/>
    <w:rsid w:val="005B0D3B"/>
    <w:rsid w:val="005B1BCC"/>
    <w:rsid w:val="005B5BA7"/>
    <w:rsid w:val="005B7BFD"/>
    <w:rsid w:val="005C2317"/>
    <w:rsid w:val="005C3DD0"/>
    <w:rsid w:val="005C5115"/>
    <w:rsid w:val="005C778A"/>
    <w:rsid w:val="005C7F4A"/>
    <w:rsid w:val="005D0901"/>
    <w:rsid w:val="005D269D"/>
    <w:rsid w:val="005D2BA2"/>
    <w:rsid w:val="005D38A9"/>
    <w:rsid w:val="005D3A88"/>
    <w:rsid w:val="005E02F6"/>
    <w:rsid w:val="005E1BC8"/>
    <w:rsid w:val="005E25AD"/>
    <w:rsid w:val="005E29EE"/>
    <w:rsid w:val="005E3A27"/>
    <w:rsid w:val="005E4AEF"/>
    <w:rsid w:val="005E5DD9"/>
    <w:rsid w:val="005E64C3"/>
    <w:rsid w:val="005F3759"/>
    <w:rsid w:val="005F3D8F"/>
    <w:rsid w:val="0060390C"/>
    <w:rsid w:val="00603DE1"/>
    <w:rsid w:val="00605628"/>
    <w:rsid w:val="006063D1"/>
    <w:rsid w:val="0060653A"/>
    <w:rsid w:val="00607F24"/>
    <w:rsid w:val="0061020E"/>
    <w:rsid w:val="0061095E"/>
    <w:rsid w:val="00610E6A"/>
    <w:rsid w:val="00613086"/>
    <w:rsid w:val="0061518E"/>
    <w:rsid w:val="00616F23"/>
    <w:rsid w:val="00617ADD"/>
    <w:rsid w:val="00621FF1"/>
    <w:rsid w:val="00622677"/>
    <w:rsid w:val="006239B4"/>
    <w:rsid w:val="00625476"/>
    <w:rsid w:val="00626344"/>
    <w:rsid w:val="00627535"/>
    <w:rsid w:val="006277A5"/>
    <w:rsid w:val="00633AEF"/>
    <w:rsid w:val="0064089C"/>
    <w:rsid w:val="00641EB3"/>
    <w:rsid w:val="00643129"/>
    <w:rsid w:val="0064328D"/>
    <w:rsid w:val="006439F4"/>
    <w:rsid w:val="006462F9"/>
    <w:rsid w:val="00647401"/>
    <w:rsid w:val="006533B1"/>
    <w:rsid w:val="00654CC5"/>
    <w:rsid w:val="006559CA"/>
    <w:rsid w:val="00657442"/>
    <w:rsid w:val="00660191"/>
    <w:rsid w:val="00671CBE"/>
    <w:rsid w:val="006728F5"/>
    <w:rsid w:val="0067325E"/>
    <w:rsid w:val="006732FD"/>
    <w:rsid w:val="006740B0"/>
    <w:rsid w:val="00674BAE"/>
    <w:rsid w:val="00675DDF"/>
    <w:rsid w:val="00677444"/>
    <w:rsid w:val="00681778"/>
    <w:rsid w:val="00681D0D"/>
    <w:rsid w:val="0068278C"/>
    <w:rsid w:val="00682FFE"/>
    <w:rsid w:val="006868F2"/>
    <w:rsid w:val="0069073B"/>
    <w:rsid w:val="00691777"/>
    <w:rsid w:val="00693A6F"/>
    <w:rsid w:val="00694599"/>
    <w:rsid w:val="006947D8"/>
    <w:rsid w:val="006955BF"/>
    <w:rsid w:val="00695A64"/>
    <w:rsid w:val="00695BEA"/>
    <w:rsid w:val="00695BED"/>
    <w:rsid w:val="00695E15"/>
    <w:rsid w:val="00696D9E"/>
    <w:rsid w:val="006A0B76"/>
    <w:rsid w:val="006A131E"/>
    <w:rsid w:val="006A16B3"/>
    <w:rsid w:val="006A40FB"/>
    <w:rsid w:val="006A4982"/>
    <w:rsid w:val="006A4A53"/>
    <w:rsid w:val="006A4ADA"/>
    <w:rsid w:val="006A4D11"/>
    <w:rsid w:val="006A543C"/>
    <w:rsid w:val="006A5A34"/>
    <w:rsid w:val="006A678D"/>
    <w:rsid w:val="006A7B87"/>
    <w:rsid w:val="006B1AAF"/>
    <w:rsid w:val="006B2651"/>
    <w:rsid w:val="006B2A3F"/>
    <w:rsid w:val="006B3DA6"/>
    <w:rsid w:val="006C189E"/>
    <w:rsid w:val="006C4332"/>
    <w:rsid w:val="006C5653"/>
    <w:rsid w:val="006D0DB1"/>
    <w:rsid w:val="006D182C"/>
    <w:rsid w:val="006D2882"/>
    <w:rsid w:val="006D4214"/>
    <w:rsid w:val="006D4F7F"/>
    <w:rsid w:val="006E1007"/>
    <w:rsid w:val="006E3D80"/>
    <w:rsid w:val="006E49CD"/>
    <w:rsid w:val="006E6669"/>
    <w:rsid w:val="006E6A29"/>
    <w:rsid w:val="006F356C"/>
    <w:rsid w:val="006F6249"/>
    <w:rsid w:val="006F6478"/>
    <w:rsid w:val="00700591"/>
    <w:rsid w:val="007005DD"/>
    <w:rsid w:val="0070147F"/>
    <w:rsid w:val="00702691"/>
    <w:rsid w:val="00702BAE"/>
    <w:rsid w:val="00705AC5"/>
    <w:rsid w:val="00705E80"/>
    <w:rsid w:val="00706EE5"/>
    <w:rsid w:val="00710608"/>
    <w:rsid w:val="0071060B"/>
    <w:rsid w:val="0071105F"/>
    <w:rsid w:val="00712D76"/>
    <w:rsid w:val="00713F22"/>
    <w:rsid w:val="0071703A"/>
    <w:rsid w:val="00720202"/>
    <w:rsid w:val="00721C1E"/>
    <w:rsid w:val="00724AE5"/>
    <w:rsid w:val="00726509"/>
    <w:rsid w:val="00727EE4"/>
    <w:rsid w:val="0073168C"/>
    <w:rsid w:val="007319DA"/>
    <w:rsid w:val="00732263"/>
    <w:rsid w:val="00732B69"/>
    <w:rsid w:val="007338D5"/>
    <w:rsid w:val="00735B03"/>
    <w:rsid w:val="00737C5C"/>
    <w:rsid w:val="00740338"/>
    <w:rsid w:val="007422E4"/>
    <w:rsid w:val="00744C42"/>
    <w:rsid w:val="00744EF7"/>
    <w:rsid w:val="00746A42"/>
    <w:rsid w:val="00747018"/>
    <w:rsid w:val="0075158C"/>
    <w:rsid w:val="00752EB3"/>
    <w:rsid w:val="0075348C"/>
    <w:rsid w:val="00756345"/>
    <w:rsid w:val="00761968"/>
    <w:rsid w:val="00764654"/>
    <w:rsid w:val="00764FF0"/>
    <w:rsid w:val="00765255"/>
    <w:rsid w:val="007700D5"/>
    <w:rsid w:val="00772FE5"/>
    <w:rsid w:val="00773512"/>
    <w:rsid w:val="007745A5"/>
    <w:rsid w:val="00774F56"/>
    <w:rsid w:val="00775984"/>
    <w:rsid w:val="00776ABB"/>
    <w:rsid w:val="00780D32"/>
    <w:rsid w:val="00781C2F"/>
    <w:rsid w:val="00782982"/>
    <w:rsid w:val="00782E95"/>
    <w:rsid w:val="00784CF8"/>
    <w:rsid w:val="007912AB"/>
    <w:rsid w:val="00791AA1"/>
    <w:rsid w:val="00792891"/>
    <w:rsid w:val="007946CE"/>
    <w:rsid w:val="00796159"/>
    <w:rsid w:val="00797945"/>
    <w:rsid w:val="007A1E4E"/>
    <w:rsid w:val="007A1E7F"/>
    <w:rsid w:val="007A3BD6"/>
    <w:rsid w:val="007A5CAE"/>
    <w:rsid w:val="007A5D89"/>
    <w:rsid w:val="007A6B38"/>
    <w:rsid w:val="007B02C4"/>
    <w:rsid w:val="007B42A1"/>
    <w:rsid w:val="007B52DB"/>
    <w:rsid w:val="007B6F12"/>
    <w:rsid w:val="007B7033"/>
    <w:rsid w:val="007C16E6"/>
    <w:rsid w:val="007C23E9"/>
    <w:rsid w:val="007C5995"/>
    <w:rsid w:val="007C5B84"/>
    <w:rsid w:val="007C6D39"/>
    <w:rsid w:val="007C7CCA"/>
    <w:rsid w:val="007D1527"/>
    <w:rsid w:val="007D1E62"/>
    <w:rsid w:val="007D2D15"/>
    <w:rsid w:val="007D2D3F"/>
    <w:rsid w:val="007D38D1"/>
    <w:rsid w:val="007D3CF8"/>
    <w:rsid w:val="007D5862"/>
    <w:rsid w:val="007D5BEB"/>
    <w:rsid w:val="007E1049"/>
    <w:rsid w:val="007E1308"/>
    <w:rsid w:val="007E168D"/>
    <w:rsid w:val="007E2E60"/>
    <w:rsid w:val="007E40C1"/>
    <w:rsid w:val="007E4179"/>
    <w:rsid w:val="007E6D8B"/>
    <w:rsid w:val="007F0F45"/>
    <w:rsid w:val="007F3013"/>
    <w:rsid w:val="007F356D"/>
    <w:rsid w:val="007F5E8D"/>
    <w:rsid w:val="007F774E"/>
    <w:rsid w:val="0080285C"/>
    <w:rsid w:val="008044FF"/>
    <w:rsid w:val="00804B9C"/>
    <w:rsid w:val="00804BBC"/>
    <w:rsid w:val="008134A4"/>
    <w:rsid w:val="00821A97"/>
    <w:rsid w:val="00823004"/>
    <w:rsid w:val="008237E3"/>
    <w:rsid w:val="008243C9"/>
    <w:rsid w:val="00830CBD"/>
    <w:rsid w:val="00832475"/>
    <w:rsid w:val="00832E73"/>
    <w:rsid w:val="00837165"/>
    <w:rsid w:val="00837B85"/>
    <w:rsid w:val="00840B35"/>
    <w:rsid w:val="00841010"/>
    <w:rsid w:val="00845EC6"/>
    <w:rsid w:val="0084769F"/>
    <w:rsid w:val="008520E3"/>
    <w:rsid w:val="0085231A"/>
    <w:rsid w:val="00852335"/>
    <w:rsid w:val="00854DCA"/>
    <w:rsid w:val="0086297A"/>
    <w:rsid w:val="008636CD"/>
    <w:rsid w:val="00863BC5"/>
    <w:rsid w:val="00864B5A"/>
    <w:rsid w:val="00866445"/>
    <w:rsid w:val="008665B7"/>
    <w:rsid w:val="00866C84"/>
    <w:rsid w:val="00866FD4"/>
    <w:rsid w:val="008708A1"/>
    <w:rsid w:val="00871DB5"/>
    <w:rsid w:val="00872488"/>
    <w:rsid w:val="0087425C"/>
    <w:rsid w:val="00874C0E"/>
    <w:rsid w:val="00876019"/>
    <w:rsid w:val="00876329"/>
    <w:rsid w:val="00880FA5"/>
    <w:rsid w:val="00885368"/>
    <w:rsid w:val="0088620C"/>
    <w:rsid w:val="00893DE3"/>
    <w:rsid w:val="00895331"/>
    <w:rsid w:val="00896190"/>
    <w:rsid w:val="00897CC1"/>
    <w:rsid w:val="008A70EE"/>
    <w:rsid w:val="008B2AA8"/>
    <w:rsid w:val="008B39DB"/>
    <w:rsid w:val="008B7726"/>
    <w:rsid w:val="008C0170"/>
    <w:rsid w:val="008C03BD"/>
    <w:rsid w:val="008C43EB"/>
    <w:rsid w:val="008C4AB8"/>
    <w:rsid w:val="008C4EA2"/>
    <w:rsid w:val="008C6AEB"/>
    <w:rsid w:val="008D2754"/>
    <w:rsid w:val="008D3FD5"/>
    <w:rsid w:val="008E08DE"/>
    <w:rsid w:val="008E16DC"/>
    <w:rsid w:val="008E2596"/>
    <w:rsid w:val="008E36EF"/>
    <w:rsid w:val="008E57B9"/>
    <w:rsid w:val="008E6066"/>
    <w:rsid w:val="008E74F6"/>
    <w:rsid w:val="008F08D9"/>
    <w:rsid w:val="008F2707"/>
    <w:rsid w:val="008F2ABF"/>
    <w:rsid w:val="008F397E"/>
    <w:rsid w:val="008F508E"/>
    <w:rsid w:val="008F6700"/>
    <w:rsid w:val="00900D31"/>
    <w:rsid w:val="00903E6A"/>
    <w:rsid w:val="009055A8"/>
    <w:rsid w:val="00913064"/>
    <w:rsid w:val="00913CD5"/>
    <w:rsid w:val="00914BB2"/>
    <w:rsid w:val="00917AED"/>
    <w:rsid w:val="00917DCC"/>
    <w:rsid w:val="00917EDF"/>
    <w:rsid w:val="00917F19"/>
    <w:rsid w:val="009207C0"/>
    <w:rsid w:val="0092118E"/>
    <w:rsid w:val="00925703"/>
    <w:rsid w:val="0092587F"/>
    <w:rsid w:val="00925A78"/>
    <w:rsid w:val="00927BDC"/>
    <w:rsid w:val="00930277"/>
    <w:rsid w:val="00930B69"/>
    <w:rsid w:val="00930D48"/>
    <w:rsid w:val="00942429"/>
    <w:rsid w:val="00943927"/>
    <w:rsid w:val="00943ABF"/>
    <w:rsid w:val="00943B0E"/>
    <w:rsid w:val="00943F6D"/>
    <w:rsid w:val="00944DD9"/>
    <w:rsid w:val="00950C40"/>
    <w:rsid w:val="00952891"/>
    <w:rsid w:val="0095372E"/>
    <w:rsid w:val="00954E66"/>
    <w:rsid w:val="009556E6"/>
    <w:rsid w:val="00956E3E"/>
    <w:rsid w:val="00961758"/>
    <w:rsid w:val="00962C9F"/>
    <w:rsid w:val="00963E72"/>
    <w:rsid w:val="00964E67"/>
    <w:rsid w:val="00966045"/>
    <w:rsid w:val="00974D20"/>
    <w:rsid w:val="00974F9E"/>
    <w:rsid w:val="00976546"/>
    <w:rsid w:val="00977833"/>
    <w:rsid w:val="009823A8"/>
    <w:rsid w:val="00982C5C"/>
    <w:rsid w:val="00986A37"/>
    <w:rsid w:val="0098743D"/>
    <w:rsid w:val="00994FEC"/>
    <w:rsid w:val="009A01C3"/>
    <w:rsid w:val="009A1859"/>
    <w:rsid w:val="009A1BD7"/>
    <w:rsid w:val="009A4917"/>
    <w:rsid w:val="009A7240"/>
    <w:rsid w:val="009B22CA"/>
    <w:rsid w:val="009B271B"/>
    <w:rsid w:val="009B2AAF"/>
    <w:rsid w:val="009B2F2B"/>
    <w:rsid w:val="009B3056"/>
    <w:rsid w:val="009C06A0"/>
    <w:rsid w:val="009C1354"/>
    <w:rsid w:val="009C42F6"/>
    <w:rsid w:val="009C5B9D"/>
    <w:rsid w:val="009C61D8"/>
    <w:rsid w:val="009D2A1F"/>
    <w:rsid w:val="009D6B79"/>
    <w:rsid w:val="009D7DF7"/>
    <w:rsid w:val="009E31D3"/>
    <w:rsid w:val="009E389D"/>
    <w:rsid w:val="009E45C2"/>
    <w:rsid w:val="009E60B1"/>
    <w:rsid w:val="009F101A"/>
    <w:rsid w:val="009F5C77"/>
    <w:rsid w:val="00A00AA8"/>
    <w:rsid w:val="00A00E8C"/>
    <w:rsid w:val="00A03826"/>
    <w:rsid w:val="00A03FE3"/>
    <w:rsid w:val="00A04834"/>
    <w:rsid w:val="00A066FC"/>
    <w:rsid w:val="00A07B9A"/>
    <w:rsid w:val="00A10F68"/>
    <w:rsid w:val="00A12844"/>
    <w:rsid w:val="00A141D5"/>
    <w:rsid w:val="00A17592"/>
    <w:rsid w:val="00A17DD2"/>
    <w:rsid w:val="00A236E7"/>
    <w:rsid w:val="00A30EA4"/>
    <w:rsid w:val="00A3158D"/>
    <w:rsid w:val="00A318F0"/>
    <w:rsid w:val="00A31BA0"/>
    <w:rsid w:val="00A322C6"/>
    <w:rsid w:val="00A32FDC"/>
    <w:rsid w:val="00A361AC"/>
    <w:rsid w:val="00A4116C"/>
    <w:rsid w:val="00A43A32"/>
    <w:rsid w:val="00A4424C"/>
    <w:rsid w:val="00A45B38"/>
    <w:rsid w:val="00A47D5A"/>
    <w:rsid w:val="00A507E5"/>
    <w:rsid w:val="00A50BAE"/>
    <w:rsid w:val="00A51BFD"/>
    <w:rsid w:val="00A5323E"/>
    <w:rsid w:val="00A537BD"/>
    <w:rsid w:val="00A53A8B"/>
    <w:rsid w:val="00A5766E"/>
    <w:rsid w:val="00A60920"/>
    <w:rsid w:val="00A63075"/>
    <w:rsid w:val="00A64C22"/>
    <w:rsid w:val="00A66270"/>
    <w:rsid w:val="00A66705"/>
    <w:rsid w:val="00A72F94"/>
    <w:rsid w:val="00A74AEE"/>
    <w:rsid w:val="00A7553B"/>
    <w:rsid w:val="00A76024"/>
    <w:rsid w:val="00A77F4A"/>
    <w:rsid w:val="00A81787"/>
    <w:rsid w:val="00A84907"/>
    <w:rsid w:val="00A93A72"/>
    <w:rsid w:val="00A93DE7"/>
    <w:rsid w:val="00A93E35"/>
    <w:rsid w:val="00A96D33"/>
    <w:rsid w:val="00AA1A62"/>
    <w:rsid w:val="00AA3E87"/>
    <w:rsid w:val="00AA66B4"/>
    <w:rsid w:val="00AA6BE3"/>
    <w:rsid w:val="00AB1B35"/>
    <w:rsid w:val="00AB2724"/>
    <w:rsid w:val="00AB289E"/>
    <w:rsid w:val="00AB4314"/>
    <w:rsid w:val="00AB566E"/>
    <w:rsid w:val="00AB5EB8"/>
    <w:rsid w:val="00AC4008"/>
    <w:rsid w:val="00AC5E8A"/>
    <w:rsid w:val="00AD0977"/>
    <w:rsid w:val="00AD40C8"/>
    <w:rsid w:val="00AD448F"/>
    <w:rsid w:val="00AD4B01"/>
    <w:rsid w:val="00AD5E28"/>
    <w:rsid w:val="00AE0C8B"/>
    <w:rsid w:val="00AE2632"/>
    <w:rsid w:val="00AE34F0"/>
    <w:rsid w:val="00AE3E63"/>
    <w:rsid w:val="00AE5E62"/>
    <w:rsid w:val="00AE6000"/>
    <w:rsid w:val="00AE6977"/>
    <w:rsid w:val="00AE6D7F"/>
    <w:rsid w:val="00AF1708"/>
    <w:rsid w:val="00AF3CBF"/>
    <w:rsid w:val="00AF4A3C"/>
    <w:rsid w:val="00AF6602"/>
    <w:rsid w:val="00B0059A"/>
    <w:rsid w:val="00B0072C"/>
    <w:rsid w:val="00B00C5A"/>
    <w:rsid w:val="00B02A83"/>
    <w:rsid w:val="00B0533A"/>
    <w:rsid w:val="00B056BF"/>
    <w:rsid w:val="00B06486"/>
    <w:rsid w:val="00B0659C"/>
    <w:rsid w:val="00B1204C"/>
    <w:rsid w:val="00B14880"/>
    <w:rsid w:val="00B1511A"/>
    <w:rsid w:val="00B1582C"/>
    <w:rsid w:val="00B23159"/>
    <w:rsid w:val="00B27AD0"/>
    <w:rsid w:val="00B3560D"/>
    <w:rsid w:val="00B36F0D"/>
    <w:rsid w:val="00B407B8"/>
    <w:rsid w:val="00B43398"/>
    <w:rsid w:val="00B435AE"/>
    <w:rsid w:val="00B4767F"/>
    <w:rsid w:val="00B508CE"/>
    <w:rsid w:val="00B546D1"/>
    <w:rsid w:val="00B57833"/>
    <w:rsid w:val="00B60C45"/>
    <w:rsid w:val="00B6178D"/>
    <w:rsid w:val="00B63E1A"/>
    <w:rsid w:val="00B647A0"/>
    <w:rsid w:val="00B65E78"/>
    <w:rsid w:val="00B676B1"/>
    <w:rsid w:val="00B70B86"/>
    <w:rsid w:val="00B7296D"/>
    <w:rsid w:val="00B72FCB"/>
    <w:rsid w:val="00B7301D"/>
    <w:rsid w:val="00B7362F"/>
    <w:rsid w:val="00B7548A"/>
    <w:rsid w:val="00B80E68"/>
    <w:rsid w:val="00B81ADA"/>
    <w:rsid w:val="00B82922"/>
    <w:rsid w:val="00B84907"/>
    <w:rsid w:val="00B849F9"/>
    <w:rsid w:val="00B8586E"/>
    <w:rsid w:val="00B87213"/>
    <w:rsid w:val="00B87B58"/>
    <w:rsid w:val="00B87EC9"/>
    <w:rsid w:val="00B94A0C"/>
    <w:rsid w:val="00B966C4"/>
    <w:rsid w:val="00BA0D88"/>
    <w:rsid w:val="00BA2EF5"/>
    <w:rsid w:val="00BA4188"/>
    <w:rsid w:val="00BB2DA3"/>
    <w:rsid w:val="00BB34FD"/>
    <w:rsid w:val="00BB4550"/>
    <w:rsid w:val="00BB485D"/>
    <w:rsid w:val="00BC128B"/>
    <w:rsid w:val="00BC3033"/>
    <w:rsid w:val="00BC30F6"/>
    <w:rsid w:val="00BC61DD"/>
    <w:rsid w:val="00BD4A9E"/>
    <w:rsid w:val="00BD4B28"/>
    <w:rsid w:val="00BE1B6F"/>
    <w:rsid w:val="00BE335D"/>
    <w:rsid w:val="00BE38B7"/>
    <w:rsid w:val="00BE4D31"/>
    <w:rsid w:val="00BE7E43"/>
    <w:rsid w:val="00BF005C"/>
    <w:rsid w:val="00BF0097"/>
    <w:rsid w:val="00BF0463"/>
    <w:rsid w:val="00BF0938"/>
    <w:rsid w:val="00BF11D2"/>
    <w:rsid w:val="00BF2149"/>
    <w:rsid w:val="00BF23DD"/>
    <w:rsid w:val="00BF28DF"/>
    <w:rsid w:val="00BF2CC3"/>
    <w:rsid w:val="00BF3D4E"/>
    <w:rsid w:val="00BF5E6F"/>
    <w:rsid w:val="00C00199"/>
    <w:rsid w:val="00C00ACD"/>
    <w:rsid w:val="00C02DA1"/>
    <w:rsid w:val="00C05FBE"/>
    <w:rsid w:val="00C07F12"/>
    <w:rsid w:val="00C11C5D"/>
    <w:rsid w:val="00C1226E"/>
    <w:rsid w:val="00C169F4"/>
    <w:rsid w:val="00C17CC4"/>
    <w:rsid w:val="00C209A3"/>
    <w:rsid w:val="00C231C6"/>
    <w:rsid w:val="00C234FC"/>
    <w:rsid w:val="00C23591"/>
    <w:rsid w:val="00C24199"/>
    <w:rsid w:val="00C24A12"/>
    <w:rsid w:val="00C25776"/>
    <w:rsid w:val="00C25A9B"/>
    <w:rsid w:val="00C261DF"/>
    <w:rsid w:val="00C3159A"/>
    <w:rsid w:val="00C3230F"/>
    <w:rsid w:val="00C34D09"/>
    <w:rsid w:val="00C3741E"/>
    <w:rsid w:val="00C377BD"/>
    <w:rsid w:val="00C41CC3"/>
    <w:rsid w:val="00C451E4"/>
    <w:rsid w:val="00C458CD"/>
    <w:rsid w:val="00C46F65"/>
    <w:rsid w:val="00C47BAA"/>
    <w:rsid w:val="00C5245E"/>
    <w:rsid w:val="00C525CA"/>
    <w:rsid w:val="00C5281E"/>
    <w:rsid w:val="00C53484"/>
    <w:rsid w:val="00C53AAD"/>
    <w:rsid w:val="00C54420"/>
    <w:rsid w:val="00C57A6F"/>
    <w:rsid w:val="00C57C5D"/>
    <w:rsid w:val="00C651E0"/>
    <w:rsid w:val="00C6592F"/>
    <w:rsid w:val="00C67D23"/>
    <w:rsid w:val="00C67E6B"/>
    <w:rsid w:val="00C72367"/>
    <w:rsid w:val="00C72E54"/>
    <w:rsid w:val="00C73829"/>
    <w:rsid w:val="00C73ED4"/>
    <w:rsid w:val="00C77192"/>
    <w:rsid w:val="00C81DAE"/>
    <w:rsid w:val="00C81E92"/>
    <w:rsid w:val="00C874D6"/>
    <w:rsid w:val="00C91086"/>
    <w:rsid w:val="00C92EAD"/>
    <w:rsid w:val="00C93516"/>
    <w:rsid w:val="00C9411F"/>
    <w:rsid w:val="00C94991"/>
    <w:rsid w:val="00C96F7C"/>
    <w:rsid w:val="00CA2405"/>
    <w:rsid w:val="00CA2570"/>
    <w:rsid w:val="00CA4BB0"/>
    <w:rsid w:val="00CA5EB7"/>
    <w:rsid w:val="00CB0B5D"/>
    <w:rsid w:val="00CB1D76"/>
    <w:rsid w:val="00CB1DCB"/>
    <w:rsid w:val="00CB5296"/>
    <w:rsid w:val="00CB5684"/>
    <w:rsid w:val="00CB6A98"/>
    <w:rsid w:val="00CC1D37"/>
    <w:rsid w:val="00CC31F8"/>
    <w:rsid w:val="00CC6106"/>
    <w:rsid w:val="00CC6A21"/>
    <w:rsid w:val="00CC7A30"/>
    <w:rsid w:val="00CD0471"/>
    <w:rsid w:val="00CD0780"/>
    <w:rsid w:val="00CD1FA7"/>
    <w:rsid w:val="00CD614C"/>
    <w:rsid w:val="00CE0420"/>
    <w:rsid w:val="00CE1294"/>
    <w:rsid w:val="00CE52F3"/>
    <w:rsid w:val="00CE7A7C"/>
    <w:rsid w:val="00CF0C84"/>
    <w:rsid w:val="00CF0F24"/>
    <w:rsid w:val="00CF3089"/>
    <w:rsid w:val="00D005F1"/>
    <w:rsid w:val="00D0600C"/>
    <w:rsid w:val="00D06245"/>
    <w:rsid w:val="00D07439"/>
    <w:rsid w:val="00D07EA5"/>
    <w:rsid w:val="00D127B1"/>
    <w:rsid w:val="00D13D22"/>
    <w:rsid w:val="00D14F13"/>
    <w:rsid w:val="00D16063"/>
    <w:rsid w:val="00D16F07"/>
    <w:rsid w:val="00D17161"/>
    <w:rsid w:val="00D224D7"/>
    <w:rsid w:val="00D23F51"/>
    <w:rsid w:val="00D313CC"/>
    <w:rsid w:val="00D31D50"/>
    <w:rsid w:val="00D322CC"/>
    <w:rsid w:val="00D32BCA"/>
    <w:rsid w:val="00D402EC"/>
    <w:rsid w:val="00D449ED"/>
    <w:rsid w:val="00D46FBA"/>
    <w:rsid w:val="00D47236"/>
    <w:rsid w:val="00D47910"/>
    <w:rsid w:val="00D529EE"/>
    <w:rsid w:val="00D53900"/>
    <w:rsid w:val="00D55481"/>
    <w:rsid w:val="00D554A7"/>
    <w:rsid w:val="00D57782"/>
    <w:rsid w:val="00D57A9D"/>
    <w:rsid w:val="00D60490"/>
    <w:rsid w:val="00D70E38"/>
    <w:rsid w:val="00D71341"/>
    <w:rsid w:val="00D7135A"/>
    <w:rsid w:val="00D71A42"/>
    <w:rsid w:val="00D748FC"/>
    <w:rsid w:val="00D869D3"/>
    <w:rsid w:val="00D90056"/>
    <w:rsid w:val="00D91E1C"/>
    <w:rsid w:val="00D93D69"/>
    <w:rsid w:val="00D97B46"/>
    <w:rsid w:val="00DA0982"/>
    <w:rsid w:val="00DA207A"/>
    <w:rsid w:val="00DB42C9"/>
    <w:rsid w:val="00DB5BCA"/>
    <w:rsid w:val="00DB7B99"/>
    <w:rsid w:val="00DC1219"/>
    <w:rsid w:val="00DC2FCC"/>
    <w:rsid w:val="00DC435B"/>
    <w:rsid w:val="00DC5462"/>
    <w:rsid w:val="00DC6B2C"/>
    <w:rsid w:val="00DC6B97"/>
    <w:rsid w:val="00DC7EB0"/>
    <w:rsid w:val="00DD135F"/>
    <w:rsid w:val="00DD4448"/>
    <w:rsid w:val="00DD51C6"/>
    <w:rsid w:val="00DD595F"/>
    <w:rsid w:val="00DE09F5"/>
    <w:rsid w:val="00DE10ED"/>
    <w:rsid w:val="00DE1A57"/>
    <w:rsid w:val="00DE1C9C"/>
    <w:rsid w:val="00DE2FFB"/>
    <w:rsid w:val="00DE353E"/>
    <w:rsid w:val="00DE481C"/>
    <w:rsid w:val="00DE5C69"/>
    <w:rsid w:val="00DE64E7"/>
    <w:rsid w:val="00DE6A61"/>
    <w:rsid w:val="00DE7588"/>
    <w:rsid w:val="00DF1A63"/>
    <w:rsid w:val="00DF32C8"/>
    <w:rsid w:val="00DF35B9"/>
    <w:rsid w:val="00DF39D5"/>
    <w:rsid w:val="00DF3B91"/>
    <w:rsid w:val="00E027EC"/>
    <w:rsid w:val="00E03C8C"/>
    <w:rsid w:val="00E05DB5"/>
    <w:rsid w:val="00E06A8E"/>
    <w:rsid w:val="00E07719"/>
    <w:rsid w:val="00E102B9"/>
    <w:rsid w:val="00E12329"/>
    <w:rsid w:val="00E12820"/>
    <w:rsid w:val="00E13E43"/>
    <w:rsid w:val="00E1484B"/>
    <w:rsid w:val="00E14DF3"/>
    <w:rsid w:val="00E16AFB"/>
    <w:rsid w:val="00E1710C"/>
    <w:rsid w:val="00E17E1A"/>
    <w:rsid w:val="00E2013D"/>
    <w:rsid w:val="00E25898"/>
    <w:rsid w:val="00E25EB3"/>
    <w:rsid w:val="00E3079F"/>
    <w:rsid w:val="00E32EB8"/>
    <w:rsid w:val="00E335D4"/>
    <w:rsid w:val="00E34295"/>
    <w:rsid w:val="00E35965"/>
    <w:rsid w:val="00E369A3"/>
    <w:rsid w:val="00E37643"/>
    <w:rsid w:val="00E378FB"/>
    <w:rsid w:val="00E37D03"/>
    <w:rsid w:val="00E41B0A"/>
    <w:rsid w:val="00E42E1B"/>
    <w:rsid w:val="00E50B52"/>
    <w:rsid w:val="00E51976"/>
    <w:rsid w:val="00E522C8"/>
    <w:rsid w:val="00E52E76"/>
    <w:rsid w:val="00E530D9"/>
    <w:rsid w:val="00E543DA"/>
    <w:rsid w:val="00E55EE2"/>
    <w:rsid w:val="00E5735D"/>
    <w:rsid w:val="00E65B9A"/>
    <w:rsid w:val="00E678E6"/>
    <w:rsid w:val="00E72809"/>
    <w:rsid w:val="00E73308"/>
    <w:rsid w:val="00E77400"/>
    <w:rsid w:val="00E81CA9"/>
    <w:rsid w:val="00E84006"/>
    <w:rsid w:val="00E854DA"/>
    <w:rsid w:val="00E860AB"/>
    <w:rsid w:val="00E86243"/>
    <w:rsid w:val="00E9027A"/>
    <w:rsid w:val="00E90E03"/>
    <w:rsid w:val="00E90F97"/>
    <w:rsid w:val="00E97D58"/>
    <w:rsid w:val="00EA25A6"/>
    <w:rsid w:val="00EA3AFC"/>
    <w:rsid w:val="00EA7035"/>
    <w:rsid w:val="00EB271F"/>
    <w:rsid w:val="00EB29F5"/>
    <w:rsid w:val="00EB47D9"/>
    <w:rsid w:val="00EB5926"/>
    <w:rsid w:val="00EB60BD"/>
    <w:rsid w:val="00EB7C63"/>
    <w:rsid w:val="00EC2AF0"/>
    <w:rsid w:val="00EC514E"/>
    <w:rsid w:val="00EC5B39"/>
    <w:rsid w:val="00ED23A0"/>
    <w:rsid w:val="00ED3835"/>
    <w:rsid w:val="00EE216F"/>
    <w:rsid w:val="00EE432E"/>
    <w:rsid w:val="00EE4F99"/>
    <w:rsid w:val="00EE52BF"/>
    <w:rsid w:val="00EE55D6"/>
    <w:rsid w:val="00EE60F8"/>
    <w:rsid w:val="00EF5B24"/>
    <w:rsid w:val="00EF6DB8"/>
    <w:rsid w:val="00EF7245"/>
    <w:rsid w:val="00F01963"/>
    <w:rsid w:val="00F01EA5"/>
    <w:rsid w:val="00F04233"/>
    <w:rsid w:val="00F05256"/>
    <w:rsid w:val="00F05A52"/>
    <w:rsid w:val="00F067D4"/>
    <w:rsid w:val="00F13A77"/>
    <w:rsid w:val="00F15BBA"/>
    <w:rsid w:val="00F20741"/>
    <w:rsid w:val="00F24ECC"/>
    <w:rsid w:val="00F27AFC"/>
    <w:rsid w:val="00F30573"/>
    <w:rsid w:val="00F316EF"/>
    <w:rsid w:val="00F35A97"/>
    <w:rsid w:val="00F36F72"/>
    <w:rsid w:val="00F4096C"/>
    <w:rsid w:val="00F40A6B"/>
    <w:rsid w:val="00F4101D"/>
    <w:rsid w:val="00F428A5"/>
    <w:rsid w:val="00F46F1B"/>
    <w:rsid w:val="00F47452"/>
    <w:rsid w:val="00F5286D"/>
    <w:rsid w:val="00F53428"/>
    <w:rsid w:val="00F55712"/>
    <w:rsid w:val="00F61BE2"/>
    <w:rsid w:val="00F62BE2"/>
    <w:rsid w:val="00F62E47"/>
    <w:rsid w:val="00F64EF7"/>
    <w:rsid w:val="00F67900"/>
    <w:rsid w:val="00F67D02"/>
    <w:rsid w:val="00F706C0"/>
    <w:rsid w:val="00F71717"/>
    <w:rsid w:val="00F74303"/>
    <w:rsid w:val="00F750F0"/>
    <w:rsid w:val="00F766EF"/>
    <w:rsid w:val="00F8614E"/>
    <w:rsid w:val="00F876E1"/>
    <w:rsid w:val="00F934B2"/>
    <w:rsid w:val="00F93520"/>
    <w:rsid w:val="00F9422F"/>
    <w:rsid w:val="00F9436D"/>
    <w:rsid w:val="00F95DFF"/>
    <w:rsid w:val="00F96C68"/>
    <w:rsid w:val="00F977D5"/>
    <w:rsid w:val="00FA03F0"/>
    <w:rsid w:val="00FA0E67"/>
    <w:rsid w:val="00FA4865"/>
    <w:rsid w:val="00FA67A0"/>
    <w:rsid w:val="00FA72C4"/>
    <w:rsid w:val="00FA7E76"/>
    <w:rsid w:val="00FB19BD"/>
    <w:rsid w:val="00FB4E78"/>
    <w:rsid w:val="00FB6A4A"/>
    <w:rsid w:val="00FC0B14"/>
    <w:rsid w:val="00FC33AC"/>
    <w:rsid w:val="00FC59B8"/>
    <w:rsid w:val="00FC6784"/>
    <w:rsid w:val="00FC7179"/>
    <w:rsid w:val="00FD0C44"/>
    <w:rsid w:val="00FD0D61"/>
    <w:rsid w:val="00FD2249"/>
    <w:rsid w:val="00FD23AB"/>
    <w:rsid w:val="00FD3195"/>
    <w:rsid w:val="00FD665C"/>
    <w:rsid w:val="00FE18DD"/>
    <w:rsid w:val="00FE2235"/>
    <w:rsid w:val="00FE2BFE"/>
    <w:rsid w:val="00FE4BBB"/>
    <w:rsid w:val="00FE5521"/>
    <w:rsid w:val="00FE7030"/>
    <w:rsid w:val="00FF189A"/>
    <w:rsid w:val="00FF18DB"/>
    <w:rsid w:val="00FF1A8A"/>
    <w:rsid w:val="00FF7E23"/>
    <w:rsid w:val="010E0023"/>
    <w:rsid w:val="03027D69"/>
    <w:rsid w:val="04C230F9"/>
    <w:rsid w:val="068529D9"/>
    <w:rsid w:val="070B7827"/>
    <w:rsid w:val="079B4348"/>
    <w:rsid w:val="0A6D7E37"/>
    <w:rsid w:val="0AA0284B"/>
    <w:rsid w:val="0D102728"/>
    <w:rsid w:val="101858B3"/>
    <w:rsid w:val="104036BD"/>
    <w:rsid w:val="104A5D74"/>
    <w:rsid w:val="10634F14"/>
    <w:rsid w:val="108D10FE"/>
    <w:rsid w:val="109B20AC"/>
    <w:rsid w:val="10AC6702"/>
    <w:rsid w:val="12432B80"/>
    <w:rsid w:val="13E36FE2"/>
    <w:rsid w:val="143A1A3D"/>
    <w:rsid w:val="143F5EFE"/>
    <w:rsid w:val="16B169EA"/>
    <w:rsid w:val="186A57D5"/>
    <w:rsid w:val="196565AA"/>
    <w:rsid w:val="19C50D05"/>
    <w:rsid w:val="1AE9308B"/>
    <w:rsid w:val="1AFC7499"/>
    <w:rsid w:val="1B3B16A6"/>
    <w:rsid w:val="1D19215F"/>
    <w:rsid w:val="1D85768F"/>
    <w:rsid w:val="1EEC32CA"/>
    <w:rsid w:val="21E94B26"/>
    <w:rsid w:val="23B7383A"/>
    <w:rsid w:val="241C7858"/>
    <w:rsid w:val="25577F30"/>
    <w:rsid w:val="258F0CF0"/>
    <w:rsid w:val="262265FD"/>
    <w:rsid w:val="28A9549B"/>
    <w:rsid w:val="29EC6D0F"/>
    <w:rsid w:val="2DBF31FE"/>
    <w:rsid w:val="2F08618B"/>
    <w:rsid w:val="31A51D80"/>
    <w:rsid w:val="31C03FB0"/>
    <w:rsid w:val="32AB2F81"/>
    <w:rsid w:val="32B215D0"/>
    <w:rsid w:val="34227F8C"/>
    <w:rsid w:val="34832D6C"/>
    <w:rsid w:val="34EE1018"/>
    <w:rsid w:val="358D0A19"/>
    <w:rsid w:val="36EA7AE0"/>
    <w:rsid w:val="37210669"/>
    <w:rsid w:val="373311DA"/>
    <w:rsid w:val="37EF695D"/>
    <w:rsid w:val="38BC126D"/>
    <w:rsid w:val="38D11CED"/>
    <w:rsid w:val="3A3C2EFF"/>
    <w:rsid w:val="3C3E726C"/>
    <w:rsid w:val="3D961382"/>
    <w:rsid w:val="3E180219"/>
    <w:rsid w:val="441B3918"/>
    <w:rsid w:val="448169E1"/>
    <w:rsid w:val="45E72842"/>
    <w:rsid w:val="46D76EB1"/>
    <w:rsid w:val="474610CF"/>
    <w:rsid w:val="486C0ED0"/>
    <w:rsid w:val="489B73FC"/>
    <w:rsid w:val="4A6D68AE"/>
    <w:rsid w:val="4AA85ED5"/>
    <w:rsid w:val="4AFD6EE4"/>
    <w:rsid w:val="4D8F0E91"/>
    <w:rsid w:val="4E5F7BFA"/>
    <w:rsid w:val="4E6A15CD"/>
    <w:rsid w:val="4FE60DB2"/>
    <w:rsid w:val="50C7604D"/>
    <w:rsid w:val="517E00C2"/>
    <w:rsid w:val="521712DF"/>
    <w:rsid w:val="525002EF"/>
    <w:rsid w:val="52C21445"/>
    <w:rsid w:val="53074ECA"/>
    <w:rsid w:val="544C4F32"/>
    <w:rsid w:val="551408A9"/>
    <w:rsid w:val="57714385"/>
    <w:rsid w:val="57B22579"/>
    <w:rsid w:val="5AE63D2E"/>
    <w:rsid w:val="5B24287A"/>
    <w:rsid w:val="5BA1781C"/>
    <w:rsid w:val="5C074C27"/>
    <w:rsid w:val="5D405B42"/>
    <w:rsid w:val="5F7D7F8F"/>
    <w:rsid w:val="5FBB0818"/>
    <w:rsid w:val="6108455B"/>
    <w:rsid w:val="61480D1A"/>
    <w:rsid w:val="62F005A6"/>
    <w:rsid w:val="63730C55"/>
    <w:rsid w:val="655649B5"/>
    <w:rsid w:val="6630355E"/>
    <w:rsid w:val="68EB4A74"/>
    <w:rsid w:val="6AF11D00"/>
    <w:rsid w:val="6B02638B"/>
    <w:rsid w:val="6BB5027F"/>
    <w:rsid w:val="6C2B3C4B"/>
    <w:rsid w:val="6D2D5E6A"/>
    <w:rsid w:val="6F8E3397"/>
    <w:rsid w:val="720F14FC"/>
    <w:rsid w:val="73257835"/>
    <w:rsid w:val="74242CF0"/>
    <w:rsid w:val="75B6562B"/>
    <w:rsid w:val="76BE5D3D"/>
    <w:rsid w:val="76D95802"/>
    <w:rsid w:val="78593815"/>
    <w:rsid w:val="7986749F"/>
    <w:rsid w:val="79D609FE"/>
    <w:rsid w:val="7C3070BE"/>
    <w:rsid w:val="7CE95789"/>
    <w:rsid w:val="7DF826B1"/>
    <w:rsid w:val="7E16427C"/>
    <w:rsid w:val="7EF6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11"/>
    <w:autoRedefine/>
    <w:unhideWhenUsed/>
    <w:qFormat/>
    <w:uiPriority w:val="99"/>
    <w:pPr>
      <w:tabs>
        <w:tab w:val="center" w:pos="4153"/>
        <w:tab w:val="right" w:pos="8306"/>
      </w:tabs>
    </w:pPr>
    <w:rPr>
      <w:sz w:val="18"/>
      <w:szCs w:val="18"/>
    </w:r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Date"/>
    <w:basedOn w:val="1"/>
    <w:next w:val="1"/>
    <w:link w:val="15"/>
    <w:autoRedefine/>
    <w:semiHidden/>
    <w:unhideWhenUsed/>
    <w:qFormat/>
    <w:uiPriority w:val="99"/>
    <w:pPr>
      <w:ind w:left="100" w:leftChars="2500"/>
    </w:pPr>
  </w:style>
  <w:style w:type="paragraph" w:styleId="5">
    <w:name w:val="Balloon Text"/>
    <w:basedOn w:val="1"/>
    <w:link w:val="12"/>
    <w:autoRedefine/>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autoRedefine/>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character" w:customStyle="1" w:styleId="10">
    <w:name w:val="页眉 Char"/>
    <w:basedOn w:val="9"/>
    <w:link w:val="6"/>
    <w:qFormat/>
    <w:uiPriority w:val="99"/>
    <w:rPr>
      <w:rFonts w:ascii="Tahoma" w:hAnsi="Tahoma"/>
      <w:sz w:val="18"/>
      <w:szCs w:val="18"/>
    </w:rPr>
  </w:style>
  <w:style w:type="character" w:customStyle="1" w:styleId="11">
    <w:name w:val="页脚 Char"/>
    <w:basedOn w:val="9"/>
    <w:link w:val="2"/>
    <w:autoRedefine/>
    <w:qFormat/>
    <w:uiPriority w:val="99"/>
    <w:rPr>
      <w:rFonts w:ascii="Tahoma" w:hAnsi="Tahoma"/>
      <w:sz w:val="18"/>
      <w:szCs w:val="18"/>
    </w:rPr>
  </w:style>
  <w:style w:type="character" w:customStyle="1" w:styleId="12">
    <w:name w:val="批注框文本 Char"/>
    <w:basedOn w:val="9"/>
    <w:link w:val="5"/>
    <w:semiHidden/>
    <w:qFormat/>
    <w:uiPriority w:val="99"/>
    <w:rPr>
      <w:rFonts w:ascii="Times New Roman" w:hAnsi="Times New Roman" w:eastAsia="宋体" w:cs="Times New Roman"/>
      <w:kern w:val="2"/>
      <w:sz w:val="18"/>
      <w:szCs w:val="18"/>
    </w:rPr>
  </w:style>
  <w:style w:type="paragraph" w:customStyle="1" w:styleId="13">
    <w:name w:val="Char Char Char Char Char Char Char Char Char Char Char Char Char Char Char Char Char Char Char Char Char Char Char Char Char Char Char Char Char Char Char Char Char"/>
    <w:basedOn w:val="1"/>
    <w:autoRedefine/>
    <w:qFormat/>
    <w:uiPriority w:val="0"/>
    <w:pPr>
      <w:adjustRightInd/>
      <w:snapToGrid/>
      <w:spacing w:after="160" w:line="240" w:lineRule="exact"/>
    </w:pPr>
    <w:rPr>
      <w:rFonts w:ascii="Calibri" w:hAnsi="Calibri" w:eastAsia="宋体" w:cs="Times New Roman"/>
      <w:kern w:val="2"/>
      <w:sz w:val="21"/>
      <w:szCs w:val="24"/>
    </w:rPr>
  </w:style>
  <w:style w:type="paragraph" w:customStyle="1" w:styleId="14">
    <w:name w:val="默认段落字体 Para Char Char Char Char Char Char Char Char Char Char"/>
    <w:basedOn w:val="1"/>
    <w:qFormat/>
    <w:uiPriority w:val="0"/>
    <w:pPr>
      <w:widowControl w:val="0"/>
      <w:adjustRightInd/>
      <w:snapToGrid/>
      <w:spacing w:after="0"/>
      <w:jc w:val="both"/>
    </w:pPr>
    <w:rPr>
      <w:rFonts w:ascii="Verdana" w:hAnsi="Verdana" w:eastAsia="仿宋_GB2312" w:cs="Times New Roman"/>
      <w:sz w:val="24"/>
      <w:szCs w:val="20"/>
      <w:lang w:eastAsia="en-US"/>
    </w:rPr>
  </w:style>
  <w:style w:type="character" w:customStyle="1" w:styleId="15">
    <w:name w:val="日期 Char"/>
    <w:basedOn w:val="9"/>
    <w:link w:val="4"/>
    <w:autoRedefine/>
    <w:semiHidden/>
    <w:qFormat/>
    <w:uiPriority w:val="99"/>
    <w:rPr>
      <w:rFonts w:ascii="Tahoma" w:hAnsi="Tahoma"/>
    </w:rPr>
  </w:style>
  <w:style w:type="paragraph" w:customStyle="1" w:styleId="16">
    <w:name w:val="Char Char4"/>
    <w:basedOn w:val="1"/>
    <w:autoRedefine/>
    <w:qFormat/>
    <w:uiPriority w:val="0"/>
    <w:pPr>
      <w:widowControl w:val="0"/>
      <w:adjustRightInd/>
      <w:snapToGrid/>
      <w:spacing w:after="0"/>
      <w:jc w:val="both"/>
    </w:pPr>
    <w:rPr>
      <w:rFonts w:eastAsia="方正仿宋_GBK" w:cs="Times New Roman"/>
      <w:kern w:val="2"/>
      <w:sz w:val="24"/>
      <w:szCs w:val="20"/>
    </w:rPr>
  </w:style>
  <w:style w:type="paragraph" w:customStyle="1" w:styleId="17">
    <w:name w:val="Char"/>
    <w:basedOn w:val="1"/>
    <w:autoRedefine/>
    <w:qFormat/>
    <w:uiPriority w:val="0"/>
    <w:pPr>
      <w:adjustRightInd/>
      <w:snapToGrid/>
      <w:spacing w:after="160" w:line="240" w:lineRule="exact"/>
    </w:pPr>
    <w:rPr>
      <w:rFonts w:ascii="Times New Roman" w:hAnsi="Times New Roman" w:eastAsia="宋体" w:cs="Times New Roman"/>
      <w:kern w:val="2"/>
      <w:sz w:val="21"/>
      <w:szCs w:val="20"/>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0826424998761947"/>
          <c:w val="0.839047098279397"/>
          <c:h val="0.793005920771531"/>
        </c:manualLayout>
      </c:layout>
      <c:barChart>
        <c:barDir val="col"/>
        <c:grouping val="clustered"/>
        <c:varyColors val="0"/>
        <c:ser>
          <c:idx val="0"/>
          <c:order val="0"/>
          <c:tx>
            <c:strRef>
              <c:f>Sheet1!$B$1</c:f>
              <c:strCache>
                <c:ptCount val="1"/>
                <c:pt idx="0">
                  <c:v>地区生产总值（亿元）</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2037037037037"/>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0.00_ </c:formatCode>
                <c:ptCount val="5"/>
                <c:pt idx="0">
                  <c:v>161.58</c:v>
                </c:pt>
                <c:pt idx="1">
                  <c:v>168.68</c:v>
                </c:pt>
                <c:pt idx="2">
                  <c:v>196.28</c:v>
                </c:pt>
                <c:pt idx="3">
                  <c:v>214.59</c:v>
                </c:pt>
                <c:pt idx="4">
                  <c:v>230.46</c:v>
                </c:pt>
              </c:numCache>
            </c:numRef>
          </c:val>
        </c:ser>
        <c:dLbls>
          <c:showLegendKey val="0"/>
          <c:showVal val="0"/>
          <c:showCatName val="0"/>
          <c:showSerName val="0"/>
          <c:showPercent val="0"/>
          <c:showBubbleSize val="0"/>
        </c:dLbls>
        <c:gapWidth val="150"/>
        <c:axId val="71325952"/>
        <c:axId val="203784192"/>
      </c:barChart>
      <c:lineChart>
        <c:grouping val="standard"/>
        <c:varyColors val="0"/>
        <c:ser>
          <c:idx val="1"/>
          <c:order val="1"/>
          <c:tx>
            <c:strRef>
              <c:f>Sheet1!$C$1</c:f>
              <c:strCache>
                <c:ptCount val="1"/>
                <c:pt idx="0">
                  <c:v>比上年增长（%）</c:v>
                </c:pt>
              </c:strCache>
            </c:strRef>
          </c:tx>
          <c:dLbls>
            <c:dLbl>
              <c:idx val="0"/>
              <c:layout>
                <c:manualLayout>
                  <c:x val="-0.0355613881598134"/>
                  <c:y val="-0.05533885187428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8206474190726"/>
                  <c:y val="-0.05600062812661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3345363079615"/>
                  <c:y val="0.08262568632999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7049066783319"/>
                  <c:y val="-0.073376697478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97049066783319"/>
                  <c:y val="-0.04893236785055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0.0_ </c:formatCode>
                <c:ptCount val="5"/>
                <c:pt idx="0">
                  <c:v>0.8</c:v>
                </c:pt>
                <c:pt idx="1">
                  <c:v>2.5</c:v>
                </c:pt>
                <c:pt idx="2">
                  <c:v>7.8</c:v>
                </c:pt>
                <c:pt idx="3">
                  <c:v>4</c:v>
                </c:pt>
                <c:pt idx="4">
                  <c:v>8.1</c:v>
                </c:pt>
              </c:numCache>
            </c:numRef>
          </c:val>
          <c:smooth val="0"/>
        </c:ser>
        <c:dLbls>
          <c:showLegendKey val="0"/>
          <c:showVal val="0"/>
          <c:showCatName val="0"/>
          <c:showSerName val="0"/>
          <c:showPercent val="0"/>
          <c:showBubbleSize val="0"/>
        </c:dLbls>
        <c:marker val="1"/>
        <c:smooth val="0"/>
        <c:axId val="247183616"/>
        <c:axId val="244771840"/>
      </c:lineChart>
      <c:catAx>
        <c:axId val="71325952"/>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3784192"/>
        <c:crosses val="autoZero"/>
        <c:auto val="1"/>
        <c:lblAlgn val="ctr"/>
        <c:lblOffset val="100"/>
        <c:noMultiLvlLbl val="0"/>
      </c:catAx>
      <c:valAx>
        <c:axId val="203784192"/>
        <c:scaling>
          <c:orientation val="minMax"/>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1325952"/>
        <c:crosses val="autoZero"/>
        <c:crossBetween val="between"/>
        <c:majorUnit val="50"/>
        <c:minorUnit val="0.1"/>
      </c:valAx>
      <c:catAx>
        <c:axId val="24718361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4771840"/>
        <c:crosses val="autoZero"/>
        <c:auto val="1"/>
        <c:lblAlgn val="ctr"/>
        <c:lblOffset val="100"/>
        <c:noMultiLvlLbl val="0"/>
      </c:catAx>
      <c:valAx>
        <c:axId val="244771840"/>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7183616"/>
        <c:crosses val="max"/>
        <c:crossBetween val="between"/>
        <c:majorUnit val="2"/>
      </c:valAx>
    </c:plotArea>
    <c:legend>
      <c:legendPos val="t"/>
      <c:layout>
        <c:manualLayout>
          <c:xMode val="edge"/>
          <c:yMode val="edge"/>
          <c:x val="0.259115315767784"/>
          <c:y val="0.00587659157688541"/>
          <c:w val="0.530509259259259"/>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8029308836395"/>
          <c:y val="0.0826424998761947"/>
          <c:w val="0.839047098279397"/>
          <c:h val="0.79827405632267"/>
        </c:manualLayout>
      </c:layout>
      <c:barChart>
        <c:barDir val="col"/>
        <c:grouping val="clustered"/>
        <c:varyColors val="0"/>
        <c:ser>
          <c:idx val="0"/>
          <c:order val="0"/>
          <c:tx>
            <c:strRef>
              <c:f>Sheet1!$B$1</c:f>
              <c:strCache>
                <c:ptCount val="1"/>
                <c:pt idx="0">
                  <c:v>粮食产量（万吨）</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3464921957219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31481481481481"/>
                  <c:y val="0.02305511811023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0.00_ </c:formatCode>
                <c:ptCount val="5"/>
                <c:pt idx="0">
                  <c:v>21.88</c:v>
                </c:pt>
                <c:pt idx="1">
                  <c:v>22.03</c:v>
                </c:pt>
                <c:pt idx="2">
                  <c:v>22.35</c:v>
                </c:pt>
                <c:pt idx="3">
                  <c:v>22.11</c:v>
                </c:pt>
                <c:pt idx="4">
                  <c:v>22.46</c:v>
                </c:pt>
              </c:numCache>
            </c:numRef>
          </c:val>
        </c:ser>
        <c:dLbls>
          <c:showLegendKey val="0"/>
          <c:showVal val="0"/>
          <c:showCatName val="0"/>
          <c:showSerName val="0"/>
          <c:showPercent val="0"/>
          <c:showBubbleSize val="0"/>
        </c:dLbls>
        <c:gapWidth val="150"/>
        <c:axId val="420891648"/>
        <c:axId val="420967552"/>
      </c:barChart>
      <c:lineChart>
        <c:grouping val="standard"/>
        <c:varyColors val="0"/>
        <c:ser>
          <c:idx val="1"/>
          <c:order val="1"/>
          <c:tx>
            <c:strRef>
              <c:f>Sheet1!$C$1</c:f>
              <c:strCache>
                <c:ptCount val="1"/>
                <c:pt idx="0">
                  <c:v>比上年增长（%）</c:v>
                </c:pt>
              </c:strCache>
            </c:strRef>
          </c:tx>
          <c:dLbls>
            <c:dLbl>
              <c:idx val="0"/>
              <c:layout>
                <c:manualLayout>
                  <c:x val="-0.0425058326042578"/>
                  <c:y val="0.04722532871796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3252770487023"/>
                  <c:y val="0.04877911469973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06138815981341"/>
                  <c:y val="0.001989282976248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2419437153689"/>
                  <c:y val="-0.04844444815553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77898075240595"/>
                  <c:y val="0.005173793360665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0.0_ </c:formatCode>
                <c:ptCount val="5"/>
                <c:pt idx="0">
                  <c:v>-1.3</c:v>
                </c:pt>
                <c:pt idx="1">
                  <c:v>0.7</c:v>
                </c:pt>
                <c:pt idx="2">
                  <c:v>1.5</c:v>
                </c:pt>
                <c:pt idx="3">
                  <c:v>-1.1</c:v>
                </c:pt>
                <c:pt idx="4">
                  <c:v>1.6</c:v>
                </c:pt>
              </c:numCache>
            </c:numRef>
          </c:val>
          <c:smooth val="0"/>
        </c:ser>
        <c:dLbls>
          <c:showLegendKey val="0"/>
          <c:showVal val="0"/>
          <c:showCatName val="0"/>
          <c:showSerName val="0"/>
          <c:showPercent val="0"/>
          <c:showBubbleSize val="0"/>
        </c:dLbls>
        <c:marker val="1"/>
        <c:smooth val="0"/>
        <c:axId val="420971264"/>
        <c:axId val="420969472"/>
      </c:lineChart>
      <c:catAx>
        <c:axId val="42089164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67552"/>
        <c:crosses val="autoZero"/>
        <c:auto val="1"/>
        <c:lblAlgn val="ctr"/>
        <c:lblOffset val="100"/>
        <c:noMultiLvlLbl val="0"/>
      </c:catAx>
      <c:valAx>
        <c:axId val="420967552"/>
        <c:scaling>
          <c:orientation val="minMax"/>
          <c:max val="30"/>
          <c:min val="0"/>
        </c:scaling>
        <c:delete val="0"/>
        <c:axPos val="l"/>
        <c:numFmt formatCode="#,##0.0_);\(#,##0.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891648"/>
        <c:crosses val="autoZero"/>
        <c:crossBetween val="between"/>
        <c:majorUnit val="10"/>
      </c:valAx>
      <c:catAx>
        <c:axId val="42097126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69472"/>
        <c:crosses val="autoZero"/>
        <c:auto val="1"/>
        <c:lblAlgn val="ctr"/>
        <c:lblOffset val="100"/>
        <c:noMultiLvlLbl val="0"/>
      </c:catAx>
      <c:valAx>
        <c:axId val="420969472"/>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71264"/>
        <c:crosses val="max"/>
        <c:crossBetween val="between"/>
        <c:majorUnit val="1"/>
      </c:valAx>
    </c:plotArea>
    <c:legend>
      <c:legendPos val="t"/>
      <c:layout>
        <c:manualLayout>
          <c:xMode val="edge"/>
          <c:yMode val="edge"/>
          <c:x val="0.34238425925926"/>
          <c:y val="0.0254777070063705"/>
          <c:w val="0.505046296296297"/>
          <c:h val="0.076785194844275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112082281580831"/>
          <c:w val="0.839047098279397"/>
          <c:h val="0.759996483693127"/>
        </c:manualLayout>
      </c:layout>
      <c:barChart>
        <c:barDir val="col"/>
        <c:grouping val="clustered"/>
        <c:varyColors val="0"/>
        <c:ser>
          <c:idx val="0"/>
          <c:order val="0"/>
          <c:tx>
            <c:strRef>
              <c:f>Sheet1!$B$1</c:f>
              <c:strCache>
                <c:ptCount val="1"/>
                <c:pt idx="0">
                  <c:v>建筑业增加值（亿元）</c:v>
                </c:pt>
              </c:strCache>
            </c:strRef>
          </c:tx>
          <c:invertIfNegative val="0"/>
          <c:dLbls>
            <c:dLbl>
              <c:idx val="0"/>
              <c:layout>
                <c:manualLayout>
                  <c:x val="0.00231481481481481"/>
                  <c:y val="0.03028243479134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31481481481481"/>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59344505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235453260650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0.00_ </c:formatCode>
                <c:ptCount val="5"/>
                <c:pt idx="0">
                  <c:v>12.54</c:v>
                </c:pt>
                <c:pt idx="1">
                  <c:v>14.1</c:v>
                </c:pt>
                <c:pt idx="2">
                  <c:v>15.25</c:v>
                </c:pt>
                <c:pt idx="3">
                  <c:v>23.58</c:v>
                </c:pt>
                <c:pt idx="4">
                  <c:v>27.87</c:v>
                </c:pt>
              </c:numCache>
            </c:numRef>
          </c:val>
        </c:ser>
        <c:dLbls>
          <c:showLegendKey val="0"/>
          <c:showVal val="0"/>
          <c:showCatName val="0"/>
          <c:showSerName val="0"/>
          <c:showPercent val="0"/>
          <c:showBubbleSize val="0"/>
        </c:dLbls>
        <c:gapWidth val="150"/>
        <c:axId val="435516928"/>
        <c:axId val="435519872"/>
      </c:barChart>
      <c:lineChart>
        <c:grouping val="standard"/>
        <c:varyColors val="0"/>
        <c:ser>
          <c:idx val="1"/>
          <c:order val="1"/>
          <c:tx>
            <c:strRef>
              <c:f>Sheet1!$C$1</c:f>
              <c:strCache>
                <c:ptCount val="1"/>
                <c:pt idx="0">
                  <c:v>比上年增长（%）</c:v>
                </c:pt>
              </c:strCache>
            </c:strRef>
          </c:tx>
          <c:dLbls>
            <c:dLbl>
              <c:idx val="0"/>
              <c:layout>
                <c:manualLayout>
                  <c:x val="-0.0488715733449986"/>
                  <c:y val="0.03324871874718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8206474190726"/>
                  <c:y val="-0.07127031162959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7919471538776"/>
                  <c:y val="-0.07566945561662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258940461104"/>
                  <c:y val="0.0165294266717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02407122994339"/>
                  <c:y val="0.07158942238802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0.0_ </c:formatCode>
                <c:ptCount val="5"/>
                <c:pt idx="0">
                  <c:v>8.2</c:v>
                </c:pt>
                <c:pt idx="1">
                  <c:v>8.2</c:v>
                </c:pt>
                <c:pt idx="2">
                  <c:v>-0.6</c:v>
                </c:pt>
                <c:pt idx="3">
                  <c:v>11.8</c:v>
                </c:pt>
                <c:pt idx="4">
                  <c:v>17.3</c:v>
                </c:pt>
              </c:numCache>
            </c:numRef>
          </c:val>
          <c:smooth val="0"/>
        </c:ser>
        <c:dLbls>
          <c:showLegendKey val="0"/>
          <c:showVal val="0"/>
          <c:showCatName val="0"/>
          <c:showSerName val="0"/>
          <c:showPercent val="0"/>
          <c:showBubbleSize val="0"/>
        </c:dLbls>
        <c:marker val="1"/>
        <c:smooth val="0"/>
        <c:axId val="435550464"/>
        <c:axId val="435522560"/>
      </c:lineChart>
      <c:catAx>
        <c:axId val="43551692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19872"/>
        <c:crosses val="autoZero"/>
        <c:auto val="1"/>
        <c:lblAlgn val="ctr"/>
        <c:lblOffset val="100"/>
        <c:noMultiLvlLbl val="0"/>
      </c:catAx>
      <c:valAx>
        <c:axId val="435519872"/>
        <c:scaling>
          <c:orientation val="minMax"/>
          <c:max val="28"/>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16928"/>
        <c:crosses val="autoZero"/>
        <c:crossBetween val="between"/>
        <c:majorUnit val="2"/>
        <c:minorUnit val="0.1"/>
      </c:valAx>
      <c:catAx>
        <c:axId val="43555046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22560"/>
        <c:crosses val="autoZero"/>
        <c:auto val="1"/>
        <c:lblAlgn val="ctr"/>
        <c:lblOffset val="100"/>
        <c:noMultiLvlLbl val="0"/>
      </c:catAx>
      <c:valAx>
        <c:axId val="435522560"/>
        <c:scaling>
          <c:orientation val="minMax"/>
          <c:max val="30"/>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50464"/>
        <c:crosses val="max"/>
        <c:crossBetween val="between"/>
        <c:majorUnit val="2"/>
      </c:valAx>
    </c:plotArea>
    <c:legend>
      <c:legendPos val="t"/>
      <c:layout>
        <c:manualLayout>
          <c:xMode val="edge"/>
          <c:yMode val="edge"/>
          <c:x val="0.379421296296296"/>
          <c:y val="0.0022901204335104"/>
          <c:w val="0.530509259259259"/>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0826424998761947"/>
          <c:w val="0.899232283464567"/>
          <c:h val="0.776940682414698"/>
        </c:manualLayout>
      </c:layout>
      <c:barChart>
        <c:barDir val="col"/>
        <c:grouping val="clustered"/>
        <c:varyColors val="0"/>
        <c:ser>
          <c:idx val="0"/>
          <c:order val="0"/>
          <c:tx>
            <c:strRef>
              <c:f>Sheet1!$B$1</c:f>
              <c:strCache>
                <c:ptCount val="1"/>
                <c:pt idx="0">
                  <c:v>社零总额（亿元）</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2037037037037"/>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0.00_ </c:formatCode>
                <c:ptCount val="5"/>
                <c:pt idx="0">
                  <c:v>84.93</c:v>
                </c:pt>
                <c:pt idx="1">
                  <c:v>82.73</c:v>
                </c:pt>
                <c:pt idx="2">
                  <c:v>97.38</c:v>
                </c:pt>
                <c:pt idx="3">
                  <c:v>98.49</c:v>
                </c:pt>
                <c:pt idx="4">
                  <c:v>107.1</c:v>
                </c:pt>
              </c:numCache>
            </c:numRef>
          </c:val>
        </c:ser>
        <c:dLbls>
          <c:showLegendKey val="0"/>
          <c:showVal val="0"/>
          <c:showCatName val="0"/>
          <c:showSerName val="0"/>
          <c:showPercent val="0"/>
          <c:showBubbleSize val="0"/>
        </c:dLbls>
        <c:gapWidth val="150"/>
        <c:axId val="246031488"/>
        <c:axId val="246033024"/>
      </c:barChart>
      <c:catAx>
        <c:axId val="24603148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033024"/>
        <c:crosses val="autoZero"/>
        <c:auto val="1"/>
        <c:lblAlgn val="ctr"/>
        <c:lblOffset val="100"/>
        <c:noMultiLvlLbl val="0"/>
      </c:catAx>
      <c:valAx>
        <c:axId val="246033024"/>
        <c:scaling>
          <c:orientation val="minMax"/>
          <c:max val="120"/>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031488"/>
        <c:crosses val="autoZero"/>
        <c:crossBetween val="between"/>
        <c:majorUnit val="20"/>
        <c:minorUnit val="0.1"/>
      </c:valAx>
    </c:plotArea>
    <c:legend>
      <c:legendPos val="t"/>
      <c:layout>
        <c:manualLayout>
          <c:xMode val="edge"/>
          <c:yMode val="edge"/>
          <c:x val="0.0923842592592592"/>
          <c:y val="0.0341880341880342"/>
          <c:w val="0.312916666666667"/>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666926128884788"/>
          <c:y val="0.110620986206511"/>
          <c:w val="0.879591170895305"/>
          <c:h val="0.778944100072598"/>
        </c:manualLayout>
      </c:layout>
      <c:barChart>
        <c:barDir val="col"/>
        <c:grouping val="clustered"/>
        <c:varyColors val="0"/>
        <c:ser>
          <c:idx val="0"/>
          <c:order val="0"/>
          <c:tx>
            <c:strRef>
              <c:f>Sheet1!$B$1</c:f>
              <c:strCache>
                <c:ptCount val="1"/>
                <c:pt idx="0">
                  <c:v>收入（亿元）</c:v>
                </c:pt>
              </c:strCache>
            </c:strRef>
          </c:tx>
          <c:invertIfNegative val="0"/>
          <c:dLbls>
            <c:dLbl>
              <c:idx val="0"/>
              <c:layout>
                <c:manualLayout>
                  <c:x val="0"/>
                  <c:y val="0.01259794580471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25225225225225"/>
                  <c:y val="0.02171790170064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070385882615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46396396396396"/>
                  <c:y val="0.1004212454212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0.00_ </c:formatCode>
                <c:ptCount val="5"/>
                <c:pt idx="0">
                  <c:v>10.02</c:v>
                </c:pt>
                <c:pt idx="1">
                  <c:v>10.23</c:v>
                </c:pt>
                <c:pt idx="2">
                  <c:v>10.83</c:v>
                </c:pt>
                <c:pt idx="3">
                  <c:v>12.93</c:v>
                </c:pt>
                <c:pt idx="4">
                  <c:v>15.5</c:v>
                </c:pt>
              </c:numCache>
            </c:numRef>
          </c:val>
        </c:ser>
        <c:dLbls>
          <c:showLegendKey val="0"/>
          <c:showVal val="0"/>
          <c:showCatName val="0"/>
          <c:showSerName val="0"/>
          <c:showPercent val="0"/>
          <c:showBubbleSize val="0"/>
        </c:dLbls>
        <c:gapWidth val="150"/>
        <c:axId val="246649984"/>
        <c:axId val="246651520"/>
      </c:barChart>
      <c:lineChart>
        <c:grouping val="standard"/>
        <c:varyColors val="0"/>
        <c:ser>
          <c:idx val="1"/>
          <c:order val="1"/>
          <c:tx>
            <c:strRef>
              <c:f>Sheet1!$C$1</c:f>
              <c:strCache>
                <c:ptCount val="1"/>
                <c:pt idx="0">
                  <c:v>增速（%）</c:v>
                </c:pt>
              </c:strCache>
            </c:strRef>
          </c:tx>
          <c:dLbls>
            <c:dLbl>
              <c:idx val="0"/>
              <c:layout>
                <c:manualLayout>
                  <c:x val="-0.0420068099595659"/>
                  <c:y val="0.07156749241961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20068160433634"/>
                  <c:y val="0.048061166267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2288907030434"/>
                  <c:y val="0.05452392918970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0040434134922"/>
                  <c:y val="0.06672611129088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08417384281815"/>
                  <c:y val="0.07317719327637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0.0_ </c:formatCode>
                <c:ptCount val="5"/>
                <c:pt idx="0">
                  <c:v>1.6</c:v>
                </c:pt>
                <c:pt idx="1">
                  <c:v>2.1</c:v>
                </c:pt>
                <c:pt idx="2">
                  <c:v>5.9</c:v>
                </c:pt>
                <c:pt idx="3">
                  <c:v>19.4</c:v>
                </c:pt>
                <c:pt idx="4">
                  <c:v>19.9</c:v>
                </c:pt>
              </c:numCache>
            </c:numRef>
          </c:val>
          <c:smooth val="0"/>
        </c:ser>
        <c:dLbls>
          <c:showLegendKey val="0"/>
          <c:showVal val="0"/>
          <c:showCatName val="0"/>
          <c:showSerName val="0"/>
          <c:showPercent val="0"/>
          <c:showBubbleSize val="0"/>
        </c:dLbls>
        <c:marker val="1"/>
        <c:smooth val="0"/>
        <c:axId val="246671232"/>
        <c:axId val="246669696"/>
      </c:lineChart>
      <c:catAx>
        <c:axId val="246649984"/>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51520"/>
        <c:crosses val="autoZero"/>
        <c:auto val="1"/>
        <c:lblAlgn val="ctr"/>
        <c:lblOffset val="100"/>
        <c:noMultiLvlLbl val="0"/>
      </c:catAx>
      <c:valAx>
        <c:axId val="246651520"/>
        <c:scaling>
          <c:orientation val="minMax"/>
        </c:scaling>
        <c:delete val="0"/>
        <c:axPos val="l"/>
        <c:numFmt formatCode="#,##0_);\(#,##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49984"/>
        <c:crosses val="autoZero"/>
        <c:crossBetween val="between"/>
      </c:valAx>
      <c:catAx>
        <c:axId val="246671232"/>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69696"/>
        <c:crosses val="autoZero"/>
        <c:auto val="1"/>
        <c:lblAlgn val="ctr"/>
        <c:lblOffset val="100"/>
        <c:noMultiLvlLbl val="0"/>
      </c:catAx>
      <c:valAx>
        <c:axId val="246669696"/>
        <c:scaling>
          <c:orientation val="minMax"/>
        </c:scaling>
        <c:delete val="0"/>
        <c:axPos val="r"/>
        <c:numFmt formatCode="#,##0_ "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71232"/>
        <c:crosses val="max"/>
        <c:crossBetween val="between"/>
      </c:valAx>
    </c:plotArea>
    <c:legend>
      <c:legendPos val="t"/>
      <c:layout>
        <c:manualLayout>
          <c:xMode val="edge"/>
          <c:yMode val="edge"/>
          <c:x val="0.455372247247247"/>
          <c:y val="0.0241872212781913"/>
          <c:w val="0.386990740740746"/>
          <c:h val="0.1105292902217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82CCFE-C9CF-4507-89AF-F5DCF519CA1D}">
  <ds:schemaRefs/>
</ds:datastoreItem>
</file>

<file path=docProps/app.xml><?xml version="1.0" encoding="utf-8"?>
<Properties xmlns="http://schemas.openxmlformats.org/officeDocument/2006/extended-properties" xmlns:vt="http://schemas.openxmlformats.org/officeDocument/2006/docPropsVTypes">
  <Template>Normal</Template>
  <Pages>17</Pages>
  <Words>6707</Words>
  <Characters>8810</Characters>
  <Lines>69</Lines>
  <Paragraphs>19</Paragraphs>
  <TotalTime>26</TotalTime>
  <ScaleCrop>false</ScaleCrop>
  <LinksUpToDate>false</LinksUpToDate>
  <CharactersWithSpaces>8913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安然弱水</cp:lastModifiedBy>
  <cp:lastPrinted>2022-03-18T02:01:00Z</cp:lastPrinted>
  <dcterms:modified xsi:type="dcterms:W3CDTF">2024-05-23T01:23:52Z</dcterms:modified>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A7BAA9BBCD734426829A6C9F390A2CD1</vt:lpwstr>
  </property>
</Properties>
</file>