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00" w:lineRule="exact"/>
        <w:jc w:val="center"/>
        <w:rPr>
          <w:rFonts w:ascii="黑体" w:eastAsia="黑体"/>
          <w:b/>
          <w:szCs w:val="21"/>
        </w:rPr>
      </w:pPr>
      <w:bookmarkStart w:id="0" w:name="_GoBack"/>
      <w:bookmarkEnd w:id="0"/>
      <w:r>
        <w:rPr>
          <w:rFonts w:hint="eastAsia" w:ascii="黑体" w:eastAsia="黑体"/>
          <w:b/>
          <w:szCs w:val="21"/>
        </w:rPr>
        <w:t>统计产品推荐</w:t>
      </w:r>
    </w:p>
    <w:p>
      <w:pPr>
        <w:spacing w:line="400" w:lineRule="exact"/>
        <w:ind w:firstLine="361" w:firstLineChars="200"/>
        <w:rPr>
          <w:rFonts w:ascii="宋体" w:hAnsi="宋体"/>
          <w:b/>
          <w:sz w:val="18"/>
          <w:szCs w:val="18"/>
        </w:rPr>
      </w:pPr>
      <w:r>
        <w:rPr>
          <w:rFonts w:hint="eastAsia" w:ascii="宋体" w:hAnsi="宋体"/>
          <w:b/>
          <w:sz w:val="18"/>
          <w:szCs w:val="18"/>
        </w:rPr>
        <w:t>1.统计微博</w:t>
      </w:r>
    </w:p>
    <w:p>
      <w:pPr>
        <w:spacing w:line="400" w:lineRule="exact"/>
        <w:ind w:firstLine="360" w:firstLineChars="200"/>
        <w:rPr>
          <w:rFonts w:ascii="宋体" w:hAnsi="宋体"/>
          <w:sz w:val="18"/>
          <w:szCs w:val="18"/>
        </w:rPr>
      </w:pPr>
      <w:r>
        <w:rPr>
          <w:rFonts w:hint="eastAsia" w:ascii="宋体" w:hAnsi="宋体"/>
          <w:sz w:val="18"/>
          <w:szCs w:val="18"/>
        </w:rPr>
        <w:t>“重庆统计”新浪微博：</w:t>
      </w:r>
      <w:r>
        <w:fldChar w:fldCharType="begin"/>
      </w:r>
      <w:r>
        <w:instrText xml:space="preserve"> HYPERLINK "http://weibo.com/u/2587818780" </w:instrText>
      </w:r>
      <w:r>
        <w:fldChar w:fldCharType="separate"/>
      </w:r>
      <w:r>
        <w:rPr>
          <w:rFonts w:hint="eastAsia" w:ascii="宋体" w:hAnsi="宋体"/>
          <w:sz w:val="18"/>
          <w:szCs w:val="18"/>
        </w:rPr>
        <w:t>http://weibo.com/u/2587818780</w:t>
      </w:r>
      <w:r>
        <w:rPr>
          <w:rFonts w:hint="eastAsia"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“重庆统计”腾讯微博：</w:t>
      </w:r>
      <w:r>
        <w:fldChar w:fldCharType="begin"/>
      </w:r>
      <w:r>
        <w:instrText xml:space="preserve"> HYPERLINK "http://e.t.qq.com/cqtj" </w:instrText>
      </w:r>
      <w:r>
        <w:fldChar w:fldCharType="separate"/>
      </w:r>
      <w:r>
        <w:rPr>
          <w:rFonts w:hint="eastAsia" w:ascii="宋体" w:hAnsi="宋体"/>
          <w:sz w:val="18"/>
          <w:szCs w:val="18"/>
        </w:rPr>
        <w:t>http://e.t.qq.com/cqtj</w:t>
      </w:r>
      <w:r>
        <w:rPr>
          <w:rFonts w:hint="eastAsia"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 xml:space="preserve">“石柱统计”新浪微博： </w:t>
      </w:r>
    </w:p>
    <w:p>
      <w:pPr>
        <w:spacing w:line="400" w:lineRule="exact"/>
        <w:ind w:firstLine="420" w:firstLineChars="200"/>
        <w:rPr>
          <w:rFonts w:ascii="宋体" w:hAnsi="宋体"/>
          <w:sz w:val="18"/>
          <w:szCs w:val="18"/>
        </w:rPr>
      </w:pPr>
      <w:r>
        <w:fldChar w:fldCharType="begin"/>
      </w:r>
      <w:r>
        <w:instrText xml:space="preserve"> HYPERLINK "http://weibo.com/2610786473/profile?rightmod=1&amp;wvr=6&amp;mod=personinfo" </w:instrText>
      </w:r>
      <w:r>
        <w:fldChar w:fldCharType="separate"/>
      </w:r>
      <w:r>
        <w:rPr>
          <w:rFonts w:ascii="宋体" w:hAnsi="宋体"/>
          <w:sz w:val="18"/>
          <w:szCs w:val="18"/>
        </w:rPr>
        <w:t>http://weibo.com/2610786473/profile?rightmod=1&amp;wvr=6&amp;mod=personinfo</w:t>
      </w:r>
      <w:r>
        <w:rPr>
          <w:rFonts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“石柱统计”腾讯微博：</w:t>
      </w:r>
      <w:r>
        <w:fldChar w:fldCharType="begin"/>
      </w:r>
      <w:r>
        <w:instrText xml:space="preserve"> HYPERLINK "http://e.t.qq.com/cqtj" </w:instrText>
      </w:r>
      <w:r>
        <w:fldChar w:fldCharType="separate"/>
      </w:r>
      <w:r>
        <w:rPr>
          <w:rFonts w:hint="eastAsia" w:ascii="宋体" w:hAnsi="宋体"/>
          <w:sz w:val="18"/>
          <w:szCs w:val="18"/>
        </w:rPr>
        <w:t>http://e.t.qq.com/shizhutongji？preview</w:t>
      </w:r>
      <w:r>
        <w:rPr>
          <w:rFonts w:hint="eastAsia" w:ascii="宋体" w:hAnsi="宋体"/>
          <w:sz w:val="18"/>
          <w:szCs w:val="18"/>
        </w:rPr>
        <w:fldChar w:fldCharType="end"/>
      </w:r>
      <w:r>
        <w:rPr>
          <w:rFonts w:ascii="宋体" w:hAnsi="宋体"/>
          <w:sz w:val="18"/>
          <w:szCs w:val="18"/>
        </w:rPr>
        <w:t xml:space="preserve"> </w:t>
      </w:r>
    </w:p>
    <w:p>
      <w:pPr>
        <w:spacing w:line="400" w:lineRule="exact"/>
        <w:ind w:firstLine="361" w:firstLineChars="200"/>
        <w:rPr>
          <w:rFonts w:ascii="宋体" w:hAnsi="宋体"/>
          <w:b/>
          <w:sz w:val="18"/>
          <w:szCs w:val="18"/>
        </w:rPr>
      </w:pPr>
      <w:r>
        <w:rPr>
          <w:rFonts w:hint="eastAsia" w:ascii="宋体" w:hAnsi="宋体"/>
          <w:b/>
          <w:sz w:val="18"/>
          <w:szCs w:val="18"/>
        </w:rPr>
        <w:t>2.统计微讯</w:t>
      </w:r>
    </w:p>
    <w:p>
      <w:pPr>
        <w:spacing w:line="400" w:lineRule="exact"/>
        <w:ind w:firstLine="360" w:firstLineChars="200"/>
        <w:rPr>
          <w:rFonts w:ascii="宋体" w:hAnsi="宋体"/>
          <w:sz w:val="18"/>
          <w:szCs w:val="18"/>
        </w:rPr>
      </w:pPr>
      <w:r>
        <w:rPr>
          <w:rFonts w:hint="eastAsia" w:ascii="宋体" w:hAnsi="宋体"/>
          <w:sz w:val="18"/>
          <w:szCs w:val="18"/>
        </w:rPr>
        <w:t>请通过微信关注“重庆统计微讯”</w:t>
      </w:r>
    </w:p>
    <w:p>
      <w:pPr>
        <w:spacing w:line="400" w:lineRule="exact"/>
        <w:ind w:firstLine="360" w:firstLineChars="200"/>
        <w:rPr>
          <w:rFonts w:ascii="宋体" w:hAnsi="宋体"/>
          <w:sz w:val="18"/>
          <w:szCs w:val="18"/>
        </w:rPr>
      </w:pPr>
    </w:p>
    <w:p>
      <w:pPr>
        <w:spacing w:line="400" w:lineRule="exact"/>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300" w:lineRule="exact"/>
        <w:rPr>
          <w:rFonts w:hint="eastAsia" w:ascii="宋体" w:hAnsi="宋体"/>
          <w:sz w:val="18"/>
          <w:szCs w:val="18"/>
        </w:rPr>
      </w:pPr>
    </w:p>
    <w:p>
      <w:pPr>
        <w:spacing w:line="300" w:lineRule="exact"/>
        <w:rPr>
          <w:rFonts w:ascii="宋体" w:hAnsi="宋体"/>
          <w:sz w:val="18"/>
          <w:szCs w:val="18"/>
        </w:rPr>
      </w:pPr>
    </w:p>
    <w:p>
      <w:pPr>
        <w:spacing w:line="300" w:lineRule="exact"/>
        <w:ind w:firstLine="360" w:firstLineChars="200"/>
        <w:rPr>
          <w:rFonts w:ascii="宋体" w:hAnsi="宋体"/>
          <w:sz w:val="18"/>
          <w:szCs w:val="18"/>
        </w:rPr>
      </w:pPr>
    </w:p>
    <w:p>
      <w:pPr>
        <w:spacing w:line="300" w:lineRule="exact"/>
        <w:ind w:firstLine="360" w:firstLineChars="200"/>
        <w:rPr>
          <w:rFonts w:ascii="宋体" w:hAnsi="宋体"/>
          <w:sz w:val="18"/>
          <w:szCs w:val="18"/>
        </w:rPr>
      </w:pPr>
    </w:p>
    <w:p>
      <w:pPr>
        <w:widowControl/>
        <w:adjustRightInd w:val="0"/>
        <w:snapToGrid w:val="0"/>
        <w:spacing w:after="200"/>
        <w:rPr>
          <w:rFonts w:ascii="Tahoma" w:hAnsi="Tahoma" w:eastAsia="微软雅黑" w:cstheme="minorBidi"/>
          <w:kern w:val="0"/>
          <w:sz w:val="18"/>
          <w:szCs w:val="18"/>
        </w:rPr>
      </w:pPr>
      <w:r>
        <w:rPr>
          <w:rFonts w:hint="eastAsia" w:ascii="黑体" w:hAnsi="Tahoma" w:eastAsia="黑体" w:cstheme="minorBidi"/>
          <w:b/>
          <w:kern w:val="0"/>
          <w:sz w:val="24"/>
          <w:szCs w:val="22"/>
          <w:highlight w:val="lightGray"/>
        </w:rPr>
        <w:t>统计知识                          （02月份）</w:t>
      </w:r>
    </w:p>
    <w:p>
      <w:pPr>
        <w:widowControl/>
        <w:spacing w:before="156" w:beforeLines="50" w:after="156" w:afterLines="50" w:line="600" w:lineRule="exact"/>
        <w:jc w:val="center"/>
        <w:rPr>
          <w:rFonts w:ascii="黑体" w:hAnsi="黑体" w:eastAsia="黑体" w:cs="宋体"/>
          <w:color w:val="0C0C0C" w:themeColor="text1" w:themeTint="F2"/>
          <w:kern w:val="0"/>
          <w:sz w:val="28"/>
          <w:szCs w:val="28"/>
        </w:rPr>
      </w:pPr>
      <w:r>
        <w:rPr>
          <w:rFonts w:hint="eastAsia" w:ascii="黑体" w:hAnsi="黑体" w:eastAsia="黑体" w:cs="宋体"/>
          <w:b/>
          <w:bCs/>
          <w:color w:val="0C0C0C" w:themeColor="text1" w:themeTint="F2"/>
          <w:kern w:val="0"/>
          <w:sz w:val="28"/>
          <w:szCs w:val="28"/>
        </w:rPr>
        <w:t>统计执法监督检查办法</w:t>
      </w:r>
    </w:p>
    <w:p>
      <w:pPr>
        <w:widowControl/>
        <w:spacing w:before="156" w:beforeLines="50" w:after="156" w:afterLines="50" w:line="400" w:lineRule="exact"/>
        <w:ind w:left="720" w:hanging="720"/>
        <w:jc w:val="center"/>
        <w:rPr>
          <w:rFonts w:ascii="宋体" w:hAnsi="宋体" w:cs="宋体"/>
          <w:b/>
          <w:color w:val="0C0C0C" w:themeColor="text1" w:themeTint="F2"/>
          <w:kern w:val="0"/>
          <w:szCs w:val="21"/>
        </w:rPr>
      </w:pPr>
      <w:r>
        <w:rPr>
          <w:rFonts w:ascii="宋体" w:hAnsi="宋体" w:cs="宋体"/>
          <w:b/>
          <w:color w:val="0C0C0C" w:themeColor="text1" w:themeTint="F2"/>
          <w:kern w:val="0"/>
          <w:szCs w:val="21"/>
        </w:rPr>
        <w:t>第</w:t>
      </w:r>
      <w:r>
        <w:rPr>
          <w:rFonts w:hint="eastAsia" w:ascii="宋体" w:hAnsi="宋体" w:cs="宋体"/>
          <w:b/>
          <w:color w:val="0C0C0C" w:themeColor="text1" w:themeTint="F2"/>
          <w:kern w:val="0"/>
          <w:szCs w:val="21"/>
        </w:rPr>
        <w:t>二</w:t>
      </w:r>
      <w:r>
        <w:rPr>
          <w:rFonts w:ascii="宋体" w:hAnsi="宋体" w:cs="宋体"/>
          <w:b/>
          <w:color w:val="0C0C0C" w:themeColor="text1" w:themeTint="F2"/>
          <w:kern w:val="0"/>
          <w:szCs w:val="21"/>
        </w:rPr>
        <w:t>章</w:t>
      </w:r>
      <w:r>
        <w:rPr>
          <w:rFonts w:ascii="宋体" w:hAnsi="宋体"/>
          <w:b/>
          <w:color w:val="0C0C0C" w:themeColor="text1" w:themeTint="F2"/>
          <w:kern w:val="0"/>
          <w:szCs w:val="21"/>
        </w:rPr>
        <w:t xml:space="preserve">  </w:t>
      </w:r>
      <w:r>
        <w:rPr>
          <w:rFonts w:hint="eastAsia" w:ascii="宋体" w:hAnsi="宋体" w:cs="宋体"/>
          <w:b/>
          <w:color w:val="0C0C0C" w:themeColor="text1" w:themeTint="F2"/>
          <w:kern w:val="0"/>
          <w:szCs w:val="21"/>
        </w:rPr>
        <w:t>统计执法监督检查机构和执法检查人员</w:t>
      </w:r>
    </w:p>
    <w:p>
      <w:pPr>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color w:val="0C0C0C" w:themeColor="text1" w:themeTint="F2"/>
          <w:kern w:val="0"/>
          <w:szCs w:val="21"/>
        </w:rPr>
        <w:t>　</w:t>
      </w:r>
      <w:r>
        <w:rPr>
          <w:rFonts w:hint="eastAsia" w:ascii="宋体" w:hAnsi="宋体" w:cs="宋体"/>
          <w:b/>
          <w:bCs/>
          <w:color w:val="0C0C0C" w:themeColor="text1" w:themeTint="F2"/>
          <w:kern w:val="0"/>
          <w:szCs w:val="21"/>
        </w:rPr>
        <w:t>第九条</w:t>
      </w:r>
      <w:r>
        <w:rPr>
          <w:rFonts w:hint="eastAsia" w:ascii="宋体" w:hAnsi="宋体" w:cs="宋体"/>
          <w:color w:val="0C0C0C" w:themeColor="text1" w:themeTint="F2"/>
          <w:kern w:val="0"/>
          <w:szCs w:val="21"/>
        </w:rPr>
        <w:t>　县级以上人民政府统计机构健全统计执法监督检查队伍，完善统计执法监督检查机制，建立统计执法骨干人才库，确保在库人员服从设库机构的调用。</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第十条</w:t>
      </w:r>
      <w:r>
        <w:rPr>
          <w:rFonts w:hint="eastAsia" w:ascii="宋体" w:hAnsi="宋体" w:cs="宋体"/>
          <w:color w:val="0C0C0C" w:themeColor="text1" w:themeTint="F2"/>
          <w:kern w:val="0"/>
          <w:szCs w:val="21"/>
        </w:rPr>
        <w:t>　统计执法监督检查机构和执法检查人员的主要职责是：</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（一）起草制定统计法律法规规章和规范性文件；</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（二）宣传、贯彻统计法律法规规章；</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（三）组织、指导、监督、管理统计执法监督检查工作；</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（四）依法查处统计违法行为，防范和惩治统计造假、弄虚作假；</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（五）组织实施统计执法“双随机”抽查，受理、办理、督办统计违法举报；</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（六）建立完善统计信用制度，建立实施对统计造假、弄虚作假的联合惩戒机制；</w:t>
      </w:r>
      <w:r>
        <w:rPr>
          <w:rFonts w:ascii="宋体" w:hAnsi="宋体"/>
          <w:color w:val="0C0C0C" w:themeColor="text1" w:themeTint="F2"/>
          <w:kern w:val="0"/>
          <w:szCs w:val="21"/>
        </w:rPr>
        <w:t> </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（七）监督查处涉外统计调查活动和民间统计调查活动中的违法行为；</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（八）法律、法规和规章规定的其他职责。</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第十一条</w:t>
      </w:r>
      <w:r>
        <w:rPr>
          <w:rFonts w:hint="eastAsia" w:ascii="宋体" w:hAnsi="宋体" w:cs="宋体"/>
          <w:color w:val="0C0C0C" w:themeColor="text1" w:themeTint="F2"/>
          <w:kern w:val="0"/>
          <w:szCs w:val="21"/>
        </w:rPr>
        <w:t>　执法检查人员应当参加培训，经考试合格，取得由国家统计局统一颁发的统计执法证。</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经县级以上人民政府统计机构批准，可以聘用专业技术人员参与统计执法监督检查。</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第十二条</w:t>
      </w:r>
      <w:r>
        <w:rPr>
          <w:rFonts w:hint="eastAsia" w:ascii="宋体" w:hAnsi="宋体" w:cs="宋体"/>
          <w:color w:val="0C0C0C" w:themeColor="text1" w:themeTint="F2"/>
          <w:kern w:val="0"/>
          <w:szCs w:val="21"/>
        </w:rPr>
        <w:t>　统计执法监督检查机构应当加强对所属执法检查人员的法律法规、统计业务知识、职业道德教育和执法监督检查技能培训，健全管理、考核和奖惩制度。</w:t>
      </w:r>
    </w:p>
    <w:p>
      <w:pPr>
        <w:widowControl/>
        <w:spacing w:before="156" w:beforeLines="50" w:after="156" w:afterLines="50" w:line="400" w:lineRule="exact"/>
        <w:jc w:val="center"/>
        <w:rPr>
          <w:rFonts w:ascii="宋体" w:hAnsi="宋体" w:cs="宋体"/>
          <w:color w:val="0C0C0C" w:themeColor="text1" w:themeTint="F2"/>
          <w:kern w:val="0"/>
          <w:szCs w:val="21"/>
        </w:rPr>
      </w:pPr>
      <w:r>
        <w:rPr>
          <w:rFonts w:hint="eastAsia" w:ascii="宋体" w:hAnsi="宋体" w:cs="宋体"/>
          <w:b/>
          <w:bCs/>
          <w:color w:val="0C0C0C" w:themeColor="text1" w:themeTint="F2"/>
          <w:kern w:val="0"/>
          <w:szCs w:val="21"/>
        </w:rPr>
        <w:t>第三章　统计执法监督检查</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第十三条</w:t>
      </w:r>
      <w:r>
        <w:rPr>
          <w:rFonts w:hint="eastAsia" w:ascii="宋体" w:hAnsi="宋体" w:cs="宋体"/>
          <w:color w:val="0C0C0C" w:themeColor="text1" w:themeTint="F2"/>
          <w:kern w:val="0"/>
          <w:szCs w:val="21"/>
        </w:rPr>
        <w:t>　县级以上人民政府统计机构和有关部门应当建立统计执法监督检查工作机制和相关制度，综合运用“双随机”抽查、专项检查、重点检查、实地核查等方式，组织开展本地区、本部门、本单位统计执法监督检查工作。</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按照国家有关规定，实施统计执法监督检查全过程记录制度。</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第十四条</w:t>
      </w:r>
      <w:r>
        <w:rPr>
          <w:rFonts w:hint="eastAsia" w:ascii="宋体" w:hAnsi="宋体" w:cs="宋体"/>
          <w:color w:val="0C0C0C" w:themeColor="text1" w:themeTint="F2"/>
          <w:kern w:val="0"/>
          <w:szCs w:val="21"/>
        </w:rPr>
        <w:t>　统计执法监督检查事项包括：</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（一）地方各级人民政府、政府统计机构和有关部门以及各单位及其负责人遵守、执行统计法律法规规章和国家统计规则、政令情况；</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（二）地方各级人民政府、政府统计机构和有关部门建立防范和惩治统计造假、弄虚作假责任制和问责制情况；</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（三）统计机构和统计人员依法独立行使统计调查、统计报告、统计监督职权情况；</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（四）国家机关、企业事业单位和其他组织以及个体工商户和个人等统计调查对象遵守统计法律法规规章、统计调查制度情况；</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（五）依法开展涉外统计调查和民间统计调查情况；</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（六）法律法规规章规定的其他事项。</w:t>
      </w:r>
      <w:r>
        <w:rPr>
          <w:rFonts w:ascii="宋体" w:hAnsi="宋体"/>
          <w:color w:val="0C0C0C" w:themeColor="text1" w:themeTint="F2"/>
          <w:kern w:val="0"/>
          <w:szCs w:val="21"/>
        </w:rPr>
        <w:t> </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第十五条</w:t>
      </w:r>
      <w:r>
        <w:rPr>
          <w:rFonts w:hint="eastAsia" w:ascii="宋体" w:hAnsi="宋体" w:cs="宋体"/>
          <w:color w:val="0C0C0C" w:themeColor="text1" w:themeTint="F2"/>
          <w:kern w:val="0"/>
          <w:szCs w:val="21"/>
        </w:rPr>
        <w:t>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第十六条</w:t>
      </w:r>
      <w:r>
        <w:rPr>
          <w:rFonts w:hint="eastAsia" w:ascii="宋体" w:hAnsi="宋体" w:cs="宋体"/>
          <w:color w:val="0C0C0C" w:themeColor="text1" w:themeTint="F2"/>
          <w:kern w:val="0"/>
          <w:szCs w:val="21"/>
        </w:rPr>
        <w:t>　县级以上人民政府统计机构在组织实施统计执法监督检查前应当拟定检查方案，明确检查的依据、时间、范围、内容和组织形式等。</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第十七条</w:t>
      </w:r>
      <w:r>
        <w:rPr>
          <w:rFonts w:hint="eastAsia" w:ascii="宋体" w:hAnsi="宋体" w:cs="宋体"/>
          <w:color w:val="0C0C0C" w:themeColor="text1" w:themeTint="F2"/>
          <w:kern w:val="0"/>
          <w:szCs w:val="21"/>
        </w:rPr>
        <w:t>　统计执法监督检查机构或者执法检查人员组织实施执法监督检查前，应报所属人民政府统计机构负责人批准。</w:t>
      </w:r>
    </w:p>
    <w:p>
      <w:pPr>
        <w:widowControl/>
        <w:spacing w:line="400" w:lineRule="exact"/>
        <w:rPr>
          <w:rFonts w:ascii="宋体" w:hAnsi="宋体" w:cs="宋体"/>
          <w:color w:val="0C0C0C" w:themeColor="text1" w:themeTint="F2"/>
          <w:kern w:val="0"/>
          <w:szCs w:val="21"/>
        </w:rPr>
      </w:pPr>
      <w:r>
        <w:rPr>
          <w:rFonts w:hint="eastAsia" w:ascii="宋体" w:hAnsi="宋体" w:cs="宋体"/>
          <w:color w:val="0C0C0C" w:themeColor="text1" w:themeTint="F2"/>
          <w:kern w:val="0"/>
          <w:szCs w:val="21"/>
        </w:rPr>
        <w:t>　　</w:t>
      </w:r>
      <w:r>
        <w:rPr>
          <w:rFonts w:hint="eastAsia" w:ascii="宋体" w:hAnsi="宋体" w:cs="宋体"/>
          <w:b/>
          <w:bCs/>
          <w:color w:val="0C0C0C" w:themeColor="text1" w:themeTint="F2"/>
          <w:kern w:val="0"/>
          <w:szCs w:val="21"/>
        </w:rPr>
        <w:t>第十八条</w:t>
      </w:r>
      <w:r>
        <w:rPr>
          <w:rFonts w:hint="eastAsia" w:ascii="宋体" w:hAnsi="宋体" w:cs="宋体"/>
          <w:color w:val="0C0C0C" w:themeColor="text1" w:themeTint="F2"/>
          <w:kern w:val="0"/>
          <w:szCs w:val="21"/>
        </w:rPr>
        <w:t>　统计执法监督检查机构进行执法监督检查时，执法检查人员不得少于</w:t>
      </w:r>
      <w:r>
        <w:rPr>
          <w:rFonts w:ascii="宋体" w:hAnsi="宋体"/>
          <w:color w:val="0C0C0C" w:themeColor="text1" w:themeTint="F2"/>
          <w:kern w:val="0"/>
          <w:szCs w:val="21"/>
        </w:rPr>
        <w:t>2</w:t>
      </w:r>
      <w:r>
        <w:rPr>
          <w:rFonts w:hint="eastAsia" w:ascii="宋体" w:hAnsi="宋体" w:cs="宋体"/>
          <w:color w:val="0C0C0C" w:themeColor="text1" w:themeTint="F2"/>
          <w:kern w:val="0"/>
          <w:szCs w:val="21"/>
        </w:rPr>
        <w:t>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widowControl/>
        <w:spacing w:line="400" w:lineRule="exact"/>
        <w:jc w:val="left"/>
        <w:rPr>
          <w:rFonts w:ascii="宋体" w:hAnsi="宋体" w:cs="宋体"/>
          <w:color w:val="0D0D0D"/>
          <w:kern w:val="0"/>
          <w:sz w:val="24"/>
        </w:rPr>
      </w:pPr>
      <w:r>
        <w:rPr>
          <w:color w:val="0D0D0D"/>
          <w:kern w:val="0"/>
          <w:sz w:val="24"/>
        </w:rPr>
        <w:t> </w:t>
      </w:r>
      <w:r>
        <w:rPr>
          <w:rFonts w:hint="eastAsia"/>
          <w:color w:val="0D0D0D"/>
          <w:kern w:val="0"/>
          <w:sz w:val="24"/>
        </w:rPr>
        <w:t>（未完待续）</w:t>
      </w:r>
    </w:p>
    <w:p>
      <w:pPr>
        <w:widowControl/>
        <w:spacing w:line="400" w:lineRule="exact"/>
        <w:ind w:firstLine="420"/>
        <w:jc w:val="left"/>
        <w:rPr>
          <w:rFonts w:ascii="宋体" w:hAnsi="宋体" w:cs="宋体"/>
          <w:color w:val="0C0C0C" w:themeColor="text1" w:themeTint="F2"/>
          <w:kern w:val="0"/>
          <w:szCs w:val="21"/>
        </w:rPr>
      </w:pPr>
    </w:p>
    <w:p>
      <w:pPr>
        <w:widowControl/>
        <w:spacing w:line="400" w:lineRule="exact"/>
        <w:ind w:firstLine="420"/>
        <w:jc w:val="left"/>
        <w:rPr>
          <w:rFonts w:ascii="宋体" w:hAnsi="宋体" w:cs="宋体"/>
          <w:color w:val="0C0C0C" w:themeColor="text1" w:themeTint="F2"/>
          <w:kern w:val="0"/>
          <w:szCs w:val="21"/>
        </w:rPr>
      </w:pPr>
    </w:p>
    <w:p>
      <w:pPr>
        <w:widowControl/>
        <w:spacing w:line="400" w:lineRule="exact"/>
        <w:ind w:firstLine="420"/>
        <w:jc w:val="left"/>
        <w:rPr>
          <w:rFonts w:ascii="宋体" w:hAnsi="宋体" w:cs="宋体"/>
          <w:color w:val="0C0C0C" w:themeColor="text1" w:themeTint="F2"/>
          <w:kern w:val="0"/>
          <w:szCs w:val="21"/>
        </w:rPr>
      </w:pPr>
    </w:p>
    <w:p>
      <w:pPr>
        <w:widowControl/>
        <w:spacing w:line="400" w:lineRule="exact"/>
        <w:ind w:firstLine="420"/>
        <w:jc w:val="left"/>
        <w:rPr>
          <w:rFonts w:ascii="宋体" w:hAnsi="宋体" w:cs="宋体"/>
          <w:color w:val="0C0C0C" w:themeColor="text1" w:themeTint="F2"/>
          <w:kern w:val="0"/>
          <w:szCs w:val="21"/>
        </w:rPr>
      </w:pPr>
    </w:p>
    <w:p>
      <w:pPr>
        <w:spacing w:line="400" w:lineRule="exact"/>
        <w:jc w:val="center"/>
        <w:rPr>
          <w:rFonts w:ascii="黑体" w:eastAsia="黑体"/>
          <w:b/>
          <w:sz w:val="28"/>
          <w:szCs w:val="28"/>
          <w:highlight w:val="lightGray"/>
          <w:shd w:val="pct10" w:color="auto" w:fill="FFFFFF"/>
        </w:rPr>
      </w:pPr>
      <w:r>
        <w:rPr>
          <w:rFonts w:hint="eastAsia" w:ascii="黑体" w:eastAsia="黑体"/>
          <w:b/>
          <w:sz w:val="28"/>
          <w:szCs w:val="28"/>
          <w:highlight w:val="lightGray"/>
          <w:shd w:val="pct10" w:color="auto" w:fill="FFFFFF"/>
        </w:rPr>
        <w:t>目    录</w:t>
      </w:r>
    </w:p>
    <w:p>
      <w:pPr>
        <w:spacing w:line="400" w:lineRule="exact"/>
        <w:jc w:val="center"/>
        <w:rPr>
          <w:rFonts w:ascii="黑体" w:eastAsia="黑体"/>
          <w:b/>
          <w:sz w:val="28"/>
          <w:szCs w:val="28"/>
          <w:highlight w:val="lightGray"/>
          <w:shd w:val="pct10" w:color="auto" w:fill="FFFFFF"/>
        </w:rPr>
      </w:pPr>
    </w:p>
    <w:p>
      <w:pPr>
        <w:spacing w:line="560" w:lineRule="exact"/>
        <w:rPr>
          <w:rFonts w:ascii="宋体" w:hAnsi="宋体"/>
          <w:sz w:val="20"/>
          <w:szCs w:val="20"/>
        </w:rPr>
      </w:pPr>
      <w:r>
        <w:rPr>
          <w:rFonts w:hint="eastAsia" w:ascii="宋体" w:hAnsi="宋体"/>
          <w:sz w:val="20"/>
          <w:szCs w:val="20"/>
        </w:rPr>
        <w:t>工业经济</w:t>
      </w:r>
      <w:r>
        <w:rPr>
          <w:rFonts w:ascii="宋体" w:hAnsi="宋体"/>
          <w:sz w:val="20"/>
          <w:szCs w:val="20"/>
        </w:rPr>
        <w:t>……………………………………………………</w:t>
      </w:r>
      <w:r>
        <w:rPr>
          <w:rFonts w:hint="eastAsia" w:ascii="宋体" w:hAnsi="宋体"/>
          <w:sz w:val="20"/>
          <w:szCs w:val="20"/>
        </w:rPr>
        <w:t xml:space="preserve"> (1)</w:t>
      </w:r>
    </w:p>
    <w:p>
      <w:pPr>
        <w:spacing w:line="560" w:lineRule="exact"/>
        <w:rPr>
          <w:rFonts w:ascii="宋体" w:hAnsi="宋体"/>
          <w:sz w:val="20"/>
          <w:szCs w:val="20"/>
        </w:rPr>
      </w:pPr>
      <w:r>
        <w:rPr>
          <w:rFonts w:hint="eastAsia" w:ascii="宋体" w:hAnsi="宋体"/>
          <w:sz w:val="20"/>
          <w:szCs w:val="20"/>
        </w:rPr>
        <w:t>主要工业产品产量</w:t>
      </w:r>
      <w:r>
        <w:rPr>
          <w:rFonts w:ascii="宋体" w:hAnsi="宋体"/>
          <w:sz w:val="20"/>
          <w:szCs w:val="20"/>
        </w:rPr>
        <w:t>…………………………………………</w:t>
      </w:r>
      <w:r>
        <w:rPr>
          <w:rFonts w:hint="eastAsia" w:ascii="宋体" w:hAnsi="宋体"/>
          <w:sz w:val="20"/>
          <w:szCs w:val="20"/>
        </w:rPr>
        <w:t xml:space="preserve"> (2)</w:t>
      </w:r>
    </w:p>
    <w:p>
      <w:pPr>
        <w:spacing w:line="560" w:lineRule="exact"/>
        <w:rPr>
          <w:rFonts w:ascii="宋体" w:hAnsi="宋体"/>
          <w:sz w:val="20"/>
          <w:szCs w:val="20"/>
        </w:rPr>
      </w:pPr>
      <w:r>
        <w:rPr>
          <w:rFonts w:hint="eastAsia" w:ascii="宋体" w:hAnsi="宋体"/>
          <w:sz w:val="20"/>
          <w:szCs w:val="20"/>
        </w:rPr>
        <w:t>固定资产投资</w:t>
      </w:r>
      <w:r>
        <w:rPr>
          <w:rFonts w:ascii="宋体" w:hAnsi="宋体"/>
          <w:sz w:val="20"/>
          <w:szCs w:val="20"/>
        </w:rPr>
        <w:t>………………………………………………</w:t>
      </w:r>
      <w:r>
        <w:rPr>
          <w:rFonts w:hint="eastAsia" w:ascii="宋体" w:hAnsi="宋体"/>
          <w:sz w:val="20"/>
          <w:szCs w:val="20"/>
        </w:rPr>
        <w:t xml:space="preserve"> (3)</w:t>
      </w:r>
    </w:p>
    <w:p>
      <w:pPr>
        <w:spacing w:line="560" w:lineRule="exact"/>
        <w:rPr>
          <w:rFonts w:ascii="宋体" w:hAnsi="宋体"/>
          <w:sz w:val="20"/>
          <w:szCs w:val="20"/>
        </w:rPr>
      </w:pPr>
      <w:r>
        <w:rPr>
          <w:rFonts w:hint="eastAsia" w:ascii="宋体" w:hAnsi="宋体"/>
          <w:spacing w:val="2"/>
          <w:sz w:val="20"/>
          <w:szCs w:val="20"/>
        </w:rPr>
        <w:t>财政税收</w:t>
      </w:r>
      <w:r>
        <w:rPr>
          <w:rFonts w:ascii="宋体" w:hAnsi="宋体"/>
          <w:spacing w:val="2"/>
          <w:sz w:val="20"/>
          <w:szCs w:val="20"/>
        </w:rPr>
        <w:t>…</w:t>
      </w:r>
      <w:r>
        <w:rPr>
          <w:rFonts w:ascii="宋体" w:hAnsi="宋体"/>
          <w:spacing w:val="-2"/>
          <w:sz w:val="20"/>
          <w:szCs w:val="20"/>
        </w:rPr>
        <w:t>…………………</w:t>
      </w:r>
      <w:r>
        <w:rPr>
          <w:rFonts w:ascii="宋体" w:hAnsi="宋体"/>
          <w:sz w:val="20"/>
          <w:szCs w:val="20"/>
        </w:rPr>
        <w:t>…………</w:t>
      </w:r>
      <w:r>
        <w:rPr>
          <w:rFonts w:ascii="宋体" w:hAnsi="宋体"/>
          <w:spacing w:val="2"/>
          <w:sz w:val="20"/>
          <w:szCs w:val="20"/>
        </w:rPr>
        <w:t>…………………</w:t>
      </w:r>
      <w:r>
        <w:rPr>
          <w:rFonts w:ascii="宋体" w:hAnsi="宋体"/>
          <w:sz w:val="20"/>
          <w:szCs w:val="20"/>
        </w:rPr>
        <w:t>…</w:t>
      </w:r>
      <w:r>
        <w:rPr>
          <w:rFonts w:hint="eastAsia" w:ascii="宋体" w:hAnsi="宋体"/>
          <w:spacing w:val="2"/>
          <w:sz w:val="20"/>
          <w:szCs w:val="20"/>
        </w:rPr>
        <w:t xml:space="preserve"> </w:t>
      </w:r>
      <w:r>
        <w:rPr>
          <w:rFonts w:hint="eastAsia" w:ascii="宋体" w:hAnsi="宋体"/>
          <w:sz w:val="20"/>
          <w:szCs w:val="20"/>
        </w:rPr>
        <w:t>(4)</w:t>
      </w:r>
    </w:p>
    <w:p>
      <w:pPr>
        <w:spacing w:line="560" w:lineRule="exact"/>
        <w:rPr>
          <w:rFonts w:ascii="宋体" w:hAnsi="宋体"/>
          <w:sz w:val="20"/>
          <w:szCs w:val="20"/>
        </w:rPr>
      </w:pPr>
      <w:r>
        <w:rPr>
          <w:rFonts w:hint="eastAsia" w:ascii="宋体" w:hAnsi="宋体"/>
          <w:sz w:val="20"/>
          <w:szCs w:val="20"/>
        </w:rPr>
        <w:t>金融存贷情况</w:t>
      </w:r>
      <w:r>
        <w:rPr>
          <w:rFonts w:ascii="宋体" w:hAnsi="宋体"/>
          <w:sz w:val="20"/>
          <w:szCs w:val="20"/>
        </w:rPr>
        <w:t>…………………</w:t>
      </w:r>
      <w:r>
        <w:rPr>
          <w:rFonts w:ascii="宋体" w:hAnsi="宋体"/>
          <w:spacing w:val="4"/>
          <w:sz w:val="20"/>
          <w:szCs w:val="20"/>
        </w:rPr>
        <w:t>……………</w:t>
      </w:r>
      <w:r>
        <w:rPr>
          <w:rFonts w:ascii="宋体" w:hAnsi="宋体"/>
          <w:sz w:val="20"/>
          <w:szCs w:val="20"/>
        </w:rPr>
        <w:t>………………</w:t>
      </w:r>
      <w:r>
        <w:rPr>
          <w:rFonts w:hint="eastAsia" w:ascii="宋体" w:hAnsi="宋体"/>
          <w:spacing w:val="2"/>
          <w:sz w:val="20"/>
          <w:szCs w:val="20"/>
        </w:rPr>
        <w:t xml:space="preserve"> </w:t>
      </w:r>
      <w:r>
        <w:rPr>
          <w:rFonts w:hint="eastAsia" w:ascii="宋体" w:hAnsi="宋体"/>
          <w:sz w:val="20"/>
          <w:szCs w:val="20"/>
        </w:rPr>
        <w:t>(5)</w:t>
      </w:r>
    </w:p>
    <w:p>
      <w:pPr>
        <w:spacing w:line="560" w:lineRule="exact"/>
        <w:rPr>
          <w:rFonts w:ascii="宋体" w:hAnsi="宋体"/>
          <w:sz w:val="20"/>
          <w:szCs w:val="20"/>
        </w:rPr>
      </w:pPr>
      <w:r>
        <w:rPr>
          <w:rFonts w:hint="eastAsia" w:ascii="宋体" w:hAnsi="宋体"/>
          <w:sz w:val="20"/>
          <w:szCs w:val="20"/>
        </w:rPr>
        <w:t>商业贸易</w:t>
      </w:r>
      <w:r>
        <w:rPr>
          <w:rFonts w:ascii="宋体" w:hAnsi="宋体"/>
          <w:sz w:val="20"/>
          <w:szCs w:val="20"/>
        </w:rPr>
        <w:t>……………………</w:t>
      </w:r>
      <w:r>
        <w:rPr>
          <w:rFonts w:ascii="宋体" w:hAnsi="宋体"/>
          <w:spacing w:val="4"/>
          <w:sz w:val="20"/>
          <w:szCs w:val="20"/>
        </w:rPr>
        <w:t>……………</w:t>
      </w:r>
      <w:r>
        <w:rPr>
          <w:rFonts w:ascii="宋体" w:hAnsi="宋体"/>
          <w:sz w:val="20"/>
          <w:szCs w:val="20"/>
        </w:rPr>
        <w:t>…………………</w:t>
      </w:r>
      <w:r>
        <w:rPr>
          <w:rFonts w:hint="eastAsia" w:ascii="宋体" w:hAnsi="宋体"/>
          <w:spacing w:val="2"/>
          <w:sz w:val="20"/>
          <w:szCs w:val="20"/>
        </w:rPr>
        <w:t xml:space="preserve"> </w:t>
      </w:r>
      <w:r>
        <w:rPr>
          <w:rFonts w:hint="eastAsia" w:ascii="宋体" w:hAnsi="宋体"/>
          <w:sz w:val="20"/>
          <w:szCs w:val="20"/>
        </w:rPr>
        <w:t>(6)</w:t>
      </w:r>
    </w:p>
    <w:p>
      <w:pPr>
        <w:spacing w:line="560" w:lineRule="exact"/>
        <w:rPr>
          <w:rFonts w:ascii="宋体" w:hAnsi="宋体"/>
          <w:sz w:val="20"/>
          <w:szCs w:val="20"/>
        </w:rPr>
      </w:pPr>
      <w:r>
        <w:rPr>
          <w:rFonts w:hint="eastAsia" w:ascii="宋体" w:hAnsi="宋体"/>
          <w:spacing w:val="4"/>
          <w:sz w:val="20"/>
          <w:szCs w:val="20"/>
        </w:rPr>
        <w:t>横向对比资料</w:t>
      </w:r>
      <w:r>
        <w:rPr>
          <w:rFonts w:ascii="宋体" w:hAnsi="宋体"/>
          <w:sz w:val="20"/>
          <w:szCs w:val="20"/>
        </w:rPr>
        <w:t>………………………………………………</w:t>
      </w:r>
      <w:r>
        <w:rPr>
          <w:rFonts w:hint="eastAsia" w:ascii="宋体" w:hAnsi="宋体"/>
          <w:sz w:val="20"/>
          <w:szCs w:val="20"/>
        </w:rPr>
        <w:t xml:space="preserve"> (7)</w:t>
      </w:r>
    </w:p>
    <w:p>
      <w:pPr>
        <w:spacing w:line="560" w:lineRule="exact"/>
        <w:rPr>
          <w:rFonts w:ascii="宋体" w:hAnsi="宋体"/>
          <w:sz w:val="20"/>
          <w:szCs w:val="20"/>
        </w:rPr>
      </w:pPr>
      <w:r>
        <w:rPr>
          <w:rFonts w:hint="eastAsia" w:ascii="宋体" w:hAnsi="宋体"/>
          <w:sz w:val="20"/>
          <w:szCs w:val="20"/>
        </w:rPr>
        <w:t>2021年1-2月</w:t>
      </w:r>
      <w:r>
        <w:rPr>
          <w:rFonts w:hint="eastAsia" w:ascii="宋体" w:hAnsi="宋体"/>
          <w:spacing w:val="-2"/>
          <w:sz w:val="20"/>
          <w:szCs w:val="20"/>
        </w:rPr>
        <w:t>区县房地产开发投资增速</w:t>
      </w:r>
      <w:r>
        <w:rPr>
          <w:rFonts w:ascii="宋体" w:hAnsi="宋体"/>
          <w:spacing w:val="2"/>
          <w:sz w:val="20"/>
          <w:szCs w:val="20"/>
        </w:rPr>
        <w:t>………………</w:t>
      </w:r>
      <w:r>
        <w:rPr>
          <w:rFonts w:ascii="宋体" w:hAnsi="宋体"/>
          <w:sz w:val="20"/>
          <w:szCs w:val="20"/>
        </w:rPr>
        <w:t>…</w:t>
      </w:r>
      <w:r>
        <w:rPr>
          <w:rFonts w:ascii="宋体" w:hAnsi="宋体"/>
          <w:spacing w:val="2"/>
          <w:sz w:val="20"/>
          <w:szCs w:val="20"/>
        </w:rPr>
        <w:t>…</w:t>
      </w:r>
      <w:r>
        <w:rPr>
          <w:rFonts w:hint="eastAsia" w:ascii="宋体" w:hAnsi="宋体"/>
          <w:spacing w:val="2"/>
          <w:sz w:val="20"/>
          <w:szCs w:val="20"/>
        </w:rPr>
        <w:t xml:space="preserve"> </w:t>
      </w:r>
      <w:r>
        <w:rPr>
          <w:rFonts w:hint="eastAsia" w:ascii="宋体" w:hAnsi="宋体"/>
          <w:sz w:val="20"/>
          <w:szCs w:val="20"/>
        </w:rPr>
        <w:t>(8)</w:t>
      </w:r>
    </w:p>
    <w:p>
      <w:pPr>
        <w:spacing w:line="560" w:lineRule="exact"/>
        <w:rPr>
          <w:rFonts w:ascii="宋体" w:hAnsi="宋体"/>
          <w:sz w:val="20"/>
          <w:szCs w:val="20"/>
        </w:rPr>
      </w:pPr>
      <w:r>
        <w:rPr>
          <w:rFonts w:hint="eastAsia" w:ascii="宋体" w:hAnsi="宋体"/>
          <w:sz w:val="20"/>
          <w:szCs w:val="20"/>
        </w:rPr>
        <w:t>2021年1-2月</w:t>
      </w:r>
      <w:r>
        <w:rPr>
          <w:rFonts w:hint="eastAsia" w:ascii="宋体" w:hAnsi="宋体"/>
          <w:spacing w:val="-2"/>
          <w:sz w:val="20"/>
          <w:szCs w:val="20"/>
        </w:rPr>
        <w:t>区县商品房销售面积增速</w:t>
      </w:r>
      <w:r>
        <w:rPr>
          <w:rFonts w:ascii="宋体" w:hAnsi="宋体"/>
          <w:spacing w:val="2"/>
          <w:sz w:val="20"/>
          <w:szCs w:val="20"/>
        </w:rPr>
        <w:t>…………</w:t>
      </w:r>
      <w:r>
        <w:rPr>
          <w:rFonts w:ascii="宋体" w:hAnsi="宋体"/>
          <w:sz w:val="20"/>
          <w:szCs w:val="20"/>
        </w:rPr>
        <w:t>………</w:t>
      </w:r>
      <w:r>
        <w:rPr>
          <w:rFonts w:hint="eastAsia" w:ascii="宋体" w:hAnsi="宋体"/>
          <w:sz w:val="20"/>
          <w:szCs w:val="20"/>
        </w:rPr>
        <w:t xml:space="preserve"> (10)</w:t>
      </w:r>
    </w:p>
    <w:p>
      <w:pPr>
        <w:spacing w:line="560" w:lineRule="exact"/>
        <w:rPr>
          <w:rFonts w:ascii="宋体" w:hAnsi="宋体"/>
          <w:sz w:val="20"/>
          <w:szCs w:val="20"/>
        </w:rPr>
      </w:pPr>
    </w:p>
    <w:p>
      <w:pPr>
        <w:spacing w:line="560" w:lineRule="exact"/>
        <w:rPr>
          <w:rFonts w:ascii="宋体" w:hAnsi="宋体"/>
          <w:sz w:val="20"/>
          <w:szCs w:val="20"/>
        </w:rPr>
      </w:pPr>
    </w:p>
    <w:p>
      <w:pPr>
        <w:spacing w:line="560" w:lineRule="exact"/>
        <w:rPr>
          <w:rFonts w:ascii="宋体" w:hAnsi="宋体"/>
          <w:sz w:val="20"/>
          <w:szCs w:val="20"/>
        </w:rPr>
      </w:pPr>
    </w:p>
    <w:p>
      <w:pPr>
        <w:spacing w:line="560" w:lineRule="exact"/>
        <w:rPr>
          <w:rFonts w:ascii="宋体" w:hAnsi="宋体"/>
          <w:sz w:val="20"/>
          <w:szCs w:val="20"/>
        </w:rPr>
      </w:pPr>
    </w:p>
    <w:p>
      <w:pPr>
        <w:spacing w:line="300" w:lineRule="exact"/>
        <w:rPr>
          <w:rFonts w:ascii="黑体" w:eastAsia="黑体"/>
          <w:b/>
          <w:spacing w:val="10"/>
          <w:sz w:val="24"/>
          <w:highlight w:val="lightGray"/>
          <w:shd w:val="pct10" w:color="auto" w:fill="FFFFFF"/>
        </w:rPr>
        <w:sectPr>
          <w:pgSz w:w="7031" w:h="10773"/>
          <w:pgMar w:top="680" w:right="851" w:bottom="244" w:left="851" w:header="567" w:footer="340" w:gutter="0"/>
          <w:pgNumType w:fmt="numberInDash" w:start="1"/>
          <w:cols w:space="425" w:num="1"/>
          <w:docGrid w:type="lines" w:linePitch="312" w:charSpace="0"/>
        </w:sectPr>
      </w:pPr>
    </w:p>
    <w:p>
      <w:pPr>
        <w:ind w:left="-210" w:leftChars="-100"/>
        <w:jc w:val="right"/>
        <w:rPr>
          <w:sz w:val="18"/>
          <w:szCs w:val="18"/>
        </w:rPr>
      </w:pPr>
      <w:r>
        <w:rPr>
          <w:rFonts w:hint="eastAsia" w:ascii="黑体" w:eastAsia="黑体"/>
          <w:b/>
          <w:sz w:val="24"/>
          <w:highlight w:val="lightGray"/>
        </w:rPr>
        <w:t>工业经济                          （02月份）</w:t>
      </w:r>
    </w:p>
    <w:tbl>
      <w:tblPr>
        <w:tblStyle w:val="10"/>
        <w:tblW w:w="5000" w:type="pct"/>
        <w:tblInd w:w="0" w:type="dxa"/>
        <w:tblLayout w:type="autofit"/>
        <w:tblCellMar>
          <w:top w:w="0" w:type="dxa"/>
          <w:left w:w="108" w:type="dxa"/>
          <w:bottom w:w="0" w:type="dxa"/>
          <w:right w:w="108" w:type="dxa"/>
        </w:tblCellMar>
      </w:tblPr>
      <w:tblGrid>
        <w:gridCol w:w="3036"/>
        <w:gridCol w:w="678"/>
        <w:gridCol w:w="916"/>
        <w:gridCol w:w="915"/>
      </w:tblGrid>
      <w:tr>
        <w:tblPrEx>
          <w:tblCellMar>
            <w:top w:w="0" w:type="dxa"/>
            <w:left w:w="108" w:type="dxa"/>
            <w:bottom w:w="0" w:type="dxa"/>
            <w:right w:w="108" w:type="dxa"/>
          </w:tblCellMar>
        </w:tblPrEx>
        <w:trPr>
          <w:trHeight w:val="520" w:hRule="exact"/>
        </w:trPr>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w:t>
            </w:r>
            <w:r>
              <w:rPr>
                <w:b/>
                <w:bCs/>
                <w:kern w:val="0"/>
                <w:sz w:val="20"/>
                <w:szCs w:val="20"/>
              </w:rPr>
              <w:t xml:space="preserve">  </w:t>
            </w:r>
            <w:r>
              <w:rPr>
                <w:rFonts w:hint="eastAsia" w:ascii="宋体" w:hAnsi="宋体" w:cs="宋体"/>
                <w:b/>
                <w:bCs/>
                <w:kern w:val="0"/>
                <w:sz w:val="20"/>
                <w:szCs w:val="20"/>
              </w:rPr>
              <w:t>标</w:t>
            </w:r>
            <w:r>
              <w:rPr>
                <w:b/>
                <w:bCs/>
                <w:kern w:val="0"/>
                <w:sz w:val="20"/>
                <w:szCs w:val="20"/>
              </w:rPr>
              <w:t xml:space="preserve">  </w:t>
            </w:r>
            <w:r>
              <w:rPr>
                <w:rFonts w:hint="eastAsia" w:ascii="宋体" w:hAnsi="宋体" w:cs="宋体"/>
                <w:b/>
                <w:bCs/>
                <w:kern w:val="0"/>
                <w:sz w:val="20"/>
                <w:szCs w:val="20"/>
              </w:rPr>
              <w:t>名</w:t>
            </w:r>
            <w:r>
              <w:rPr>
                <w:b/>
                <w:bCs/>
                <w:kern w:val="0"/>
                <w:sz w:val="20"/>
                <w:szCs w:val="20"/>
              </w:rPr>
              <w:t xml:space="preserve">  </w:t>
            </w:r>
            <w:r>
              <w:rPr>
                <w:rFonts w:hint="eastAsia" w:ascii="宋体" w:hAnsi="宋体" w:cs="宋体"/>
                <w:b/>
                <w:bCs/>
                <w:kern w:val="0"/>
                <w:sz w:val="20"/>
                <w:szCs w:val="20"/>
              </w:rPr>
              <w:t>称</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pacing w:val="2"/>
                <w:kern w:val="0"/>
                <w:sz w:val="16"/>
                <w:szCs w:val="16"/>
              </w:rPr>
            </w:pPr>
            <w:r>
              <w:rPr>
                <w:rFonts w:hint="eastAsia" w:ascii="宋体" w:hAnsi="宋体" w:cs="宋体"/>
                <w:b/>
                <w:bCs/>
                <w:spacing w:val="-8"/>
                <w:kern w:val="0"/>
                <w:sz w:val="15"/>
                <w:szCs w:val="15"/>
              </w:rPr>
              <w:t>同比±</w:t>
            </w:r>
            <w:r>
              <w:rPr>
                <w:b/>
                <w:bCs/>
                <w:spacing w:val="-8"/>
                <w:kern w:val="0"/>
                <w:sz w:val="15"/>
                <w:szCs w:val="15"/>
              </w:rPr>
              <w:t>%</w:t>
            </w:r>
          </w:p>
        </w:tc>
      </w:tr>
      <w:tr>
        <w:tblPrEx>
          <w:tblCellMar>
            <w:top w:w="0" w:type="dxa"/>
            <w:left w:w="108" w:type="dxa"/>
            <w:bottom w:w="0" w:type="dxa"/>
            <w:right w:w="108" w:type="dxa"/>
          </w:tblCellMar>
        </w:tblPrEx>
        <w:trPr>
          <w:trHeight w:val="520" w:hRule="exact"/>
        </w:trPr>
        <w:tc>
          <w:tcPr>
            <w:tcW w:w="2738" w:type="pct"/>
            <w:tcBorders>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xml:space="preserve">规模以上产值(现价,46家)                 </w:t>
            </w:r>
          </w:p>
        </w:tc>
        <w:tc>
          <w:tcPr>
            <w:tcW w:w="611" w:type="pct"/>
            <w:tcBorders>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9.09</w:t>
            </w:r>
          </w:p>
        </w:tc>
        <w:tc>
          <w:tcPr>
            <w:tcW w:w="825" w:type="pct"/>
            <w:tcBorders>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25.6</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#轻工业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3.17</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62.5</w:t>
            </w:r>
          </w:p>
        </w:tc>
      </w:tr>
      <w:tr>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重工业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5.92</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11.9</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500" w:firstLineChars="250"/>
              <w:rPr>
                <w:kern w:val="0"/>
                <w:sz w:val="20"/>
                <w:szCs w:val="20"/>
              </w:rPr>
            </w:pPr>
            <w:r>
              <w:rPr>
                <w:rFonts w:hint="eastAsia"/>
                <w:kern w:val="0"/>
                <w:sz w:val="20"/>
                <w:szCs w:val="20"/>
              </w:rPr>
              <w:t>#采矿业</w:t>
            </w:r>
          </w:p>
        </w:tc>
        <w:tc>
          <w:tcPr>
            <w:tcW w:w="611"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0.05</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106.8</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kern w:val="0"/>
                <w:sz w:val="20"/>
                <w:szCs w:val="20"/>
              </w:rPr>
              <w:t xml:space="preserve">     </w:t>
            </w:r>
            <w:r>
              <w:rPr>
                <w:rFonts w:hint="eastAsia" w:ascii="宋体" w:hAnsi="宋体"/>
                <w:kern w:val="0"/>
                <w:sz w:val="20"/>
                <w:szCs w:val="20"/>
              </w:rPr>
              <w:t xml:space="preserve"> </w:t>
            </w:r>
            <w:r>
              <w:rPr>
                <w:rFonts w:hint="eastAsia"/>
                <w:kern w:val="0"/>
                <w:sz w:val="20"/>
                <w:szCs w:val="20"/>
              </w:rPr>
              <w:t>制造业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6.04</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32.4</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spacing w:val="-16"/>
                <w:kern w:val="0"/>
                <w:sz w:val="18"/>
                <w:szCs w:val="18"/>
              </w:rPr>
            </w:pPr>
            <w:r>
              <w:rPr>
                <w:rFonts w:hint="eastAsia"/>
                <w:kern w:val="0"/>
                <w:sz w:val="20"/>
                <w:szCs w:val="20"/>
              </w:rPr>
              <w:t xml:space="preserve">      </w:t>
            </w:r>
            <w:r>
              <w:rPr>
                <w:rFonts w:hint="eastAsia"/>
                <w:spacing w:val="-16"/>
                <w:kern w:val="0"/>
                <w:sz w:val="18"/>
                <w:szCs w:val="18"/>
              </w:rPr>
              <w:t>电力、热力、燃气及水生产供应业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3.00</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13.1</w:t>
            </w:r>
          </w:p>
        </w:tc>
      </w:tr>
      <w:tr>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规模以上销售产值</w:t>
            </w:r>
            <w:r>
              <w:rPr>
                <w:kern w:val="0"/>
                <w:sz w:val="20"/>
                <w:szCs w:val="20"/>
              </w:rPr>
              <w:t>(</w:t>
            </w:r>
            <w:r>
              <w:rPr>
                <w:rFonts w:hint="eastAsia" w:ascii="宋体" w:hAnsi="宋体" w:cs="宋体"/>
                <w:kern w:val="0"/>
                <w:sz w:val="20"/>
                <w:szCs w:val="20"/>
              </w:rPr>
              <w:t>当年价</w:t>
            </w:r>
            <w:r>
              <w:rPr>
                <w:kern w:val="0"/>
                <w:sz w:val="20"/>
                <w:szCs w:val="20"/>
              </w:rPr>
              <w:t>)</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9.00</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27.6</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工业产品出口交货值</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0</w:t>
            </w:r>
          </w:p>
        </w:tc>
        <w:tc>
          <w:tcPr>
            <w:tcW w:w="825" w:type="pct"/>
            <w:tcBorders>
              <w:top w:val="nil"/>
              <w:left w:val="nil"/>
              <w:bottom w:val="nil"/>
              <w:right w:val="single" w:color="auto" w:sz="4" w:space="0"/>
            </w:tcBorders>
            <w:vAlign w:val="center"/>
          </w:tcPr>
          <w:p>
            <w:pPr>
              <w:widowControl/>
              <w:spacing w:line="240" w:lineRule="exact"/>
              <w:jc w:val="right"/>
              <w:rPr>
                <w:spacing w:val="-10"/>
                <w:kern w:val="0"/>
                <w:sz w:val="16"/>
                <w:szCs w:val="16"/>
              </w:rPr>
            </w:pPr>
            <w:r>
              <w:rPr>
                <w:rFonts w:hint="eastAsia"/>
                <w:spacing w:val="-10"/>
                <w:kern w:val="0"/>
                <w:sz w:val="16"/>
                <w:szCs w:val="16"/>
              </w:rPr>
              <w:t>同期为0.2</w:t>
            </w:r>
          </w:p>
        </w:tc>
      </w:tr>
      <w:tr>
        <w:tblPrEx>
          <w:tblCellMar>
            <w:top w:w="0" w:type="dxa"/>
            <w:left w:w="108" w:type="dxa"/>
            <w:bottom w:w="0" w:type="dxa"/>
            <w:right w:w="108" w:type="dxa"/>
          </w:tblCellMar>
        </w:tblPrEx>
        <w:trPr>
          <w:trHeight w:val="520" w:hRule="exact"/>
        </w:trPr>
        <w:tc>
          <w:tcPr>
            <w:tcW w:w="273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规模以上工业可比价增速</w:t>
            </w:r>
          </w:p>
        </w:tc>
        <w:tc>
          <w:tcPr>
            <w:tcW w:w="61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color="auto" w:sz="4" w:space="0"/>
              <w:right w:val="single" w:color="auto" w:sz="4" w:space="0"/>
            </w:tcBorders>
            <w:vAlign w:val="center"/>
          </w:tcPr>
          <w:p>
            <w:pPr>
              <w:widowControl/>
              <w:spacing w:line="240" w:lineRule="exact"/>
              <w:jc w:val="right"/>
              <w:rPr>
                <w:kern w:val="0"/>
                <w:sz w:val="16"/>
                <w:szCs w:val="16"/>
              </w:rPr>
            </w:pPr>
            <w:r>
              <w:rPr>
                <w:rFonts w:hint="eastAsia"/>
                <w:kern w:val="0"/>
                <w:sz w:val="16"/>
                <w:szCs w:val="16"/>
              </w:rPr>
              <w:t>未反馈</w:t>
            </w:r>
          </w:p>
        </w:tc>
      </w:tr>
    </w:tbl>
    <w:p>
      <w:pPr>
        <w:jc w:val="center"/>
        <w:rPr>
          <w:rFonts w:ascii="黑体" w:eastAsia="黑体"/>
          <w:b/>
          <w:szCs w:val="21"/>
        </w:rPr>
      </w:pPr>
      <w:r>
        <w:rPr>
          <w:rFonts w:hint="eastAsia" w:ascii="黑体" w:eastAsia="黑体"/>
          <w:b/>
          <w:szCs w:val="21"/>
          <w:highlight w:val="lightGray"/>
        </w:rPr>
        <w:t>规模以上工业增加值增速（%）</w:t>
      </w:r>
      <w:r>
        <w:rPr>
          <w:rFonts w:ascii="黑体" w:eastAsia="黑体"/>
          <w:b/>
          <w:szCs w:val="21"/>
        </w:rPr>
        <w:drawing>
          <wp:inline distT="0" distB="0" distL="0" distR="0">
            <wp:extent cx="3384550" cy="206375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left="57" w:leftChars="-30" w:hanging="120" w:hangingChars="50"/>
        <w:rPr>
          <w:rFonts w:ascii="黑体" w:eastAsia="黑体"/>
          <w:b/>
          <w:szCs w:val="21"/>
        </w:rPr>
      </w:pPr>
      <w:r>
        <w:rPr>
          <w:rFonts w:hint="eastAsia" w:ascii="黑体" w:eastAsia="黑体"/>
          <w:b/>
          <w:sz w:val="24"/>
          <w:highlight w:val="lightGray"/>
        </w:rPr>
        <w:t>主要工业产品产量                   （02月份）</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972"/>
        <w:gridCol w:w="104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工业品名称</w:t>
            </w:r>
          </w:p>
        </w:tc>
        <w:tc>
          <w:tcPr>
            <w:tcW w:w="881"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单位</w:t>
            </w:r>
          </w:p>
        </w:tc>
        <w:tc>
          <w:tcPr>
            <w:tcW w:w="927"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产量</w:t>
            </w:r>
          </w:p>
        </w:tc>
        <w:tc>
          <w:tcPr>
            <w:tcW w:w="856" w:type="pct"/>
            <w:tcBorders>
              <w:bottom w:val="single" w:color="auto" w:sz="4" w:space="0"/>
            </w:tcBorders>
            <w:vAlign w:val="center"/>
          </w:tcPr>
          <w:p>
            <w:pPr>
              <w:jc w:val="center"/>
              <w:rPr>
                <w:rFonts w:ascii="宋体" w:hAnsi="宋体"/>
                <w:spacing w:val="-8"/>
                <w:sz w:val="15"/>
                <w:szCs w:val="15"/>
              </w:rPr>
            </w:pPr>
            <w:r>
              <w:rPr>
                <w:rFonts w:hint="eastAsia" w:ascii="宋体" w:hAnsi="宋体" w:cs="宋体"/>
                <w:b/>
                <w:bCs/>
                <w:spacing w:val="-8"/>
                <w:kern w:val="0"/>
                <w:sz w:val="15"/>
                <w:szCs w:val="15"/>
              </w:rPr>
              <w:t>同比±</w:t>
            </w:r>
            <w:r>
              <w:rPr>
                <w:b/>
                <w:bCs/>
                <w:spacing w:val="-8"/>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single" w:color="auto" w:sz="4" w:space="0"/>
              <w:bottom w:val="nil"/>
            </w:tcBorders>
            <w:vAlign w:val="center"/>
          </w:tcPr>
          <w:p>
            <w:pPr>
              <w:spacing w:line="240" w:lineRule="exact"/>
              <w:ind w:firstLine="300" w:firstLineChars="150"/>
              <w:rPr>
                <w:rFonts w:ascii="宋体" w:hAnsi="宋体"/>
                <w:szCs w:val="21"/>
              </w:rPr>
            </w:pPr>
            <w:r>
              <w:rPr>
                <w:rFonts w:hint="eastAsia" w:ascii="宋体" w:hAnsi="宋体"/>
                <w:sz w:val="20"/>
                <w:szCs w:val="20"/>
              </w:rPr>
              <w:t>企业用电量</w:t>
            </w:r>
            <w:r>
              <w:rPr>
                <w:rFonts w:hint="eastAsia" w:ascii="宋体" w:hAnsi="宋体"/>
                <w:spacing w:val="-14"/>
                <w:sz w:val="15"/>
                <w:szCs w:val="15"/>
              </w:rPr>
              <w:t>（不含电力公司）</w:t>
            </w:r>
          </w:p>
        </w:tc>
        <w:tc>
          <w:tcPr>
            <w:tcW w:w="881" w:type="pct"/>
            <w:tcBorders>
              <w:top w:val="single" w:color="auto" w:sz="4" w:space="0"/>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4267</w:t>
            </w:r>
          </w:p>
        </w:tc>
        <w:tc>
          <w:tcPr>
            <w:tcW w:w="856"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鞋</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111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#皮革鞋靴</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0</w:t>
            </w:r>
          </w:p>
        </w:tc>
        <w:tc>
          <w:tcPr>
            <w:tcW w:w="856" w:type="pct"/>
            <w:tcBorders>
              <w:top w:val="nil"/>
              <w:bottom w:val="nil"/>
            </w:tcBorders>
            <w:vAlign w:val="center"/>
          </w:tcPr>
          <w:p>
            <w:pPr>
              <w:spacing w:line="240" w:lineRule="exact"/>
              <w:jc w:val="right"/>
              <w:rPr>
                <w:rFonts w:eastAsia="仿宋_GB2312"/>
                <w:sz w:val="16"/>
                <w:szCs w:val="16"/>
              </w:rPr>
            </w:pPr>
            <w:r>
              <w:rPr>
                <w:rFonts w:hint="eastAsia" w:eastAsia="仿宋_GB2312"/>
                <w:sz w:val="16"/>
                <w:szCs w:val="16"/>
              </w:rPr>
              <w:t>同期为80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发电量</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49169</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鲜冷藏冻肉</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55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熟肉制品</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20</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啤酒</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千升</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3970.81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自来水生产量</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309.52</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配混合饲料</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1103</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绒线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18</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人造板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18898</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cs="宋体"/>
                <w:sz w:val="20"/>
                <w:szCs w:val="20"/>
              </w:rPr>
              <w:t>蚕丝及交织机织物</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8</w:t>
            </w:r>
          </w:p>
        </w:tc>
        <w:tc>
          <w:tcPr>
            <w:tcW w:w="856" w:type="pct"/>
            <w:tcBorders>
              <w:top w:val="nil"/>
              <w:bottom w:val="nil"/>
            </w:tcBorders>
            <w:vAlign w:val="center"/>
          </w:tcPr>
          <w:p>
            <w:pPr>
              <w:spacing w:line="240" w:lineRule="exact"/>
              <w:jc w:val="right"/>
              <w:rPr>
                <w:spacing w:val="-4"/>
                <w:sz w:val="20"/>
                <w:szCs w:val="20"/>
              </w:rPr>
            </w:pPr>
            <w:r>
              <w:rPr>
                <w:rFonts w:hint="eastAsia"/>
                <w:spacing w:val="-4"/>
                <w:sz w:val="20"/>
                <w:szCs w:val="20"/>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cs="宋体"/>
                <w:sz w:val="20"/>
                <w:szCs w:val="20"/>
              </w:rPr>
            </w:pPr>
            <w:r>
              <w:rPr>
                <w:rFonts w:hint="eastAsia" w:ascii="宋体" w:hAnsi="宋体" w:cs="宋体"/>
                <w:sz w:val="20"/>
                <w:szCs w:val="20"/>
              </w:rPr>
              <w:t>服装</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万件</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3.0</w:t>
            </w:r>
          </w:p>
        </w:tc>
        <w:tc>
          <w:tcPr>
            <w:tcW w:w="856" w:type="pct"/>
            <w:tcBorders>
              <w:top w:val="nil"/>
              <w:bottom w:val="nil"/>
            </w:tcBorders>
            <w:vAlign w:val="center"/>
          </w:tcPr>
          <w:p>
            <w:pPr>
              <w:spacing w:line="240" w:lineRule="exact"/>
              <w:jc w:val="right"/>
              <w:rPr>
                <w:spacing w:val="-4"/>
                <w:sz w:val="20"/>
                <w:szCs w:val="20"/>
              </w:rPr>
            </w:pPr>
            <w:r>
              <w:rPr>
                <w:rFonts w:hint="eastAsia"/>
                <w:spacing w:val="-4"/>
                <w:sz w:val="20"/>
                <w:szCs w:val="20"/>
              </w:rPr>
              <w:t>-84.2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移动通信手持机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14.48</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#智能手机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3.20</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锂离子电池</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163.92</w:t>
            </w:r>
          </w:p>
        </w:tc>
        <w:tc>
          <w:tcPr>
            <w:tcW w:w="856" w:type="pct"/>
            <w:tcBorders>
              <w:top w:val="nil"/>
              <w:bottom w:val="nil"/>
            </w:tcBorders>
            <w:vAlign w:val="center"/>
          </w:tcPr>
          <w:p>
            <w:pPr>
              <w:spacing w:line="240" w:lineRule="exact"/>
              <w:jc w:val="right"/>
              <w:rPr>
                <w:rFonts w:ascii="宋体" w:hAnsi="宋体"/>
                <w:sz w:val="20"/>
                <w:szCs w:val="20"/>
              </w:rPr>
            </w:pPr>
            <w:r>
              <w:rPr>
                <w:rFonts w:hint="eastAsia" w:ascii="宋体" w:hAnsi="宋体"/>
                <w:sz w:val="20"/>
                <w:szCs w:val="20"/>
              </w:rPr>
              <w:t>同期无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电子元件</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2212</w:t>
            </w:r>
          </w:p>
        </w:tc>
        <w:tc>
          <w:tcPr>
            <w:tcW w:w="856" w:type="pct"/>
            <w:tcBorders>
              <w:top w:val="nil"/>
              <w:bottom w:val="nil"/>
            </w:tcBorders>
            <w:vAlign w:val="center"/>
          </w:tcPr>
          <w:p>
            <w:pPr>
              <w:spacing w:line="240" w:lineRule="exact"/>
              <w:jc w:val="right"/>
              <w:rPr>
                <w:sz w:val="20"/>
                <w:szCs w:val="20"/>
              </w:rPr>
            </w:pPr>
            <w:r>
              <w:rPr>
                <w:rFonts w:hint="eastAsia"/>
                <w:sz w:val="20"/>
                <w:szCs w:val="20"/>
              </w:rPr>
              <w:t>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商品混凝土</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7.11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2336" w:type="pct"/>
            <w:tcBorders>
              <w:top w:val="nil"/>
              <w:bottom w:val="single" w:color="auto" w:sz="4" w:space="0"/>
            </w:tcBorders>
            <w:vAlign w:val="center"/>
          </w:tcPr>
          <w:p>
            <w:pPr>
              <w:spacing w:line="240" w:lineRule="exact"/>
              <w:ind w:firstLine="300" w:firstLineChars="150"/>
              <w:rPr>
                <w:rFonts w:ascii="宋体" w:hAnsi="宋体"/>
                <w:sz w:val="20"/>
                <w:szCs w:val="20"/>
              </w:rPr>
            </w:pPr>
            <w:r>
              <w:rPr>
                <w:rFonts w:hint="eastAsia" w:ascii="宋体" w:hAnsi="宋体"/>
                <w:sz w:val="20"/>
                <w:szCs w:val="20"/>
              </w:rPr>
              <w:t>水泥</w:t>
            </w:r>
          </w:p>
        </w:tc>
        <w:tc>
          <w:tcPr>
            <w:tcW w:w="881" w:type="pct"/>
            <w:tcBorders>
              <w:top w:val="nil"/>
              <w:bottom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万吨</w:t>
            </w:r>
          </w:p>
        </w:tc>
        <w:tc>
          <w:tcPr>
            <w:tcW w:w="927"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8.51</w:t>
            </w:r>
          </w:p>
        </w:tc>
        <w:tc>
          <w:tcPr>
            <w:tcW w:w="856"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115.1</w:t>
            </w:r>
          </w:p>
        </w:tc>
      </w:tr>
    </w:tbl>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固定资产投资                   （02月份）</w:t>
      </w:r>
    </w:p>
    <w:tbl>
      <w:tblPr>
        <w:tblStyle w:val="10"/>
        <w:tblW w:w="5000" w:type="pct"/>
        <w:tblInd w:w="0" w:type="dxa"/>
        <w:tblLayout w:type="autofit"/>
        <w:tblCellMar>
          <w:top w:w="0" w:type="dxa"/>
          <w:left w:w="108" w:type="dxa"/>
          <w:bottom w:w="0" w:type="dxa"/>
          <w:right w:w="108" w:type="dxa"/>
        </w:tblCellMar>
      </w:tblPr>
      <w:tblGrid>
        <w:gridCol w:w="3115"/>
        <w:gridCol w:w="612"/>
        <w:gridCol w:w="909"/>
        <w:gridCol w:w="909"/>
      </w:tblGrid>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指</w:t>
            </w:r>
            <w:r>
              <w:rPr>
                <w:rFonts w:ascii="宋体" w:hAnsi="宋体" w:cstheme="minorBidi"/>
                <w:b/>
                <w:bCs/>
                <w:kern w:val="0"/>
                <w:sz w:val="18"/>
                <w:szCs w:val="18"/>
              </w:rPr>
              <w:t xml:space="preserve">  </w:t>
            </w:r>
            <w:r>
              <w:rPr>
                <w:rFonts w:hint="eastAsia" w:ascii="宋体" w:hAnsi="宋体" w:cs="宋体"/>
                <w:b/>
                <w:bCs/>
                <w:kern w:val="0"/>
                <w:sz w:val="18"/>
                <w:szCs w:val="18"/>
              </w:rPr>
              <w:t>标</w:t>
            </w:r>
            <w:r>
              <w:rPr>
                <w:rFonts w:ascii="宋体" w:hAnsi="宋体" w:cstheme="minorBidi"/>
                <w:b/>
                <w:bCs/>
                <w:kern w:val="0"/>
                <w:sz w:val="18"/>
                <w:szCs w:val="18"/>
              </w:rPr>
              <w:t xml:space="preserve">  </w:t>
            </w:r>
            <w:r>
              <w:rPr>
                <w:rFonts w:hint="eastAsia" w:ascii="宋体" w:hAnsi="宋体" w:cs="宋体"/>
                <w:b/>
                <w:bCs/>
                <w:kern w:val="0"/>
                <w:sz w:val="18"/>
                <w:szCs w:val="18"/>
              </w:rPr>
              <w:t>名</w:t>
            </w:r>
            <w:r>
              <w:rPr>
                <w:rFonts w:ascii="宋体" w:hAnsi="宋体" w:cstheme="minorBidi"/>
                <w:b/>
                <w:bCs/>
                <w:kern w:val="0"/>
                <w:sz w:val="18"/>
                <w:szCs w:val="18"/>
              </w:rPr>
              <w:t xml:space="preserve">  </w:t>
            </w:r>
            <w:r>
              <w:rPr>
                <w:rFonts w:hint="eastAsia" w:ascii="宋体" w:hAnsi="宋体" w:cs="宋体"/>
                <w:b/>
                <w:bCs/>
                <w:kern w:val="0"/>
                <w:sz w:val="18"/>
                <w:szCs w:val="18"/>
              </w:rPr>
              <w:t>称</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单位</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2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p>
        </w:tc>
      </w:tr>
      <w:tr>
        <w:trPr>
          <w:trHeight w:val="260" w:hRule="exact"/>
        </w:trPr>
        <w:tc>
          <w:tcPr>
            <w:tcW w:w="2835"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spacing w:val="-4"/>
                <w:kern w:val="0"/>
                <w:sz w:val="22"/>
                <w:szCs w:val="22"/>
              </w:rPr>
            </w:pPr>
            <w:r>
              <w:rPr>
                <w:rFonts w:hint="eastAsia" w:ascii="黑体" w:hAnsi="宋体" w:eastAsia="黑体" w:cs="宋体"/>
                <w:b/>
                <w:bCs/>
                <w:spacing w:val="-4"/>
                <w:kern w:val="0"/>
                <w:sz w:val="18"/>
                <w:szCs w:val="18"/>
              </w:rPr>
              <w:t>本年新开工项目计划总投资</w:t>
            </w:r>
            <w:r>
              <w:rPr>
                <w:rFonts w:hint="eastAsia" w:ascii="黑体" w:hAnsi="宋体" w:eastAsia="黑体" w:cs="宋体"/>
                <w:b/>
                <w:bCs/>
                <w:spacing w:val="-4"/>
                <w:kern w:val="0"/>
                <w:sz w:val="12"/>
                <w:szCs w:val="12"/>
              </w:rPr>
              <w:t>（不含房地产）</w:t>
            </w:r>
          </w:p>
        </w:tc>
        <w:tc>
          <w:tcPr>
            <w:tcW w:w="55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2.91</w:t>
            </w:r>
          </w:p>
        </w:tc>
        <w:tc>
          <w:tcPr>
            <w:tcW w:w="821"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同期无</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18"/>
                <w:szCs w:val="18"/>
              </w:rPr>
              <w:t>本年新开工项目完成投资（</w:t>
            </w:r>
            <w:r>
              <w:rPr>
                <w:rFonts w:hint="eastAsia" w:ascii="黑体" w:hAnsi="黑体" w:eastAsia="黑体" w:cstheme="minorBidi"/>
                <w:b/>
                <w:bCs/>
                <w:spacing w:val="-4"/>
                <w:kern w:val="0"/>
                <w:sz w:val="12"/>
                <w:szCs w:val="12"/>
              </w:rPr>
              <w:t>不含房地产）</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0.50</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同期无</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20"/>
                <w:szCs w:val="20"/>
              </w:rPr>
              <w:t>全社会固定资产投资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7.74</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198.0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建筑安装投资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7.16</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183.9</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旅游投资</w:t>
            </w:r>
            <w:r>
              <w:rPr>
                <w:rFonts w:hint="eastAsia" w:ascii="黑体" w:hAnsi="宋体" w:eastAsia="黑体" w:cs="宋体"/>
                <w:b/>
                <w:bCs/>
                <w:spacing w:val="-8"/>
                <w:kern w:val="0"/>
                <w:sz w:val="14"/>
                <w:szCs w:val="14"/>
              </w:rPr>
              <w:t>(县文旅委提供)</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1.36</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(1)项目完成固定资产投资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5.69</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612.0</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hint="eastAsia" w:ascii="宋体" w:hAnsi="宋体" w:cstheme="minorBidi"/>
                <w:b/>
                <w:bCs/>
                <w:kern w:val="0"/>
                <w:sz w:val="20"/>
                <w:szCs w:val="20"/>
              </w:rPr>
              <w:t xml:space="preserve">      基础设施投资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4.27</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w w:val="80"/>
                <w:kern w:val="0"/>
                <w:sz w:val="16"/>
                <w:szCs w:val="16"/>
              </w:rPr>
              <w:t>同期为0.33</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按国民经济行业分</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cs="宋体"/>
                <w:kern w:val="0"/>
                <w:sz w:val="18"/>
                <w:szCs w:val="18"/>
              </w:rPr>
              <w:t>--</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cs="宋体"/>
                <w:kern w:val="0"/>
                <w:sz w:val="18"/>
                <w:szCs w:val="18"/>
              </w:rPr>
              <w:t>--</w:t>
            </w:r>
          </w:p>
        </w:tc>
      </w:tr>
      <w:tr>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630" w:firstLineChars="350"/>
              <w:rPr>
                <w:rFonts w:ascii="宋体" w:hAnsi="宋体" w:cstheme="minorBidi"/>
                <w:kern w:val="0"/>
                <w:sz w:val="18"/>
                <w:szCs w:val="18"/>
              </w:rPr>
            </w:pPr>
            <w:r>
              <w:rPr>
                <w:rFonts w:hint="eastAsia" w:ascii="宋体" w:hAnsi="宋体" w:cstheme="minorBidi"/>
                <w:kern w:val="0"/>
                <w:sz w:val="18"/>
                <w:szCs w:val="18"/>
              </w:rPr>
              <w:t>第一产业投资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0.32</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同期无</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第二产业投资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0.47</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19.0</w:t>
            </w:r>
          </w:p>
        </w:tc>
      </w:tr>
      <w:tr>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w:t>
            </w:r>
            <w:r>
              <w:rPr>
                <w:rFonts w:ascii="宋体" w:hAnsi="宋体" w:cstheme="minorBidi"/>
                <w:kern w:val="0"/>
                <w:sz w:val="18"/>
                <w:szCs w:val="18"/>
              </w:rPr>
              <w:t xml:space="preserve"> </w:t>
            </w:r>
            <w:r>
              <w:rPr>
                <w:rFonts w:hint="eastAsia" w:ascii="宋体" w:hAnsi="宋体" w:cstheme="minorBidi"/>
                <w:kern w:val="0"/>
                <w:sz w:val="18"/>
                <w:szCs w:val="18"/>
              </w:rPr>
              <w:t>#工业投资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0.47</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19.0</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第三产业投资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4.90</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w w:val="80"/>
                <w:kern w:val="0"/>
                <w:sz w:val="16"/>
                <w:szCs w:val="16"/>
              </w:rPr>
            </w:pPr>
            <w:r>
              <w:rPr>
                <w:rFonts w:hint="eastAsia"/>
                <w:color w:val="000000"/>
                <w:w w:val="80"/>
                <w:kern w:val="0"/>
                <w:sz w:val="16"/>
                <w:szCs w:val="16"/>
              </w:rPr>
              <w:t>同期为0.40</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#交</w:t>
            </w:r>
            <w:r>
              <w:rPr>
                <w:rFonts w:hint="eastAsia" w:ascii="宋体" w:hAnsi="宋体" w:cstheme="minorBidi"/>
                <w:bCs/>
                <w:spacing w:val="-6"/>
                <w:kern w:val="0"/>
                <w:sz w:val="18"/>
                <w:szCs w:val="18"/>
              </w:rPr>
              <w:t>通运输业、仓储和邮政业</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22"/>
                <w:szCs w:val="22"/>
              </w:rPr>
            </w:pPr>
            <w:r>
              <w:rPr>
                <w:rFonts w:hint="eastAsia" w:ascii="宋体" w:hAnsi="宋体" w:cs="宋体"/>
                <w:kern w:val="0"/>
                <w:sz w:val="20"/>
                <w:szCs w:val="20"/>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2.04</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w w:val="80"/>
                <w:kern w:val="0"/>
                <w:sz w:val="16"/>
                <w:szCs w:val="16"/>
              </w:rPr>
              <w:t>同期为0.05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水利环境公共设施</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2.13</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w w:val="80"/>
                <w:kern w:val="0"/>
                <w:sz w:val="16"/>
                <w:szCs w:val="16"/>
              </w:rPr>
              <w:t>同期为0.15</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(2)房地产企业投资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2.05</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13.9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房屋施工面积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138.83</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-8.9</w:t>
            </w:r>
          </w:p>
        </w:tc>
      </w:tr>
      <w:tr>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#本年新开工</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21.89</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同期无</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房屋竣工面积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9.58</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同期无</w:t>
            </w:r>
          </w:p>
        </w:tc>
      </w:tr>
      <w:tr>
        <w:trPr>
          <w:trHeight w:val="260" w:hRule="exact"/>
        </w:trPr>
        <w:tc>
          <w:tcPr>
            <w:tcW w:w="2835"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
                <w:bCs/>
                <w:kern w:val="0"/>
                <w:sz w:val="18"/>
                <w:szCs w:val="18"/>
              </w:rPr>
              <w:t xml:space="preserve">   </w:t>
            </w:r>
            <w:r>
              <w:rPr>
                <w:rFonts w:hint="eastAsia" w:ascii="宋体" w:hAnsi="宋体" w:cstheme="minorBidi"/>
                <w:bCs/>
                <w:kern w:val="0"/>
                <w:sz w:val="18"/>
                <w:szCs w:val="18"/>
              </w:rPr>
              <w:t xml:space="preserve">  商品房屋销售面积</w:t>
            </w:r>
          </w:p>
        </w:tc>
        <w:tc>
          <w:tcPr>
            <w:tcW w:w="555"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8.22</w:t>
            </w:r>
          </w:p>
        </w:tc>
        <w:tc>
          <w:tcPr>
            <w:tcW w:w="821"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98.8</w:t>
            </w:r>
          </w:p>
        </w:tc>
      </w:tr>
      <w:tr>
        <w:tblPrEx>
          <w:tblCellMar>
            <w:top w:w="0" w:type="dxa"/>
            <w:left w:w="108" w:type="dxa"/>
            <w:bottom w:w="0" w:type="dxa"/>
            <w:right w:w="108" w:type="dxa"/>
          </w:tblCellMar>
        </w:tblPrEx>
        <w:trPr>
          <w:trHeight w:val="260" w:hRule="exact"/>
        </w:trPr>
        <w:tc>
          <w:tcPr>
            <w:tcW w:w="2835"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ind w:firstLine="450" w:firstLineChars="250"/>
              <w:rPr>
                <w:rFonts w:ascii="宋体" w:hAnsi="宋体" w:cstheme="minorBidi"/>
                <w:bCs/>
                <w:kern w:val="0"/>
                <w:sz w:val="18"/>
                <w:szCs w:val="18"/>
              </w:rPr>
            </w:pPr>
            <w:r>
              <w:rPr>
                <w:rFonts w:hint="eastAsia" w:ascii="宋体" w:hAnsi="宋体" w:cstheme="minorBidi"/>
                <w:bCs/>
                <w:kern w:val="0"/>
                <w:sz w:val="18"/>
                <w:szCs w:val="18"/>
              </w:rPr>
              <w:t>商品房屋销售金额</w:t>
            </w:r>
          </w:p>
        </w:tc>
        <w:tc>
          <w:tcPr>
            <w:tcW w:w="555"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3.72</w:t>
            </w:r>
          </w:p>
        </w:tc>
        <w:tc>
          <w:tcPr>
            <w:tcW w:w="82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89.7</w:t>
            </w:r>
          </w:p>
        </w:tc>
      </w:tr>
    </w:tbl>
    <w:p>
      <w:pPr>
        <w:spacing w:line="200" w:lineRule="exact"/>
        <w:rPr>
          <w:rFonts w:ascii="黑体" w:eastAsia="黑体"/>
          <w:szCs w:val="21"/>
          <w:highlight w:val="lightGray"/>
        </w:rPr>
      </w:pPr>
      <w:r>
        <w:rPr>
          <w:rFonts w:hint="eastAsia" w:ascii="宋体" w:hAnsi="宋体"/>
          <w:sz w:val="15"/>
          <w:szCs w:val="15"/>
        </w:rPr>
        <w:t>注：全社会固定资产投资总额不含跨区和农户数据。</w:t>
      </w:r>
    </w:p>
    <w:p>
      <w:pPr>
        <w:jc w:val="center"/>
        <w:rPr>
          <w:rFonts w:ascii="黑体" w:eastAsia="黑体"/>
          <w:b/>
          <w:sz w:val="20"/>
          <w:szCs w:val="20"/>
        </w:rPr>
      </w:pPr>
      <w:r>
        <w:rPr>
          <w:rFonts w:hint="eastAsia" w:ascii="黑体" w:eastAsia="黑体"/>
          <w:b/>
          <w:sz w:val="20"/>
          <w:szCs w:val="20"/>
          <w:highlight w:val="lightGray"/>
        </w:rPr>
        <w:t>全社会固定资产投资增速（%）</w:t>
      </w:r>
    </w:p>
    <w:p>
      <w:pPr>
        <w:spacing w:before="156" w:beforeLines="50"/>
        <w:jc w:val="center"/>
      </w:pPr>
      <w:r>
        <w:rPr>
          <w:rFonts w:ascii="黑体" w:eastAsia="黑体"/>
          <w:b/>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adjustRightInd w:val="0"/>
        <w:snapToGrid w:val="0"/>
        <w:spacing w:line="16" w:lineRule="atLeast"/>
        <w:jc w:val="center"/>
        <w:rPr>
          <w:rFonts w:ascii="黑体" w:hAnsi="Tahoma" w:eastAsia="黑体" w:cstheme="minorBidi"/>
          <w:kern w:val="0"/>
          <w:sz w:val="24"/>
        </w:rPr>
      </w:pPr>
      <w:r>
        <w:rPr>
          <w:rFonts w:hint="eastAsia" w:ascii="黑体" w:hAnsi="Tahoma" w:eastAsia="黑体" w:cstheme="minorBidi"/>
          <w:b/>
          <w:kern w:val="0"/>
          <w:sz w:val="24"/>
          <w:highlight w:val="lightGray"/>
        </w:rPr>
        <w:t>财政税收                       （02月份）</w:t>
      </w:r>
    </w:p>
    <w:tbl>
      <w:tblPr>
        <w:tblStyle w:val="10"/>
        <w:tblW w:w="5000" w:type="pct"/>
        <w:tblInd w:w="0" w:type="dxa"/>
        <w:tblLayout w:type="autofit"/>
        <w:tblCellMar>
          <w:top w:w="0" w:type="dxa"/>
          <w:left w:w="108" w:type="dxa"/>
          <w:bottom w:w="0" w:type="dxa"/>
          <w:right w:w="108" w:type="dxa"/>
        </w:tblCellMar>
      </w:tblPr>
      <w:tblGrid>
        <w:gridCol w:w="2629"/>
        <w:gridCol w:w="651"/>
        <w:gridCol w:w="915"/>
        <w:gridCol w:w="1350"/>
      </w:tblGrid>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58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121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(一)辖区内财政总收入</w:t>
            </w:r>
          </w:p>
        </w:tc>
        <w:tc>
          <w:tcPr>
            <w:tcW w:w="58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56997</w:t>
            </w:r>
          </w:p>
        </w:tc>
        <w:tc>
          <w:tcPr>
            <w:tcW w:w="121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58.6</w:t>
            </w:r>
          </w:p>
        </w:tc>
      </w:tr>
      <w:tr>
        <w:tblPrEx>
          <w:tblCellMar>
            <w:top w:w="0" w:type="dxa"/>
            <w:left w:w="108" w:type="dxa"/>
            <w:bottom w:w="0" w:type="dxa"/>
            <w:right w:w="108" w:type="dxa"/>
          </w:tblCellMar>
        </w:tblPrEx>
        <w:trPr>
          <w:trHeight w:val="333" w:hRule="exact"/>
        </w:trPr>
        <w:tc>
          <w:tcPr>
            <w:tcW w:w="2371" w:type="pct"/>
            <w:tcBorders>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(1)按征收部门划分</w:t>
            </w:r>
          </w:p>
        </w:tc>
        <w:tc>
          <w:tcPr>
            <w:tcW w:w="587" w:type="pct"/>
            <w:tcBorders>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宋体"/>
                <w:kern w:val="0"/>
                <w:sz w:val="18"/>
                <w:szCs w:val="18"/>
              </w:rPr>
              <w:t>--</w:t>
            </w:r>
          </w:p>
        </w:tc>
        <w:tc>
          <w:tcPr>
            <w:tcW w:w="1217"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宋体"/>
                <w:kern w:val="0"/>
                <w:sz w:val="18"/>
                <w:szCs w:val="18"/>
              </w:rPr>
              <w:t>--</w:t>
            </w:r>
          </w:p>
        </w:tc>
      </w:tr>
      <w:tr>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税务部门收入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30576</w:t>
            </w:r>
          </w:p>
        </w:tc>
        <w:tc>
          <w:tcPr>
            <w:tcW w:w="121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39.1</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财政部门收入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26421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89.4</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(2)按预算级次划分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宋体"/>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中央级收入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18189</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62.6</w:t>
            </w:r>
          </w:p>
        </w:tc>
      </w:tr>
      <w:tr>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市级收入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1541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292.1</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 xml:space="preserve">      本级财政收入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37267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53.0</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一般公共预算收入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21704</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890" w:firstLineChars="495"/>
              <w:rPr>
                <w:rFonts w:ascii="宋体" w:hAnsi="宋体" w:cstheme="minorBidi"/>
                <w:kern w:val="0"/>
                <w:sz w:val="18"/>
                <w:szCs w:val="18"/>
              </w:rPr>
            </w:pPr>
            <w:r>
              <w:rPr>
                <w:rFonts w:hint="eastAsia" w:ascii="宋体" w:hAnsi="宋体" w:cstheme="minorBidi"/>
                <w:kern w:val="0"/>
                <w:sz w:val="18"/>
                <w:szCs w:val="18"/>
              </w:rPr>
              <w:t>#税收收入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13123</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#国内增值税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5409</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-3.2</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企业所得税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4750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216.2</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8581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14397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114.0</w:t>
            </w:r>
          </w:p>
        </w:tc>
      </w:tr>
      <w:tr>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1166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81.3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(3)按收入性质划分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宋体"/>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29875</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40.0</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11559</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59.8</w:t>
            </w:r>
          </w:p>
        </w:tc>
      </w:tr>
      <w:tr>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14397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114.0</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1166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81.3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(二)地方财政支出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96951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48.8</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#一般公共预算支出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83896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42.9</w:t>
            </w:r>
          </w:p>
        </w:tc>
      </w:tr>
      <w:tr>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#一般公共服务支出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9353</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-4.2</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教育支出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19367</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18.3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社会保障和就业支出</w:t>
            </w:r>
          </w:p>
        </w:tc>
        <w:tc>
          <w:tcPr>
            <w:tcW w:w="58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15400</w:t>
            </w:r>
          </w:p>
        </w:tc>
        <w:tc>
          <w:tcPr>
            <w:tcW w:w="1217"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81.0</w:t>
            </w:r>
          </w:p>
        </w:tc>
      </w:tr>
    </w:tbl>
    <w:p>
      <w:pPr>
        <w:spacing w:before="156" w:beforeLines="50"/>
        <w:jc w:val="center"/>
        <w:rPr>
          <w:rFonts w:ascii="黑体" w:hAnsi="宋体" w:eastAsia="黑体"/>
          <w:b/>
          <w:sz w:val="24"/>
          <w:highlight w:val="lightGray"/>
        </w:rPr>
      </w:pPr>
      <w:r>
        <w:rPr>
          <w:rFonts w:hint="eastAsia" w:ascii="黑体" w:hAnsi="宋体" w:eastAsia="黑体"/>
          <w:b/>
          <w:sz w:val="24"/>
          <w:highlight w:val="lightGray"/>
        </w:rPr>
        <w:t xml:space="preserve">金融存贷                           </w:t>
      </w:r>
      <w:r>
        <w:rPr>
          <w:rFonts w:hint="eastAsia" w:ascii="黑体" w:hAnsi="宋体" w:eastAsia="黑体"/>
          <w:b/>
          <w:spacing w:val="2"/>
          <w:sz w:val="24"/>
          <w:highlight w:val="lightGray"/>
        </w:rPr>
        <w:t>(02月末)</w:t>
      </w:r>
    </w:p>
    <w:tbl>
      <w:tblPr>
        <w:tblStyle w:val="10"/>
        <w:tblW w:w="5000" w:type="pct"/>
        <w:tblInd w:w="0" w:type="dxa"/>
        <w:tblLayout w:type="autofit"/>
        <w:tblCellMar>
          <w:top w:w="0" w:type="dxa"/>
          <w:left w:w="108" w:type="dxa"/>
          <w:bottom w:w="0" w:type="dxa"/>
          <w:right w:w="108" w:type="dxa"/>
        </w:tblCellMar>
      </w:tblPr>
      <w:tblGrid>
        <w:gridCol w:w="2226"/>
        <w:gridCol w:w="603"/>
        <w:gridCol w:w="898"/>
        <w:gridCol w:w="954"/>
        <w:gridCol w:w="864"/>
      </w:tblGrid>
      <w:tr>
        <w:tblPrEx>
          <w:tblCellMar>
            <w:top w:w="0" w:type="dxa"/>
            <w:left w:w="108" w:type="dxa"/>
            <w:bottom w:w="0" w:type="dxa"/>
            <w:right w:w="108" w:type="dxa"/>
          </w:tblCellMar>
        </w:tblPrEx>
        <w:trPr>
          <w:trHeight w:val="624" w:hRule="exact"/>
        </w:trPr>
        <w:tc>
          <w:tcPr>
            <w:tcW w:w="20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指</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名</w:t>
            </w:r>
            <w:r>
              <w:rPr>
                <w:b/>
                <w:bCs/>
                <w:kern w:val="0"/>
                <w:sz w:val="18"/>
                <w:szCs w:val="18"/>
              </w:rPr>
              <w:t xml:space="preserve">  </w:t>
            </w:r>
            <w:r>
              <w:rPr>
                <w:rFonts w:hint="eastAsia" w:ascii="宋体" w:hAnsi="宋体" w:cs="宋体"/>
                <w:b/>
                <w:bCs/>
                <w:kern w:val="0"/>
                <w:sz w:val="18"/>
                <w:szCs w:val="18"/>
              </w:rPr>
              <w:t>称</w:t>
            </w: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81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0"/>
                <w:kern w:val="0"/>
                <w:sz w:val="18"/>
                <w:szCs w:val="18"/>
              </w:rPr>
            </w:pPr>
            <w:r>
              <w:rPr>
                <w:rFonts w:hint="eastAsia" w:ascii="宋体" w:hAnsi="宋体" w:cs="宋体"/>
                <w:b/>
                <w:bCs/>
                <w:spacing w:val="-10"/>
                <w:kern w:val="0"/>
                <w:sz w:val="18"/>
                <w:szCs w:val="18"/>
              </w:rPr>
              <w:t>期末数</w:t>
            </w:r>
          </w:p>
        </w:tc>
        <w:tc>
          <w:tcPr>
            <w:tcW w:w="86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较年初±</w:t>
            </w:r>
            <w:r>
              <w:rPr>
                <w:b/>
                <w:bCs/>
                <w:spacing w:val="-16"/>
                <w:kern w:val="0"/>
                <w:sz w:val="16"/>
                <w:szCs w:val="16"/>
              </w:rPr>
              <w:t>%</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同比±</w:t>
            </w:r>
            <w:r>
              <w:rPr>
                <w:b/>
                <w:bCs/>
                <w:spacing w:val="-16"/>
                <w:kern w:val="0"/>
                <w:sz w:val="16"/>
                <w:szCs w:val="16"/>
              </w:rPr>
              <w:t>%</w:t>
            </w:r>
          </w:p>
        </w:tc>
      </w:tr>
      <w:tr>
        <w:tblPrEx>
          <w:tblCellMar>
            <w:top w:w="0" w:type="dxa"/>
            <w:left w:w="108" w:type="dxa"/>
            <w:bottom w:w="0" w:type="dxa"/>
            <w:right w:w="108" w:type="dxa"/>
          </w:tblCellMar>
        </w:tblPrEx>
        <w:trPr>
          <w:trHeight w:val="624"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b/>
                <w:kern w:val="0"/>
                <w:sz w:val="18"/>
                <w:szCs w:val="18"/>
              </w:rPr>
            </w:pPr>
            <w:r>
              <w:rPr>
                <w:rFonts w:hint="eastAsia" w:ascii="宋体" w:hAnsi="宋体" w:cs="宋体"/>
                <w:b/>
                <w:kern w:val="0"/>
                <w:sz w:val="18"/>
                <w:szCs w:val="18"/>
              </w:rPr>
              <w:t>(一)金融机构存款情况</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10" w:type="pct"/>
            <w:tcBorders>
              <w:top w:val="nil"/>
              <w:left w:val="nil"/>
              <w:bottom w:val="nil"/>
              <w:right w:val="single" w:color="auto" w:sz="4" w:space="0"/>
            </w:tcBorders>
            <w:shd w:val="clear" w:color="auto" w:fill="auto"/>
            <w:noWrap/>
            <w:vAlign w:val="center"/>
          </w:tcPr>
          <w:p>
            <w:pPr>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bottom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9"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624"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spacing w:val="-8"/>
                <w:kern w:val="0"/>
                <w:sz w:val="18"/>
                <w:szCs w:val="18"/>
              </w:rPr>
            </w:pPr>
            <w:r>
              <w:rPr>
                <w:rFonts w:hint="eastAsia" w:ascii="宋体" w:hAnsi="宋体" w:cs="宋体"/>
                <w:spacing w:val="-8"/>
                <w:kern w:val="0"/>
                <w:sz w:val="18"/>
                <w:szCs w:val="18"/>
              </w:rPr>
              <w:t>各项存款余额</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285.23</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3.9</w:t>
            </w:r>
          </w:p>
        </w:tc>
        <w:tc>
          <w:tcPr>
            <w:tcW w:w="779"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7.3</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hint="eastAsia" w:ascii="宋体" w:hAnsi="宋体"/>
                <w:kern w:val="0"/>
                <w:sz w:val="18"/>
                <w:szCs w:val="18"/>
              </w:rPr>
              <w:instrText xml:space="preserve">= 1 \* GB3</w:instrText>
            </w:r>
            <w:r>
              <w:rPr>
                <w:rFonts w:ascii="宋体" w:hAnsi="宋体"/>
                <w:kern w:val="0"/>
                <w:sz w:val="18"/>
                <w:szCs w:val="18"/>
              </w:rPr>
              <w:instrText xml:space="preserve"> </w:instrText>
            </w:r>
            <w:r>
              <w:rPr>
                <w:rFonts w:ascii="宋体" w:hAnsi="宋体"/>
                <w:kern w:val="0"/>
                <w:sz w:val="18"/>
                <w:szCs w:val="18"/>
              </w:rPr>
              <w:fldChar w:fldCharType="separate"/>
            </w:r>
            <w:r>
              <w:rPr>
                <w:rFonts w:hint="eastAsia" w:ascii="宋体" w:hAnsi="宋体"/>
                <w:kern w:val="0"/>
                <w:sz w:val="18"/>
                <w:szCs w:val="18"/>
              </w:rPr>
              <w:t>①</w:t>
            </w:r>
            <w:r>
              <w:rPr>
                <w:rFonts w:ascii="宋体" w:hAnsi="宋体"/>
                <w:kern w:val="0"/>
                <w:sz w:val="18"/>
                <w:szCs w:val="18"/>
              </w:rPr>
              <w:fldChar w:fldCharType="end"/>
            </w:r>
            <w:r>
              <w:rPr>
                <w:rFonts w:hint="eastAsia" w:ascii="宋体" w:hAnsi="宋体"/>
                <w:kern w:val="0"/>
                <w:sz w:val="18"/>
                <w:szCs w:val="18"/>
              </w:rPr>
              <w:t>住户存款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228.17</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7.2</w:t>
            </w:r>
          </w:p>
        </w:tc>
        <w:tc>
          <w:tcPr>
            <w:tcW w:w="779"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12.1</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②非金融企业存款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27.18</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-8.3</w:t>
            </w:r>
          </w:p>
        </w:tc>
        <w:tc>
          <w:tcPr>
            <w:tcW w:w="779"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-0.1</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③广义政府存款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29.88</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-6.6</w:t>
            </w:r>
          </w:p>
        </w:tc>
        <w:tc>
          <w:tcPr>
            <w:tcW w:w="779"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-14.9</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 xml:space="preserve">  #财政性存款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3.18</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170.8</w:t>
            </w:r>
          </w:p>
        </w:tc>
        <w:tc>
          <w:tcPr>
            <w:tcW w:w="779"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-8.5</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b/>
                <w:kern w:val="0"/>
                <w:sz w:val="18"/>
                <w:szCs w:val="18"/>
              </w:rPr>
            </w:pPr>
            <w:r>
              <w:rPr>
                <w:rFonts w:hint="eastAsia" w:ascii="宋体" w:hAnsi="宋体"/>
                <w:b/>
                <w:kern w:val="0"/>
                <w:sz w:val="18"/>
                <w:szCs w:val="18"/>
              </w:rPr>
              <w:t>(二)金融机构贷款情况</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9" w:type="pct"/>
            <w:tcBorders>
              <w:top w:val="nil"/>
              <w:left w:val="single" w:color="auto" w:sz="4" w:space="0"/>
              <w:right w:val="single" w:color="auto" w:sz="4" w:space="0"/>
            </w:tcBorders>
            <w:shd w:val="clear" w:color="auto" w:fill="auto"/>
            <w:noWrap/>
            <w:vAlign w:val="center"/>
          </w:tcPr>
          <w:p>
            <w:pPr>
              <w:spacing w:line="240" w:lineRule="exact"/>
              <w:jc w:val="right"/>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各项贷款余额</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208.06</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1.3</w:t>
            </w:r>
          </w:p>
        </w:tc>
        <w:tc>
          <w:tcPr>
            <w:tcW w:w="779"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0.5</w:t>
            </w:r>
          </w:p>
        </w:tc>
      </w:tr>
      <w:tr>
        <w:tblPrEx>
          <w:tblCellMar>
            <w:top w:w="0" w:type="dxa"/>
            <w:left w:w="108" w:type="dxa"/>
            <w:bottom w:w="0" w:type="dxa"/>
            <w:right w:w="108" w:type="dxa"/>
          </w:tblCellMar>
        </w:tblPrEx>
        <w:trPr>
          <w:trHeight w:val="591" w:hRule="exact"/>
        </w:trPr>
        <w:tc>
          <w:tcPr>
            <w:tcW w:w="2007" w:type="pct"/>
            <w:tcBorders>
              <w:top w:val="nil"/>
              <w:left w:val="single" w:color="auto" w:sz="4" w:space="0"/>
              <w:right w:val="single" w:color="auto" w:sz="4" w:space="0"/>
            </w:tcBorders>
            <w:shd w:val="clear" w:color="auto" w:fill="auto"/>
            <w:noWrap/>
            <w:vAlign w:val="center"/>
          </w:tcPr>
          <w:p>
            <w:pPr>
              <w:widowControl/>
              <w:spacing w:line="240" w:lineRule="exact"/>
              <w:ind w:firstLine="270" w:firstLineChars="15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xml:space="preserve">=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住户贷款</w:t>
            </w:r>
          </w:p>
        </w:tc>
        <w:tc>
          <w:tcPr>
            <w:tcW w:w="544" w:type="pct"/>
            <w:tcBorders>
              <w:top w:val="nil"/>
              <w:left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89.15</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-5.4</w:t>
            </w:r>
          </w:p>
        </w:tc>
        <w:tc>
          <w:tcPr>
            <w:tcW w:w="779"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-12.5</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#短期贷款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21.01</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-9.1</w:t>
            </w:r>
          </w:p>
        </w:tc>
        <w:tc>
          <w:tcPr>
            <w:tcW w:w="779"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-10.1</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 xml:space="preserve">     中长期贷款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68.14</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-4.2</w:t>
            </w:r>
          </w:p>
        </w:tc>
        <w:tc>
          <w:tcPr>
            <w:tcW w:w="779"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-13.2</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195" w:firstLineChars="150"/>
              <w:rPr>
                <w:rFonts w:ascii="宋体" w:hAnsi="宋体" w:cs="宋体"/>
                <w:spacing w:val="-10"/>
                <w:kern w:val="0"/>
                <w:sz w:val="15"/>
                <w:szCs w:val="15"/>
              </w:rPr>
            </w:pPr>
            <w:r>
              <w:rPr>
                <w:rFonts w:hint="eastAsia" w:ascii="宋体" w:hAnsi="宋体"/>
                <w:spacing w:val="-10"/>
                <w:kern w:val="0"/>
                <w:sz w:val="15"/>
                <w:szCs w:val="15"/>
              </w:rPr>
              <w:t>②非金融企业及机关团体贷款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118.91</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7.0</w:t>
            </w:r>
          </w:p>
        </w:tc>
        <w:tc>
          <w:tcPr>
            <w:tcW w:w="779"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13.1</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#短期贷款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14.61</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17.6</w:t>
            </w:r>
          </w:p>
        </w:tc>
        <w:tc>
          <w:tcPr>
            <w:tcW w:w="779"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21.1</w:t>
            </w:r>
          </w:p>
        </w:tc>
      </w:tr>
      <w:tr>
        <w:tblPrEx>
          <w:tblCellMar>
            <w:top w:w="0" w:type="dxa"/>
            <w:left w:w="108" w:type="dxa"/>
            <w:bottom w:w="0" w:type="dxa"/>
            <w:right w:w="108" w:type="dxa"/>
          </w:tblCellMar>
        </w:tblPrEx>
        <w:trPr>
          <w:trHeight w:val="553" w:hRule="exact"/>
        </w:trPr>
        <w:tc>
          <w:tcPr>
            <w:tcW w:w="200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中长期贷款</w:t>
            </w:r>
          </w:p>
        </w:tc>
        <w:tc>
          <w:tcPr>
            <w:tcW w:w="54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104.05</w:t>
            </w:r>
          </w:p>
        </w:tc>
        <w:tc>
          <w:tcPr>
            <w:tcW w:w="860"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5.8</w:t>
            </w:r>
          </w:p>
        </w:tc>
        <w:tc>
          <w:tcPr>
            <w:tcW w:w="779"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11.9</w:t>
            </w:r>
          </w:p>
        </w:tc>
      </w:tr>
    </w:tbl>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商业贸易                       （02月份）</w:t>
      </w:r>
    </w:p>
    <w:tbl>
      <w:tblPr>
        <w:tblStyle w:val="10"/>
        <w:tblW w:w="5000" w:type="pct"/>
        <w:tblInd w:w="0" w:type="dxa"/>
        <w:tblLayout w:type="autofit"/>
        <w:tblCellMar>
          <w:top w:w="0" w:type="dxa"/>
          <w:left w:w="108" w:type="dxa"/>
          <w:bottom w:w="0" w:type="dxa"/>
          <w:right w:w="108" w:type="dxa"/>
        </w:tblCellMar>
      </w:tblPr>
      <w:tblGrid>
        <w:gridCol w:w="3012"/>
        <w:gridCol w:w="705"/>
        <w:gridCol w:w="1006"/>
        <w:gridCol w:w="822"/>
      </w:tblGrid>
      <w:tr>
        <w:tblPrEx>
          <w:tblCellMar>
            <w:top w:w="0" w:type="dxa"/>
            <w:left w:w="108" w:type="dxa"/>
            <w:bottom w:w="0" w:type="dxa"/>
            <w:right w:w="108" w:type="dxa"/>
          </w:tblCellMar>
        </w:tblPrEx>
        <w:trPr>
          <w:trHeight w:val="414" w:hRule="exact"/>
        </w:trPr>
        <w:tc>
          <w:tcPr>
            <w:tcW w:w="27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74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409" w:hRule="exact"/>
        </w:trPr>
        <w:tc>
          <w:tcPr>
            <w:tcW w:w="2716" w:type="pct"/>
            <w:tcBorders>
              <w:top w:val="single" w:color="auto" w:sz="4" w:space="0"/>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限额以上单位社会消费品零售总额</w:t>
            </w:r>
          </w:p>
        </w:tc>
        <w:tc>
          <w:tcPr>
            <w:tcW w:w="636"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4.24</w:t>
            </w:r>
          </w:p>
        </w:tc>
        <w:tc>
          <w:tcPr>
            <w:tcW w:w="741"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74.6</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限额以上企业社会消费品零售额</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3.51</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80.4</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#批发业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1.62</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179.5</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零售业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1.66</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38.1</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0.09</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56.3</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28.8</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限额以上个体社会消费品零售额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0.73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51.4</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#零售业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0.41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32.2</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0.12</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90.6</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0.20</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84.8</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限额以上单位批发业商品销售额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16.31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171.1</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160" w:firstLineChars="100"/>
              <w:rPr>
                <w:rFonts w:ascii="宋体" w:hAnsi="宋体" w:cstheme="minorBidi"/>
                <w:kern w:val="0"/>
                <w:sz w:val="16"/>
                <w:szCs w:val="16"/>
              </w:rPr>
            </w:pP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16.31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171.1</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限额以上单位零售业商品销售额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2.09</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36.6</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b/>
                <w:kern w:val="0"/>
                <w:sz w:val="16"/>
                <w:szCs w:val="16"/>
              </w:rPr>
              <w:t xml:space="preserve">  </w:t>
            </w: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1.68</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37.7</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40" w:firstLineChars="150"/>
              <w:rPr>
                <w:rFonts w:ascii="宋体" w:hAnsi="宋体" w:cstheme="minorBidi"/>
                <w:kern w:val="0"/>
                <w:sz w:val="16"/>
                <w:szCs w:val="16"/>
              </w:rPr>
            </w:pPr>
            <w:r>
              <w:rPr>
                <w:rFonts w:hint="eastAsia" w:ascii="宋体" w:hAnsi="宋体" w:cstheme="minorBidi"/>
                <w:kern w:val="0"/>
                <w:sz w:val="16"/>
                <w:szCs w:val="16"/>
              </w:rPr>
              <w:t>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0.41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32.2</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限额以上单位住宿业营业收入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0.27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54.7</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0.13</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60.5</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49.5</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限额以上单位餐饮业营业收入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0.35</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56.4</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30.8</w:t>
            </w:r>
          </w:p>
        </w:tc>
      </w:tr>
      <w:tr>
        <w:tblPrEx>
          <w:tblCellMar>
            <w:top w:w="0" w:type="dxa"/>
            <w:left w:w="108" w:type="dxa"/>
            <w:bottom w:w="0" w:type="dxa"/>
            <w:right w:w="108" w:type="dxa"/>
          </w:tblCellMar>
        </w:tblPrEx>
        <w:trPr>
          <w:trHeight w:val="344" w:hRule="exact"/>
        </w:trPr>
        <w:tc>
          <w:tcPr>
            <w:tcW w:w="2716"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0.21</w:t>
            </w:r>
          </w:p>
        </w:tc>
        <w:tc>
          <w:tcPr>
            <w:tcW w:w="74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81.2</w:t>
            </w:r>
          </w:p>
        </w:tc>
      </w:tr>
    </w:tbl>
    <w:p>
      <w:pPr>
        <w:widowControl/>
        <w:adjustRightInd w:val="0"/>
        <w:snapToGrid w:val="0"/>
        <w:spacing w:line="16" w:lineRule="atLeast"/>
        <w:rPr>
          <w:rFonts w:ascii="宋体" w:hAnsi="宋体" w:cstheme="minorBidi"/>
          <w:spacing w:val="-8"/>
          <w:kern w:val="0"/>
          <w:sz w:val="15"/>
          <w:szCs w:val="15"/>
        </w:rPr>
      </w:pPr>
      <w:r>
        <w:rPr>
          <w:rFonts w:hint="eastAsia" w:ascii="宋体" w:hAnsi="宋体" w:cstheme="minorBidi"/>
          <w:spacing w:val="-8"/>
          <w:kern w:val="0"/>
          <w:sz w:val="15"/>
          <w:szCs w:val="15"/>
        </w:rPr>
        <w:t>注：根据国家统计局商贸统计制度，商贸全口径数据调整为季报，月度数据为限额以上企业、个体数据。</w:t>
      </w:r>
    </w:p>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横向对比资料</w:t>
      </w:r>
    </w:p>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重庆市-石柱县                  （02月份）</w:t>
      </w:r>
    </w:p>
    <w:tbl>
      <w:tblPr>
        <w:tblStyle w:val="10"/>
        <w:tblW w:w="5000" w:type="pct"/>
        <w:tblInd w:w="0" w:type="dxa"/>
        <w:tblLayout w:type="autofit"/>
        <w:tblCellMar>
          <w:top w:w="0" w:type="dxa"/>
          <w:left w:w="108" w:type="dxa"/>
          <w:bottom w:w="0" w:type="dxa"/>
          <w:right w:w="108" w:type="dxa"/>
        </w:tblCellMar>
      </w:tblPr>
      <w:tblGrid>
        <w:gridCol w:w="2549"/>
        <w:gridCol w:w="576"/>
        <w:gridCol w:w="1177"/>
        <w:gridCol w:w="1243"/>
      </w:tblGrid>
      <w:tr>
        <w:tblPrEx>
          <w:tblCellMar>
            <w:top w:w="0" w:type="dxa"/>
            <w:left w:w="108" w:type="dxa"/>
            <w:bottom w:w="0" w:type="dxa"/>
            <w:right w:w="108" w:type="dxa"/>
          </w:tblCellMar>
        </w:tblPrEx>
        <w:trPr>
          <w:trHeight w:val="571" w:hRule="exact"/>
        </w:trPr>
        <w:tc>
          <w:tcPr>
            <w:tcW w:w="229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6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重庆市(%)</w:t>
            </w:r>
          </w:p>
        </w:tc>
        <w:tc>
          <w:tcPr>
            <w:tcW w:w="11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石柱县(%)</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规模以上工业产值</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25.6</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(增幅为可比价)</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56.7</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未反馈</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52.4</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198.0</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#建安投资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54.1</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183.9</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r>
              <w:rPr>
                <w:rFonts w:hint="eastAsia" w:eastAsia="微软雅黑"/>
                <w:kern w:val="0"/>
                <w:sz w:val="20"/>
                <w:szCs w:val="20"/>
              </w:rPr>
              <w:t>99.4</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98.8</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社会消费品零售总额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r>
              <w:rPr>
                <w:rFonts w:eastAsia="微软雅黑"/>
                <w:kern w:val="0"/>
                <w:sz w:val="20"/>
                <w:szCs w:val="20"/>
              </w:rPr>
              <w:t>48.5</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r>
              <w:rPr>
                <w:spacing w:val="-10"/>
                <w:kern w:val="0"/>
                <w:sz w:val="13"/>
                <w:szCs w:val="13"/>
              </w:rPr>
              <w:t>（限上单位）</w:t>
            </w:r>
            <w:r>
              <w:rPr>
                <w:rFonts w:hint="eastAsia"/>
                <w:spacing w:val="-10"/>
                <w:kern w:val="0"/>
                <w:sz w:val="20"/>
                <w:szCs w:val="20"/>
              </w:rPr>
              <w:t>74.6</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24.1</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27.8</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28.2</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37.3</w:t>
            </w: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42.9</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p>
        </w:tc>
        <w:tc>
          <w:tcPr>
            <w:tcW w:w="11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7.3</w:t>
            </w:r>
          </w:p>
        </w:tc>
      </w:tr>
      <w:tr>
        <w:tblPrEx>
          <w:tblCellMar>
            <w:top w:w="0" w:type="dxa"/>
            <w:left w:w="108" w:type="dxa"/>
            <w:bottom w:w="0" w:type="dxa"/>
            <w:right w:w="108" w:type="dxa"/>
          </w:tblCellMar>
        </w:tblPrEx>
        <w:trPr>
          <w:trHeight w:val="663" w:hRule="exact"/>
        </w:trPr>
        <w:tc>
          <w:tcPr>
            <w:tcW w:w="2298"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住户存款</w:t>
            </w:r>
            <w:r>
              <w:rPr>
                <w:rFonts w:hint="eastAsia" w:ascii="宋体" w:hAnsi="宋体" w:cs="宋体"/>
                <w:spacing w:val="-6"/>
                <w:kern w:val="0"/>
                <w:sz w:val="18"/>
                <w:szCs w:val="18"/>
              </w:rPr>
              <w:t>(同比)</w:t>
            </w:r>
          </w:p>
        </w:tc>
        <w:tc>
          <w:tcPr>
            <w:tcW w:w="519"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w:t>
            </w:r>
          </w:p>
        </w:tc>
        <w:tc>
          <w:tcPr>
            <w:tcW w:w="11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12.1</w:t>
            </w:r>
          </w:p>
        </w:tc>
      </w:tr>
      <w:tr>
        <w:tblPrEx>
          <w:tblCellMar>
            <w:top w:w="0" w:type="dxa"/>
            <w:left w:w="108" w:type="dxa"/>
            <w:bottom w:w="0" w:type="dxa"/>
            <w:right w:w="108" w:type="dxa"/>
          </w:tblCellMar>
        </w:tblPrEx>
        <w:trPr>
          <w:trHeight w:val="529" w:hRule="exact"/>
        </w:trPr>
        <w:tc>
          <w:tcPr>
            <w:tcW w:w="229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1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6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p>
        </w:tc>
        <w:tc>
          <w:tcPr>
            <w:tcW w:w="112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0.5</w:t>
            </w:r>
          </w:p>
        </w:tc>
      </w:tr>
    </w:tbl>
    <w:p>
      <w:pPr>
        <w:spacing w:line="300" w:lineRule="exact"/>
        <w:jc w:val="center"/>
        <w:rPr>
          <w:b/>
          <w:szCs w:val="21"/>
        </w:rPr>
      </w:pPr>
      <w:r>
        <w:rPr>
          <w:rFonts w:hint="eastAsia"/>
          <w:b/>
          <w:szCs w:val="21"/>
        </w:rPr>
        <w:t>2021年1-2月区县房地产开发投资增速（一）</w:t>
      </w:r>
    </w:p>
    <w:tbl>
      <w:tblPr>
        <w:tblStyle w:val="10"/>
        <w:tblW w:w="5000" w:type="pct"/>
        <w:tblInd w:w="0" w:type="dxa"/>
        <w:tblLayout w:type="autofit"/>
        <w:tblCellMar>
          <w:top w:w="0" w:type="dxa"/>
          <w:left w:w="108" w:type="dxa"/>
          <w:bottom w:w="0" w:type="dxa"/>
          <w:right w:w="108" w:type="dxa"/>
        </w:tblCellMar>
      </w:tblPr>
      <w:tblGrid>
        <w:gridCol w:w="1817"/>
        <w:gridCol w:w="1561"/>
        <w:gridCol w:w="991"/>
        <w:gridCol w:w="1176"/>
      </w:tblGrid>
      <w:tr>
        <w:tblPrEx>
          <w:tblCellMar>
            <w:top w:w="0" w:type="dxa"/>
            <w:left w:w="108" w:type="dxa"/>
            <w:bottom w:w="0" w:type="dxa"/>
            <w:right w:w="108" w:type="dxa"/>
          </w:tblCellMar>
        </w:tblPrEx>
        <w:trPr>
          <w:trHeight w:val="704" w:hRule="atLeast"/>
        </w:trPr>
        <w:tc>
          <w:tcPr>
            <w:tcW w:w="163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94"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06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63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黔江区 </w:t>
            </w:r>
          </w:p>
        </w:tc>
        <w:tc>
          <w:tcPr>
            <w:tcW w:w="140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303.3</w:t>
            </w:r>
          </w:p>
        </w:tc>
        <w:tc>
          <w:tcPr>
            <w:tcW w:w="894" w:type="pct"/>
            <w:tcBorders>
              <w:top w:val="single" w:color="auto" w:sz="4" w:space="0"/>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3</w:t>
            </w:r>
          </w:p>
        </w:tc>
        <w:tc>
          <w:tcPr>
            <w:tcW w:w="1060" w:type="pct"/>
            <w:tcBorders>
              <w:top w:val="single" w:color="auto" w:sz="4" w:space="0"/>
              <w:left w:val="single" w:color="auto" w:sz="4" w:space="0"/>
              <w:right w:val="single" w:color="auto" w:sz="4" w:space="0"/>
            </w:tcBorders>
            <w:vAlign w:val="center"/>
          </w:tcPr>
          <w:p>
            <w:pPr>
              <w:widowControl/>
              <w:spacing w:line="240" w:lineRule="exact"/>
              <w:jc w:val="right"/>
              <w:rPr>
                <w:color w:val="0C0C0C" w:themeColor="text1" w:themeTint="F2"/>
                <w:kern w:val="0"/>
                <w:sz w:val="20"/>
                <w:szCs w:val="20"/>
              </w:rPr>
            </w:pPr>
            <w:r>
              <w:rPr>
                <w:rFonts w:hint="eastAsia"/>
                <w:color w:val="0C0C0C" w:themeColor="text1" w:themeTint="F2"/>
                <w:kern w:val="0"/>
                <w:sz w:val="20"/>
                <w:szCs w:val="20"/>
              </w:rPr>
              <w:t>1</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武隆区 </w:t>
            </w:r>
          </w:p>
        </w:tc>
        <w:tc>
          <w:tcPr>
            <w:tcW w:w="1408"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84.9</w:t>
            </w:r>
          </w:p>
        </w:tc>
        <w:tc>
          <w:tcPr>
            <w:tcW w:w="894"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14</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rFonts w:hint="eastAsia"/>
                <w:color w:val="0C0C0C" w:themeColor="text1" w:themeTint="F2"/>
                <w:kern w:val="0"/>
                <w:sz w:val="20"/>
                <w:szCs w:val="20"/>
              </w:rPr>
              <w:t>5</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kern w:val="0"/>
                <w:sz w:val="20"/>
                <w:szCs w:val="20"/>
              </w:rPr>
            </w:pPr>
            <w:r>
              <w:rPr>
                <w:rFonts w:hint="eastAsia" w:ascii="宋体" w:hAnsi="宋体" w:cs="宋体"/>
                <w:b/>
                <w:kern w:val="0"/>
                <w:sz w:val="20"/>
                <w:szCs w:val="20"/>
              </w:rPr>
              <w:t xml:space="preserve"> 石柱县 </w:t>
            </w:r>
          </w:p>
        </w:tc>
        <w:tc>
          <w:tcPr>
            <w:tcW w:w="1408" w:type="pct"/>
            <w:tcBorders>
              <w:left w:val="nil"/>
              <w:right w:val="single" w:color="auto" w:sz="4" w:space="0"/>
            </w:tcBorders>
            <w:shd w:val="clear" w:color="auto" w:fill="auto"/>
            <w:noWrap/>
            <w:vAlign w:val="center"/>
          </w:tcPr>
          <w:p>
            <w:pPr>
              <w:widowControl/>
              <w:spacing w:line="240" w:lineRule="exact"/>
              <w:jc w:val="right"/>
              <w:rPr>
                <w:b/>
                <w:kern w:val="0"/>
                <w:sz w:val="20"/>
                <w:szCs w:val="20"/>
              </w:rPr>
            </w:pPr>
            <w:r>
              <w:rPr>
                <w:b/>
                <w:kern w:val="0"/>
                <w:sz w:val="20"/>
                <w:szCs w:val="20"/>
              </w:rPr>
              <w:t>13.9</w:t>
            </w:r>
          </w:p>
        </w:tc>
        <w:tc>
          <w:tcPr>
            <w:tcW w:w="894" w:type="pct"/>
            <w:tcBorders>
              <w:left w:val="nil"/>
              <w:right w:val="single" w:color="auto" w:sz="4" w:space="0"/>
            </w:tcBorders>
            <w:vAlign w:val="center"/>
          </w:tcPr>
          <w:p>
            <w:pPr>
              <w:widowControl/>
              <w:spacing w:line="240" w:lineRule="exact"/>
              <w:jc w:val="right"/>
              <w:rPr>
                <w:b/>
                <w:kern w:val="0"/>
                <w:sz w:val="20"/>
                <w:szCs w:val="20"/>
              </w:rPr>
            </w:pPr>
            <w:r>
              <w:rPr>
                <w:b/>
                <w:kern w:val="0"/>
                <w:sz w:val="20"/>
                <w:szCs w:val="20"/>
              </w:rPr>
              <w:t>35</w:t>
            </w:r>
          </w:p>
        </w:tc>
        <w:tc>
          <w:tcPr>
            <w:tcW w:w="1060" w:type="pct"/>
            <w:tcBorders>
              <w:left w:val="nil"/>
              <w:right w:val="single" w:color="auto" w:sz="4" w:space="0"/>
            </w:tcBorders>
            <w:vAlign w:val="center"/>
          </w:tcPr>
          <w:p>
            <w:pPr>
              <w:widowControl/>
              <w:spacing w:line="240" w:lineRule="exact"/>
              <w:jc w:val="right"/>
              <w:rPr>
                <w:b/>
                <w:color w:val="0C0C0C" w:themeColor="text1" w:themeTint="F2"/>
                <w:kern w:val="0"/>
                <w:sz w:val="20"/>
                <w:szCs w:val="20"/>
              </w:rPr>
            </w:pPr>
            <w:r>
              <w:rPr>
                <w:rFonts w:hint="eastAsia"/>
                <w:b/>
                <w:color w:val="0C0C0C" w:themeColor="text1" w:themeTint="F2"/>
                <w:kern w:val="0"/>
                <w:sz w:val="20"/>
                <w:szCs w:val="20"/>
              </w:rPr>
              <w:t>6</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秀山县 </w:t>
            </w:r>
          </w:p>
        </w:tc>
        <w:tc>
          <w:tcPr>
            <w:tcW w:w="1408"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103.8</w:t>
            </w:r>
          </w:p>
        </w:tc>
        <w:tc>
          <w:tcPr>
            <w:tcW w:w="894"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12</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rFonts w:hint="eastAsia"/>
                <w:color w:val="0C0C0C" w:themeColor="text1" w:themeTint="F2"/>
                <w:kern w:val="0"/>
                <w:sz w:val="20"/>
                <w:szCs w:val="20"/>
              </w:rPr>
              <w:t>3</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酉阳县 </w:t>
            </w:r>
          </w:p>
        </w:tc>
        <w:tc>
          <w:tcPr>
            <w:tcW w:w="1408"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174.3</w:t>
            </w:r>
          </w:p>
        </w:tc>
        <w:tc>
          <w:tcPr>
            <w:tcW w:w="894"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9</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rFonts w:hint="eastAsia"/>
                <w:color w:val="0C0C0C" w:themeColor="text1" w:themeTint="F2"/>
                <w:kern w:val="0"/>
                <w:sz w:val="20"/>
                <w:szCs w:val="20"/>
              </w:rPr>
              <w:t>2</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彭水县 </w:t>
            </w:r>
          </w:p>
        </w:tc>
        <w:tc>
          <w:tcPr>
            <w:tcW w:w="1408"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97.6</w:t>
            </w:r>
          </w:p>
        </w:tc>
        <w:tc>
          <w:tcPr>
            <w:tcW w:w="894"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13</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rFonts w:hint="eastAsia"/>
                <w:color w:val="0C0C0C" w:themeColor="text1" w:themeTint="F2"/>
                <w:kern w:val="0"/>
                <w:sz w:val="20"/>
                <w:szCs w:val="20"/>
              </w:rPr>
              <w:t>4</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万州区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50.5</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开州区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42.7</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梁平区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60.7</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城口县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962.3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丰都县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72.7</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17</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垫江县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70.0</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忠  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163.7</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云阳县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57.2</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奉节县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225.2</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巫山县 </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299.3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c>
          <w:tcPr>
            <w:tcW w:w="1060" w:type="pct"/>
            <w:tcBorders>
              <w:left w:val="nil"/>
              <w:right w:val="single" w:color="auto" w:sz="4" w:space="0"/>
            </w:tcBorders>
            <w:vAlign w:val="center"/>
          </w:tcPr>
          <w:p>
            <w:pPr>
              <w:widowControl/>
              <w:spacing w:line="240" w:lineRule="exact"/>
              <w:jc w:val="right"/>
              <w:rPr>
                <w:b/>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巫溪县 </w:t>
            </w:r>
          </w:p>
        </w:tc>
        <w:tc>
          <w:tcPr>
            <w:tcW w:w="1408"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1112.8</w:t>
            </w:r>
          </w:p>
        </w:tc>
        <w:tc>
          <w:tcPr>
            <w:tcW w:w="894"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w:t>
            </w:r>
          </w:p>
        </w:tc>
        <w:tc>
          <w:tcPr>
            <w:tcW w:w="1060" w:type="pct"/>
            <w:tcBorders>
              <w:left w:val="nil"/>
              <w:bottom w:val="single" w:color="auto" w:sz="4" w:space="0"/>
              <w:right w:val="single" w:color="auto" w:sz="4" w:space="0"/>
            </w:tcBorders>
            <w:vAlign w:val="center"/>
          </w:tcPr>
          <w:p>
            <w:pPr>
              <w:widowControl/>
              <w:spacing w:line="240" w:lineRule="exact"/>
              <w:jc w:val="right"/>
              <w:rPr>
                <w:color w:val="0C0C0C" w:themeColor="text1" w:themeTint="F2"/>
                <w:kern w:val="0"/>
                <w:sz w:val="20"/>
                <w:szCs w:val="20"/>
              </w:rPr>
            </w:pPr>
          </w:p>
        </w:tc>
      </w:tr>
    </w:tbl>
    <w:p>
      <w:pPr>
        <w:spacing w:line="300" w:lineRule="exact"/>
        <w:jc w:val="center"/>
        <w:rPr>
          <w:b/>
          <w:szCs w:val="21"/>
        </w:rPr>
      </w:pPr>
      <w:r>
        <w:rPr>
          <w:rFonts w:hint="eastAsia"/>
          <w:b/>
          <w:szCs w:val="21"/>
        </w:rPr>
        <w:t>2021年1-2月区县房地产开发投资增速（二）</w:t>
      </w:r>
    </w:p>
    <w:tbl>
      <w:tblPr>
        <w:tblStyle w:val="10"/>
        <w:tblW w:w="5000" w:type="pct"/>
        <w:tblInd w:w="0" w:type="dxa"/>
        <w:tblLayout w:type="autofit"/>
        <w:tblCellMar>
          <w:top w:w="0" w:type="dxa"/>
          <w:left w:w="108" w:type="dxa"/>
          <w:bottom w:w="0" w:type="dxa"/>
          <w:right w:w="108" w:type="dxa"/>
        </w:tblCellMar>
      </w:tblPr>
      <w:tblGrid>
        <w:gridCol w:w="1809"/>
        <w:gridCol w:w="2189"/>
        <w:gridCol w:w="1547"/>
      </w:tblGrid>
      <w:tr>
        <w:tblPrEx>
          <w:tblCellMar>
            <w:top w:w="0" w:type="dxa"/>
            <w:left w:w="108" w:type="dxa"/>
            <w:bottom w:w="0" w:type="dxa"/>
            <w:right w:w="108" w:type="dxa"/>
          </w:tblCellMar>
        </w:tblPrEx>
        <w:trPr>
          <w:trHeight w:val="577" w:hRule="atLeast"/>
        </w:trPr>
        <w:tc>
          <w:tcPr>
            <w:tcW w:w="1631"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974"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631"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涪陵区 </w:t>
            </w:r>
          </w:p>
        </w:tc>
        <w:tc>
          <w:tcPr>
            <w:tcW w:w="1974"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39.9</w:t>
            </w:r>
          </w:p>
        </w:tc>
        <w:tc>
          <w:tcPr>
            <w:tcW w:w="1395"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渝中区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大渡口区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56.3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江北区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沙坪坝区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62.5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九龙坡区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73.1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南岸区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40.5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北碚区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79.6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渝北区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巴南区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50.7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长寿区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江津区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41.4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合川区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51.4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永川区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45.6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南川区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綦江区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138.7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大足区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43.0</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璧山区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39.8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铜梁区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269.7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潼南区 </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235.5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4" w:hRule="exact"/>
        </w:trPr>
        <w:tc>
          <w:tcPr>
            <w:tcW w:w="1631"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荣昌区 </w:t>
            </w:r>
          </w:p>
        </w:tc>
        <w:tc>
          <w:tcPr>
            <w:tcW w:w="1974"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215.9</w:t>
            </w:r>
          </w:p>
        </w:tc>
        <w:tc>
          <w:tcPr>
            <w:tcW w:w="139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r>
    </w:tbl>
    <w:p>
      <w:pPr>
        <w:spacing w:line="300" w:lineRule="exact"/>
        <w:jc w:val="center"/>
        <w:rPr>
          <w:b/>
        </w:rPr>
      </w:pPr>
      <w:r>
        <w:rPr>
          <w:rFonts w:hint="eastAsia"/>
          <w:b/>
        </w:rPr>
        <w:t>2021年1-2月区县</w:t>
      </w:r>
      <w:r>
        <w:rPr>
          <w:rFonts w:hint="eastAsia"/>
          <w:b/>
          <w:szCs w:val="21"/>
        </w:rPr>
        <w:t>商品房销售面积及增速</w:t>
      </w:r>
      <w:r>
        <w:rPr>
          <w:rFonts w:hint="eastAsia"/>
          <w:b/>
        </w:rPr>
        <w:t>（一）</w:t>
      </w:r>
    </w:p>
    <w:tbl>
      <w:tblPr>
        <w:tblStyle w:val="10"/>
        <w:tblW w:w="5000" w:type="pct"/>
        <w:tblInd w:w="0" w:type="dxa"/>
        <w:tblLayout w:type="autofit"/>
        <w:tblCellMar>
          <w:top w:w="0" w:type="dxa"/>
          <w:left w:w="108" w:type="dxa"/>
          <w:bottom w:w="0" w:type="dxa"/>
          <w:right w:w="108" w:type="dxa"/>
        </w:tblCellMar>
      </w:tblPr>
      <w:tblGrid>
        <w:gridCol w:w="1307"/>
        <w:gridCol w:w="1481"/>
        <w:gridCol w:w="816"/>
        <w:gridCol w:w="973"/>
        <w:gridCol w:w="968"/>
      </w:tblGrid>
      <w:tr>
        <w:tblPrEx>
          <w:tblCellMar>
            <w:top w:w="0" w:type="dxa"/>
            <w:left w:w="108" w:type="dxa"/>
            <w:bottom w:w="0" w:type="dxa"/>
            <w:right w:w="108" w:type="dxa"/>
          </w:tblCellMar>
        </w:tblPrEx>
        <w:trPr>
          <w:trHeight w:val="232" w:hRule="atLeast"/>
        </w:trPr>
        <w:tc>
          <w:tcPr>
            <w:tcW w:w="1179"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335"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商品房销售面积 </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(万平方米)</w:t>
            </w:r>
          </w:p>
        </w:tc>
        <w:tc>
          <w:tcPr>
            <w:tcW w:w="736"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750"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79"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3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79"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黔江区 </w:t>
            </w:r>
          </w:p>
        </w:tc>
        <w:tc>
          <w:tcPr>
            <w:tcW w:w="1335"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7.34</w:t>
            </w:r>
          </w:p>
        </w:tc>
        <w:tc>
          <w:tcPr>
            <w:tcW w:w="736"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37.9</w:t>
            </w:r>
          </w:p>
        </w:tc>
        <w:tc>
          <w:tcPr>
            <w:tcW w:w="877" w:type="pct"/>
            <w:tcBorders>
              <w:top w:val="single" w:color="auto" w:sz="4" w:space="0"/>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29</w:t>
            </w:r>
          </w:p>
        </w:tc>
        <w:tc>
          <w:tcPr>
            <w:tcW w:w="873" w:type="pct"/>
            <w:tcBorders>
              <w:top w:val="single" w:color="auto" w:sz="4" w:space="0"/>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4</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武隆区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1.10</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22.8</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35</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5</w:t>
            </w:r>
          </w:p>
        </w:tc>
      </w:tr>
      <w:tr>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kern w:val="0"/>
                <w:sz w:val="20"/>
                <w:szCs w:val="20"/>
              </w:rPr>
            </w:pPr>
            <w:r>
              <w:rPr>
                <w:rFonts w:hint="eastAsia" w:ascii="宋体" w:hAnsi="宋体" w:cs="宋体"/>
                <w:b/>
                <w:kern w:val="0"/>
                <w:sz w:val="20"/>
                <w:szCs w:val="20"/>
              </w:rPr>
              <w:t xml:space="preserve"> 石柱县 </w:t>
            </w:r>
          </w:p>
        </w:tc>
        <w:tc>
          <w:tcPr>
            <w:tcW w:w="1335" w:type="pct"/>
            <w:tcBorders>
              <w:left w:val="nil"/>
              <w:right w:val="single" w:color="auto" w:sz="4" w:space="0"/>
            </w:tcBorders>
            <w:shd w:val="clear" w:color="auto" w:fill="auto"/>
            <w:noWrap/>
            <w:vAlign w:val="center"/>
          </w:tcPr>
          <w:p>
            <w:pPr>
              <w:widowControl/>
              <w:spacing w:line="240" w:lineRule="exact"/>
              <w:jc w:val="right"/>
              <w:rPr>
                <w:b/>
                <w:kern w:val="0"/>
                <w:sz w:val="20"/>
                <w:szCs w:val="20"/>
              </w:rPr>
            </w:pPr>
            <w:r>
              <w:rPr>
                <w:b/>
                <w:kern w:val="0"/>
                <w:sz w:val="20"/>
                <w:szCs w:val="20"/>
              </w:rPr>
              <w:t>8.22</w:t>
            </w:r>
          </w:p>
        </w:tc>
        <w:tc>
          <w:tcPr>
            <w:tcW w:w="736" w:type="pct"/>
            <w:tcBorders>
              <w:left w:val="nil"/>
              <w:right w:val="single" w:color="auto" w:sz="4" w:space="0"/>
            </w:tcBorders>
            <w:shd w:val="clear" w:color="auto" w:fill="auto"/>
            <w:noWrap/>
            <w:vAlign w:val="center"/>
          </w:tcPr>
          <w:p>
            <w:pPr>
              <w:widowControl/>
              <w:spacing w:line="240" w:lineRule="exact"/>
              <w:jc w:val="right"/>
              <w:rPr>
                <w:b/>
                <w:kern w:val="0"/>
                <w:sz w:val="20"/>
                <w:szCs w:val="20"/>
              </w:rPr>
            </w:pPr>
            <w:r>
              <w:rPr>
                <w:b/>
                <w:kern w:val="0"/>
                <w:sz w:val="20"/>
                <w:szCs w:val="20"/>
              </w:rPr>
              <w:t>98.8</w:t>
            </w:r>
          </w:p>
        </w:tc>
        <w:tc>
          <w:tcPr>
            <w:tcW w:w="877" w:type="pct"/>
            <w:tcBorders>
              <w:left w:val="nil"/>
              <w:right w:val="single" w:color="auto" w:sz="4" w:space="0"/>
            </w:tcBorders>
            <w:vAlign w:val="center"/>
          </w:tcPr>
          <w:p>
            <w:pPr>
              <w:widowControl/>
              <w:spacing w:line="240" w:lineRule="exact"/>
              <w:jc w:val="right"/>
              <w:rPr>
                <w:b/>
                <w:kern w:val="0"/>
                <w:sz w:val="20"/>
                <w:szCs w:val="20"/>
              </w:rPr>
            </w:pPr>
            <w:r>
              <w:rPr>
                <w:b/>
                <w:kern w:val="0"/>
                <w:sz w:val="20"/>
                <w:szCs w:val="20"/>
              </w:rPr>
              <w:t>20</w:t>
            </w:r>
          </w:p>
        </w:tc>
        <w:tc>
          <w:tcPr>
            <w:tcW w:w="873" w:type="pct"/>
            <w:tcBorders>
              <w:left w:val="single" w:color="auto" w:sz="4" w:space="0"/>
              <w:right w:val="single" w:color="auto" w:sz="4" w:space="0"/>
            </w:tcBorders>
            <w:vAlign w:val="center"/>
          </w:tcPr>
          <w:p>
            <w:pPr>
              <w:widowControl/>
              <w:spacing w:line="240" w:lineRule="exact"/>
              <w:jc w:val="right"/>
              <w:rPr>
                <w:b/>
                <w:kern w:val="0"/>
                <w:sz w:val="20"/>
                <w:szCs w:val="20"/>
              </w:rPr>
            </w:pPr>
            <w:r>
              <w:rPr>
                <w:b/>
                <w:kern w:val="0"/>
                <w:sz w:val="20"/>
                <w:szCs w:val="20"/>
              </w:rPr>
              <w:t>3</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秀山县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6.35</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20.8</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36</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6</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酉阳县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1.24</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395.0</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2</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1</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 xml:space="preserve"> 彭水县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9.66</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109.6</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17</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2</w:t>
            </w:r>
          </w:p>
        </w:tc>
      </w:tr>
      <w:tr>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万州区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23.19</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241.6</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开州区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18.94</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183.6</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梁平区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14.97</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32.1</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城口县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1.19</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同期无</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丰都县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10.50</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78.8</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垫江县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14.32</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98.1</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忠  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12.78</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67.4</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云阳县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17.34</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156.3</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13</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奉节县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6.83</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281.8</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巫山县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8.83</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302.3</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c>
          <w:tcPr>
            <w:tcW w:w="873" w:type="pct"/>
            <w:tcBorders>
              <w:left w:val="single" w:color="auto" w:sz="4" w:space="0"/>
              <w:right w:val="single" w:color="auto" w:sz="4" w:space="0"/>
            </w:tcBorders>
            <w:vAlign w:val="center"/>
          </w:tcPr>
          <w:p>
            <w:pPr>
              <w:spacing w:line="240" w:lineRule="exact"/>
              <w:jc w:val="right"/>
              <w:rPr>
                <w:rFonts w:eastAsia="等线"/>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巫溪县 </w:t>
            </w:r>
          </w:p>
        </w:tc>
        <w:tc>
          <w:tcPr>
            <w:tcW w:w="133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3.73</w:t>
            </w:r>
          </w:p>
        </w:tc>
        <w:tc>
          <w:tcPr>
            <w:tcW w:w="736"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766.1</w:t>
            </w:r>
          </w:p>
        </w:tc>
        <w:tc>
          <w:tcPr>
            <w:tcW w:w="877"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w:t>
            </w:r>
          </w:p>
        </w:tc>
        <w:tc>
          <w:tcPr>
            <w:tcW w:w="873" w:type="pct"/>
            <w:tcBorders>
              <w:left w:val="single" w:color="auto" w:sz="4" w:space="0"/>
              <w:bottom w:val="single" w:color="auto" w:sz="4" w:space="0"/>
              <w:right w:val="single" w:color="auto" w:sz="4" w:space="0"/>
            </w:tcBorders>
            <w:vAlign w:val="center"/>
          </w:tcPr>
          <w:p>
            <w:pPr>
              <w:spacing w:line="240" w:lineRule="exact"/>
              <w:jc w:val="right"/>
              <w:rPr>
                <w:rFonts w:eastAsia="等线"/>
                <w:color w:val="000000"/>
                <w:sz w:val="20"/>
                <w:szCs w:val="20"/>
              </w:rPr>
            </w:pPr>
          </w:p>
        </w:tc>
      </w:tr>
    </w:tbl>
    <w:p>
      <w:pPr>
        <w:spacing w:line="300" w:lineRule="exact"/>
        <w:jc w:val="center"/>
        <w:rPr>
          <w:b/>
        </w:rPr>
      </w:pPr>
      <w:r>
        <w:rPr>
          <w:rFonts w:hint="eastAsia"/>
          <w:b/>
        </w:rPr>
        <w:t>2021年1-2月区县商品房销售面积及增速（二）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商品房销售面积  (万平方米)</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涪陵区 </w:t>
            </w:r>
          </w:p>
        </w:tc>
        <w:tc>
          <w:tcPr>
            <w:tcW w:w="1415"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15.07</w:t>
            </w:r>
          </w:p>
        </w:tc>
        <w:tc>
          <w:tcPr>
            <w:tcW w:w="107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30.4</w:t>
            </w:r>
          </w:p>
        </w:tc>
        <w:tc>
          <w:tcPr>
            <w:tcW w:w="1065" w:type="pct"/>
            <w:tcBorders>
              <w:top w:val="single" w:color="auto" w:sz="4" w:space="0"/>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渝中区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7.16</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23.3</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大渡口区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16.44</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57.5</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江北区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7.58</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322.2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沙坪坝区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33.73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223.4</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九龙坡区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12.29</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253.0</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南岸区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11.17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298.1</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北碚区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17.97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194.4</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渝北区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40.28</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143.2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巴南区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55.00</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147.0</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长寿区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14.21</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9.4</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江津区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43.55</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55.3</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合川区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14.24</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48.8</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永川区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22.93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48.5</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南川区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10.90</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32.1</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綦江区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21.13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149.0</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大足区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27.57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32.2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璧山区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35.36</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106.7</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铜梁区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14.55</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286.0</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潼南区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33.20</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78.1</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 荣昌区 </w:t>
            </w:r>
          </w:p>
        </w:tc>
        <w:tc>
          <w:tcPr>
            <w:tcW w:w="141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21.59</w:t>
            </w:r>
          </w:p>
        </w:tc>
        <w:tc>
          <w:tcPr>
            <w:tcW w:w="1079"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102.9</w:t>
            </w:r>
          </w:p>
        </w:tc>
        <w:tc>
          <w:tcPr>
            <w:tcW w:w="106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r>
    </w:tbl>
    <w:p>
      <w:pPr>
        <w:rPr>
          <w:rFonts w:ascii="宋体" w:hAnsi="宋体"/>
          <w:sz w:val="18"/>
          <w:szCs w:val="18"/>
        </w:rPr>
      </w:pPr>
    </w:p>
    <w:sectPr>
      <w:footerReference r:id="rId3" w:type="default"/>
      <w:pgSz w:w="7031" w:h="10773"/>
      <w:pgMar w:top="680" w:right="851" w:bottom="244" w:left="851" w:header="567" w:footer="34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等线">
    <w:altName w:val="汉仪仿宋S"/>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- 12 -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C1A"/>
    <w:rsid w:val="00075B01"/>
    <w:rsid w:val="00075BD0"/>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B8"/>
    <w:rsid w:val="0008498E"/>
    <w:rsid w:val="000849FE"/>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94"/>
    <w:rsid w:val="000D7FA8"/>
    <w:rsid w:val="000E10F3"/>
    <w:rsid w:val="000E1370"/>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C8C"/>
    <w:rsid w:val="000E748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C76"/>
    <w:rsid w:val="00113FF7"/>
    <w:rsid w:val="00114E30"/>
    <w:rsid w:val="00114F91"/>
    <w:rsid w:val="001153A1"/>
    <w:rsid w:val="001155FF"/>
    <w:rsid w:val="0011575F"/>
    <w:rsid w:val="001157D0"/>
    <w:rsid w:val="001157EF"/>
    <w:rsid w:val="00115C5C"/>
    <w:rsid w:val="00116377"/>
    <w:rsid w:val="00116746"/>
    <w:rsid w:val="00116A10"/>
    <w:rsid w:val="00116E47"/>
    <w:rsid w:val="00117851"/>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B53"/>
    <w:rsid w:val="00185DA5"/>
    <w:rsid w:val="0018603D"/>
    <w:rsid w:val="00186148"/>
    <w:rsid w:val="001861CB"/>
    <w:rsid w:val="001864AD"/>
    <w:rsid w:val="0018686D"/>
    <w:rsid w:val="001869D6"/>
    <w:rsid w:val="00186E07"/>
    <w:rsid w:val="00187619"/>
    <w:rsid w:val="00187DA0"/>
    <w:rsid w:val="001903EE"/>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6CDC"/>
    <w:rsid w:val="001D799F"/>
    <w:rsid w:val="001D7B8A"/>
    <w:rsid w:val="001D7D97"/>
    <w:rsid w:val="001E0E06"/>
    <w:rsid w:val="001E0E43"/>
    <w:rsid w:val="001E169F"/>
    <w:rsid w:val="001E1AC4"/>
    <w:rsid w:val="001E1CF0"/>
    <w:rsid w:val="001E2D62"/>
    <w:rsid w:val="001E30CE"/>
    <w:rsid w:val="001E3C1D"/>
    <w:rsid w:val="001E3D9E"/>
    <w:rsid w:val="001E3F4E"/>
    <w:rsid w:val="001E3F68"/>
    <w:rsid w:val="001E4A3D"/>
    <w:rsid w:val="001E50BF"/>
    <w:rsid w:val="001E5367"/>
    <w:rsid w:val="001E5380"/>
    <w:rsid w:val="001E53F7"/>
    <w:rsid w:val="001E5894"/>
    <w:rsid w:val="001E6672"/>
    <w:rsid w:val="001E68DF"/>
    <w:rsid w:val="001E6E25"/>
    <w:rsid w:val="001E7185"/>
    <w:rsid w:val="001E7BD5"/>
    <w:rsid w:val="001F0324"/>
    <w:rsid w:val="001F080A"/>
    <w:rsid w:val="001F0B33"/>
    <w:rsid w:val="001F0C29"/>
    <w:rsid w:val="001F0E89"/>
    <w:rsid w:val="001F12A6"/>
    <w:rsid w:val="001F1310"/>
    <w:rsid w:val="001F1457"/>
    <w:rsid w:val="001F14F6"/>
    <w:rsid w:val="001F161D"/>
    <w:rsid w:val="001F179D"/>
    <w:rsid w:val="001F17F3"/>
    <w:rsid w:val="001F1967"/>
    <w:rsid w:val="001F2499"/>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D03"/>
    <w:rsid w:val="00204DDC"/>
    <w:rsid w:val="002052F1"/>
    <w:rsid w:val="002055BA"/>
    <w:rsid w:val="00205C64"/>
    <w:rsid w:val="00205DA8"/>
    <w:rsid w:val="00206178"/>
    <w:rsid w:val="00206A59"/>
    <w:rsid w:val="002074F6"/>
    <w:rsid w:val="00207914"/>
    <w:rsid w:val="002100AE"/>
    <w:rsid w:val="00210DA4"/>
    <w:rsid w:val="00211AC9"/>
    <w:rsid w:val="00211B89"/>
    <w:rsid w:val="00211FAD"/>
    <w:rsid w:val="002126BD"/>
    <w:rsid w:val="002129AA"/>
    <w:rsid w:val="00212F30"/>
    <w:rsid w:val="002135AE"/>
    <w:rsid w:val="00213DFF"/>
    <w:rsid w:val="0021409C"/>
    <w:rsid w:val="002140ED"/>
    <w:rsid w:val="00214438"/>
    <w:rsid w:val="00214631"/>
    <w:rsid w:val="0021475C"/>
    <w:rsid w:val="00214778"/>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5A5"/>
    <w:rsid w:val="002476ED"/>
    <w:rsid w:val="00247D1D"/>
    <w:rsid w:val="00247F00"/>
    <w:rsid w:val="002512F0"/>
    <w:rsid w:val="0025192D"/>
    <w:rsid w:val="00251A53"/>
    <w:rsid w:val="0025240E"/>
    <w:rsid w:val="002525D9"/>
    <w:rsid w:val="00252BEC"/>
    <w:rsid w:val="00253592"/>
    <w:rsid w:val="002537F7"/>
    <w:rsid w:val="002538ED"/>
    <w:rsid w:val="0025395C"/>
    <w:rsid w:val="002542B3"/>
    <w:rsid w:val="002544BA"/>
    <w:rsid w:val="00254772"/>
    <w:rsid w:val="00254AAB"/>
    <w:rsid w:val="00254F5D"/>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6B2"/>
    <w:rsid w:val="0026185C"/>
    <w:rsid w:val="00261AF4"/>
    <w:rsid w:val="00261E1F"/>
    <w:rsid w:val="00262113"/>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F99"/>
    <w:rsid w:val="00296CB6"/>
    <w:rsid w:val="0029732B"/>
    <w:rsid w:val="00297552"/>
    <w:rsid w:val="0029767B"/>
    <w:rsid w:val="002976BC"/>
    <w:rsid w:val="00297786"/>
    <w:rsid w:val="002A00D5"/>
    <w:rsid w:val="002A03F1"/>
    <w:rsid w:val="002A08C2"/>
    <w:rsid w:val="002A096B"/>
    <w:rsid w:val="002A1748"/>
    <w:rsid w:val="002A24C0"/>
    <w:rsid w:val="002A2B1E"/>
    <w:rsid w:val="002A2F1B"/>
    <w:rsid w:val="002A3319"/>
    <w:rsid w:val="002A3592"/>
    <w:rsid w:val="002A3742"/>
    <w:rsid w:val="002A3A3B"/>
    <w:rsid w:val="002A3AAD"/>
    <w:rsid w:val="002A3D91"/>
    <w:rsid w:val="002A3E44"/>
    <w:rsid w:val="002A4496"/>
    <w:rsid w:val="002A4BA6"/>
    <w:rsid w:val="002A4F1A"/>
    <w:rsid w:val="002A4F33"/>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FEE"/>
    <w:rsid w:val="0031002F"/>
    <w:rsid w:val="00310161"/>
    <w:rsid w:val="00310589"/>
    <w:rsid w:val="00310BD1"/>
    <w:rsid w:val="00310CE6"/>
    <w:rsid w:val="00311004"/>
    <w:rsid w:val="00311380"/>
    <w:rsid w:val="003119FF"/>
    <w:rsid w:val="00311FAD"/>
    <w:rsid w:val="00312094"/>
    <w:rsid w:val="00312ADA"/>
    <w:rsid w:val="00312CA1"/>
    <w:rsid w:val="00312DEE"/>
    <w:rsid w:val="0031323F"/>
    <w:rsid w:val="00313632"/>
    <w:rsid w:val="00313DA4"/>
    <w:rsid w:val="00313DC6"/>
    <w:rsid w:val="003144BB"/>
    <w:rsid w:val="00314902"/>
    <w:rsid w:val="00314B85"/>
    <w:rsid w:val="00315240"/>
    <w:rsid w:val="003153FC"/>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822"/>
    <w:rsid w:val="0033148D"/>
    <w:rsid w:val="00332031"/>
    <w:rsid w:val="0033224C"/>
    <w:rsid w:val="00332604"/>
    <w:rsid w:val="00333C72"/>
    <w:rsid w:val="00333F2A"/>
    <w:rsid w:val="00334429"/>
    <w:rsid w:val="003346FF"/>
    <w:rsid w:val="003348D2"/>
    <w:rsid w:val="00334DA1"/>
    <w:rsid w:val="00335D91"/>
    <w:rsid w:val="003363C2"/>
    <w:rsid w:val="003366B4"/>
    <w:rsid w:val="00337545"/>
    <w:rsid w:val="003376A6"/>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B3E"/>
    <w:rsid w:val="00357C04"/>
    <w:rsid w:val="00360804"/>
    <w:rsid w:val="0036132B"/>
    <w:rsid w:val="003614DD"/>
    <w:rsid w:val="0036194B"/>
    <w:rsid w:val="00361CC7"/>
    <w:rsid w:val="00361E17"/>
    <w:rsid w:val="00361E86"/>
    <w:rsid w:val="003627EA"/>
    <w:rsid w:val="00362978"/>
    <w:rsid w:val="003629EC"/>
    <w:rsid w:val="00362B28"/>
    <w:rsid w:val="00363143"/>
    <w:rsid w:val="00363D56"/>
    <w:rsid w:val="00364911"/>
    <w:rsid w:val="00365000"/>
    <w:rsid w:val="0036510C"/>
    <w:rsid w:val="00365889"/>
    <w:rsid w:val="00365B4D"/>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2415"/>
    <w:rsid w:val="003925AD"/>
    <w:rsid w:val="00392989"/>
    <w:rsid w:val="003931FD"/>
    <w:rsid w:val="003936FE"/>
    <w:rsid w:val="00394DA4"/>
    <w:rsid w:val="00395C09"/>
    <w:rsid w:val="00395E82"/>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456"/>
    <w:rsid w:val="003F46F6"/>
    <w:rsid w:val="003F4C05"/>
    <w:rsid w:val="003F50BF"/>
    <w:rsid w:val="003F5116"/>
    <w:rsid w:val="003F530B"/>
    <w:rsid w:val="003F59F3"/>
    <w:rsid w:val="003F5DAC"/>
    <w:rsid w:val="003F5E6E"/>
    <w:rsid w:val="003F61BD"/>
    <w:rsid w:val="003F6C8D"/>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CB3"/>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2265"/>
    <w:rsid w:val="00502C31"/>
    <w:rsid w:val="00503103"/>
    <w:rsid w:val="00503436"/>
    <w:rsid w:val="00503593"/>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458"/>
    <w:rsid w:val="00541835"/>
    <w:rsid w:val="00541C7A"/>
    <w:rsid w:val="0054271C"/>
    <w:rsid w:val="005427BC"/>
    <w:rsid w:val="00542AC0"/>
    <w:rsid w:val="00543459"/>
    <w:rsid w:val="0054359C"/>
    <w:rsid w:val="00543A88"/>
    <w:rsid w:val="00543CC2"/>
    <w:rsid w:val="00545274"/>
    <w:rsid w:val="00545498"/>
    <w:rsid w:val="005455F8"/>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57A9"/>
    <w:rsid w:val="00565A2E"/>
    <w:rsid w:val="00565E6F"/>
    <w:rsid w:val="0056731B"/>
    <w:rsid w:val="00567532"/>
    <w:rsid w:val="00567BBC"/>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80269"/>
    <w:rsid w:val="005806F4"/>
    <w:rsid w:val="00580770"/>
    <w:rsid w:val="005813CF"/>
    <w:rsid w:val="00581A59"/>
    <w:rsid w:val="00581CE8"/>
    <w:rsid w:val="00581D72"/>
    <w:rsid w:val="00582093"/>
    <w:rsid w:val="0058233D"/>
    <w:rsid w:val="005825DF"/>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68"/>
    <w:rsid w:val="006233F1"/>
    <w:rsid w:val="0062344D"/>
    <w:rsid w:val="006234A5"/>
    <w:rsid w:val="0062368F"/>
    <w:rsid w:val="006242DD"/>
    <w:rsid w:val="0062462F"/>
    <w:rsid w:val="006246ED"/>
    <w:rsid w:val="0062492F"/>
    <w:rsid w:val="00624C76"/>
    <w:rsid w:val="00624D4C"/>
    <w:rsid w:val="0062519D"/>
    <w:rsid w:val="006254D0"/>
    <w:rsid w:val="00625CE3"/>
    <w:rsid w:val="006261D6"/>
    <w:rsid w:val="00626373"/>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E35"/>
    <w:rsid w:val="0064338A"/>
    <w:rsid w:val="00643650"/>
    <w:rsid w:val="00643873"/>
    <w:rsid w:val="00643EB9"/>
    <w:rsid w:val="0064401E"/>
    <w:rsid w:val="006440DC"/>
    <w:rsid w:val="006440F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B41"/>
    <w:rsid w:val="006C4C90"/>
    <w:rsid w:val="006C52EF"/>
    <w:rsid w:val="006C577C"/>
    <w:rsid w:val="006C5C6E"/>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7CC"/>
    <w:rsid w:val="006E6C23"/>
    <w:rsid w:val="006E6CB9"/>
    <w:rsid w:val="006E7028"/>
    <w:rsid w:val="006E71B4"/>
    <w:rsid w:val="006E7831"/>
    <w:rsid w:val="006E78C5"/>
    <w:rsid w:val="006E7951"/>
    <w:rsid w:val="006E7A5C"/>
    <w:rsid w:val="006E7A8F"/>
    <w:rsid w:val="006E7BED"/>
    <w:rsid w:val="006E7C96"/>
    <w:rsid w:val="006E7F9C"/>
    <w:rsid w:val="006F04CC"/>
    <w:rsid w:val="006F0736"/>
    <w:rsid w:val="006F07DF"/>
    <w:rsid w:val="006F14CA"/>
    <w:rsid w:val="006F1811"/>
    <w:rsid w:val="006F1C38"/>
    <w:rsid w:val="006F1CAA"/>
    <w:rsid w:val="006F25EF"/>
    <w:rsid w:val="006F271D"/>
    <w:rsid w:val="006F2A9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EF"/>
    <w:rsid w:val="00706FE3"/>
    <w:rsid w:val="007070F6"/>
    <w:rsid w:val="00707532"/>
    <w:rsid w:val="0070791F"/>
    <w:rsid w:val="00710133"/>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20429"/>
    <w:rsid w:val="00720549"/>
    <w:rsid w:val="00721B3D"/>
    <w:rsid w:val="00721E84"/>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DBA"/>
    <w:rsid w:val="00825AED"/>
    <w:rsid w:val="00825DF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E7D"/>
    <w:rsid w:val="00837125"/>
    <w:rsid w:val="00837547"/>
    <w:rsid w:val="00837A66"/>
    <w:rsid w:val="00837B9E"/>
    <w:rsid w:val="00837E14"/>
    <w:rsid w:val="00840198"/>
    <w:rsid w:val="008409A1"/>
    <w:rsid w:val="00840DEA"/>
    <w:rsid w:val="0084102D"/>
    <w:rsid w:val="0084177D"/>
    <w:rsid w:val="00841914"/>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C0"/>
    <w:rsid w:val="00855E36"/>
    <w:rsid w:val="00855E8E"/>
    <w:rsid w:val="00856C16"/>
    <w:rsid w:val="008576BB"/>
    <w:rsid w:val="008577C9"/>
    <w:rsid w:val="00857D75"/>
    <w:rsid w:val="00857F39"/>
    <w:rsid w:val="008600F0"/>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7A1"/>
    <w:rsid w:val="008A5CED"/>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DD"/>
    <w:rsid w:val="008E0DF8"/>
    <w:rsid w:val="008E138B"/>
    <w:rsid w:val="008E142F"/>
    <w:rsid w:val="008E15B2"/>
    <w:rsid w:val="008E19D9"/>
    <w:rsid w:val="008E1C4F"/>
    <w:rsid w:val="008E1D46"/>
    <w:rsid w:val="008E1F86"/>
    <w:rsid w:val="008E27B6"/>
    <w:rsid w:val="008E2940"/>
    <w:rsid w:val="008E2B71"/>
    <w:rsid w:val="008E2C90"/>
    <w:rsid w:val="008E2ED4"/>
    <w:rsid w:val="008E3C90"/>
    <w:rsid w:val="008E419A"/>
    <w:rsid w:val="008E4234"/>
    <w:rsid w:val="008E4369"/>
    <w:rsid w:val="008E43A0"/>
    <w:rsid w:val="008E4472"/>
    <w:rsid w:val="008E4B27"/>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B83"/>
    <w:rsid w:val="00912DEF"/>
    <w:rsid w:val="00912F5F"/>
    <w:rsid w:val="009135FB"/>
    <w:rsid w:val="0091362B"/>
    <w:rsid w:val="00913634"/>
    <w:rsid w:val="00913915"/>
    <w:rsid w:val="00913A40"/>
    <w:rsid w:val="00914256"/>
    <w:rsid w:val="0091437C"/>
    <w:rsid w:val="009143F2"/>
    <w:rsid w:val="00915118"/>
    <w:rsid w:val="009153A9"/>
    <w:rsid w:val="00915561"/>
    <w:rsid w:val="009157E2"/>
    <w:rsid w:val="00915865"/>
    <w:rsid w:val="0091612A"/>
    <w:rsid w:val="009163CD"/>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8B7"/>
    <w:rsid w:val="009228C5"/>
    <w:rsid w:val="00922B21"/>
    <w:rsid w:val="00923591"/>
    <w:rsid w:val="0092374D"/>
    <w:rsid w:val="00923CA7"/>
    <w:rsid w:val="00924718"/>
    <w:rsid w:val="0092482E"/>
    <w:rsid w:val="00924E43"/>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753"/>
    <w:rsid w:val="009508C4"/>
    <w:rsid w:val="00950D90"/>
    <w:rsid w:val="00950FF9"/>
    <w:rsid w:val="00951080"/>
    <w:rsid w:val="00951262"/>
    <w:rsid w:val="009515CB"/>
    <w:rsid w:val="009527FE"/>
    <w:rsid w:val="00952A6F"/>
    <w:rsid w:val="00952B16"/>
    <w:rsid w:val="009530AB"/>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81E"/>
    <w:rsid w:val="0096247B"/>
    <w:rsid w:val="009633DB"/>
    <w:rsid w:val="009635C6"/>
    <w:rsid w:val="00963E71"/>
    <w:rsid w:val="00963F1D"/>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CD6"/>
    <w:rsid w:val="00983F15"/>
    <w:rsid w:val="00984119"/>
    <w:rsid w:val="00984278"/>
    <w:rsid w:val="00984359"/>
    <w:rsid w:val="00984C54"/>
    <w:rsid w:val="00984CF7"/>
    <w:rsid w:val="00984F94"/>
    <w:rsid w:val="009851E7"/>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435B"/>
    <w:rsid w:val="00A54B34"/>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78B"/>
    <w:rsid w:val="00A618B4"/>
    <w:rsid w:val="00A61928"/>
    <w:rsid w:val="00A6259E"/>
    <w:rsid w:val="00A62660"/>
    <w:rsid w:val="00A62782"/>
    <w:rsid w:val="00A6312F"/>
    <w:rsid w:val="00A631B3"/>
    <w:rsid w:val="00A63ACB"/>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42A6"/>
    <w:rsid w:val="00AA465F"/>
    <w:rsid w:val="00AA46F6"/>
    <w:rsid w:val="00AA47B6"/>
    <w:rsid w:val="00AA5053"/>
    <w:rsid w:val="00AA50DF"/>
    <w:rsid w:val="00AA52A4"/>
    <w:rsid w:val="00AA6482"/>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BB2"/>
    <w:rsid w:val="00AF0E19"/>
    <w:rsid w:val="00AF0F8E"/>
    <w:rsid w:val="00AF1318"/>
    <w:rsid w:val="00AF1B63"/>
    <w:rsid w:val="00AF1B96"/>
    <w:rsid w:val="00AF1CFC"/>
    <w:rsid w:val="00AF24E4"/>
    <w:rsid w:val="00AF3FA7"/>
    <w:rsid w:val="00AF42A6"/>
    <w:rsid w:val="00AF4311"/>
    <w:rsid w:val="00AF4A54"/>
    <w:rsid w:val="00AF4DE8"/>
    <w:rsid w:val="00AF4E6F"/>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B36"/>
    <w:rsid w:val="00B00D8B"/>
    <w:rsid w:val="00B00DB9"/>
    <w:rsid w:val="00B00FEB"/>
    <w:rsid w:val="00B01339"/>
    <w:rsid w:val="00B0194E"/>
    <w:rsid w:val="00B01BC6"/>
    <w:rsid w:val="00B01FA1"/>
    <w:rsid w:val="00B02358"/>
    <w:rsid w:val="00B02DB9"/>
    <w:rsid w:val="00B032A7"/>
    <w:rsid w:val="00B03AD5"/>
    <w:rsid w:val="00B03F82"/>
    <w:rsid w:val="00B04271"/>
    <w:rsid w:val="00B0470A"/>
    <w:rsid w:val="00B04736"/>
    <w:rsid w:val="00B04F7E"/>
    <w:rsid w:val="00B05AA2"/>
    <w:rsid w:val="00B05B58"/>
    <w:rsid w:val="00B06933"/>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E15"/>
    <w:rsid w:val="00B62152"/>
    <w:rsid w:val="00B624CF"/>
    <w:rsid w:val="00B62796"/>
    <w:rsid w:val="00B6298E"/>
    <w:rsid w:val="00B62A97"/>
    <w:rsid w:val="00B62F30"/>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A0A"/>
    <w:rsid w:val="00B70C4D"/>
    <w:rsid w:val="00B70C9E"/>
    <w:rsid w:val="00B7112E"/>
    <w:rsid w:val="00B71160"/>
    <w:rsid w:val="00B71514"/>
    <w:rsid w:val="00B71676"/>
    <w:rsid w:val="00B71AEE"/>
    <w:rsid w:val="00B722FA"/>
    <w:rsid w:val="00B7254E"/>
    <w:rsid w:val="00B72A40"/>
    <w:rsid w:val="00B72B1E"/>
    <w:rsid w:val="00B72E50"/>
    <w:rsid w:val="00B72F6B"/>
    <w:rsid w:val="00B734C6"/>
    <w:rsid w:val="00B7374F"/>
    <w:rsid w:val="00B73A7F"/>
    <w:rsid w:val="00B73BBD"/>
    <w:rsid w:val="00B73C67"/>
    <w:rsid w:val="00B74CC9"/>
    <w:rsid w:val="00B74D08"/>
    <w:rsid w:val="00B75104"/>
    <w:rsid w:val="00B75136"/>
    <w:rsid w:val="00B75168"/>
    <w:rsid w:val="00B75BE9"/>
    <w:rsid w:val="00B75CE3"/>
    <w:rsid w:val="00B75F30"/>
    <w:rsid w:val="00B760B0"/>
    <w:rsid w:val="00B76D31"/>
    <w:rsid w:val="00B77206"/>
    <w:rsid w:val="00B7757F"/>
    <w:rsid w:val="00B779A2"/>
    <w:rsid w:val="00B77D95"/>
    <w:rsid w:val="00B800F0"/>
    <w:rsid w:val="00B8011E"/>
    <w:rsid w:val="00B80782"/>
    <w:rsid w:val="00B80F61"/>
    <w:rsid w:val="00B81F0D"/>
    <w:rsid w:val="00B81F4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FB4"/>
    <w:rsid w:val="00B94034"/>
    <w:rsid w:val="00B94752"/>
    <w:rsid w:val="00B94B5E"/>
    <w:rsid w:val="00B94DAA"/>
    <w:rsid w:val="00B94F0A"/>
    <w:rsid w:val="00B95401"/>
    <w:rsid w:val="00B9552D"/>
    <w:rsid w:val="00B95954"/>
    <w:rsid w:val="00B95D34"/>
    <w:rsid w:val="00B96785"/>
    <w:rsid w:val="00B9691F"/>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D7F"/>
    <w:rsid w:val="00BC1AA0"/>
    <w:rsid w:val="00BC1D71"/>
    <w:rsid w:val="00BC1DDD"/>
    <w:rsid w:val="00BC1F1D"/>
    <w:rsid w:val="00BC2205"/>
    <w:rsid w:val="00BC2A84"/>
    <w:rsid w:val="00BC2B10"/>
    <w:rsid w:val="00BC2C68"/>
    <w:rsid w:val="00BC2F67"/>
    <w:rsid w:val="00BC30C0"/>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519"/>
    <w:rsid w:val="00BD1B52"/>
    <w:rsid w:val="00BD1D86"/>
    <w:rsid w:val="00BD1D8F"/>
    <w:rsid w:val="00BD1F1D"/>
    <w:rsid w:val="00BD219F"/>
    <w:rsid w:val="00BD2B01"/>
    <w:rsid w:val="00BD2F7A"/>
    <w:rsid w:val="00BD3AF1"/>
    <w:rsid w:val="00BD3D9A"/>
    <w:rsid w:val="00BD3DE9"/>
    <w:rsid w:val="00BD43EE"/>
    <w:rsid w:val="00BD45EB"/>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8BD"/>
    <w:rsid w:val="00BF7DF1"/>
    <w:rsid w:val="00BF7F1B"/>
    <w:rsid w:val="00C012BA"/>
    <w:rsid w:val="00C012DD"/>
    <w:rsid w:val="00C01AE5"/>
    <w:rsid w:val="00C01CA2"/>
    <w:rsid w:val="00C025B9"/>
    <w:rsid w:val="00C028C3"/>
    <w:rsid w:val="00C02B1B"/>
    <w:rsid w:val="00C0315C"/>
    <w:rsid w:val="00C0396A"/>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52C"/>
    <w:rsid w:val="00C555BA"/>
    <w:rsid w:val="00C567DC"/>
    <w:rsid w:val="00C56B72"/>
    <w:rsid w:val="00C56E36"/>
    <w:rsid w:val="00C571F9"/>
    <w:rsid w:val="00C5798F"/>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E87"/>
    <w:rsid w:val="00C7275E"/>
    <w:rsid w:val="00C72AFE"/>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78C"/>
    <w:rsid w:val="00CD59DF"/>
    <w:rsid w:val="00CD5CB0"/>
    <w:rsid w:val="00CD5EFA"/>
    <w:rsid w:val="00CD5F7B"/>
    <w:rsid w:val="00CD6683"/>
    <w:rsid w:val="00CD72E8"/>
    <w:rsid w:val="00CD792E"/>
    <w:rsid w:val="00CE01DC"/>
    <w:rsid w:val="00CE0736"/>
    <w:rsid w:val="00CE1112"/>
    <w:rsid w:val="00CE121B"/>
    <w:rsid w:val="00CE1957"/>
    <w:rsid w:val="00CE199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C0"/>
    <w:rsid w:val="00D114B4"/>
    <w:rsid w:val="00D11926"/>
    <w:rsid w:val="00D119BD"/>
    <w:rsid w:val="00D11A31"/>
    <w:rsid w:val="00D12127"/>
    <w:rsid w:val="00D1215C"/>
    <w:rsid w:val="00D12289"/>
    <w:rsid w:val="00D127F6"/>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6C"/>
    <w:rsid w:val="00D56330"/>
    <w:rsid w:val="00D563DB"/>
    <w:rsid w:val="00D56A27"/>
    <w:rsid w:val="00D56C7F"/>
    <w:rsid w:val="00D571D1"/>
    <w:rsid w:val="00D57E1C"/>
    <w:rsid w:val="00D57FD0"/>
    <w:rsid w:val="00D604D7"/>
    <w:rsid w:val="00D60FA9"/>
    <w:rsid w:val="00D6115B"/>
    <w:rsid w:val="00D61277"/>
    <w:rsid w:val="00D612CF"/>
    <w:rsid w:val="00D612F7"/>
    <w:rsid w:val="00D613E6"/>
    <w:rsid w:val="00D6199B"/>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3E2"/>
    <w:rsid w:val="00E15438"/>
    <w:rsid w:val="00E15793"/>
    <w:rsid w:val="00E15A19"/>
    <w:rsid w:val="00E15F92"/>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136"/>
    <w:rsid w:val="00E25365"/>
    <w:rsid w:val="00E257AC"/>
    <w:rsid w:val="00E25E44"/>
    <w:rsid w:val="00E2611F"/>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122"/>
    <w:rsid w:val="00E4633D"/>
    <w:rsid w:val="00E470FD"/>
    <w:rsid w:val="00E4762C"/>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225E"/>
    <w:rsid w:val="00E72558"/>
    <w:rsid w:val="00E725D7"/>
    <w:rsid w:val="00E7295B"/>
    <w:rsid w:val="00E72B7E"/>
    <w:rsid w:val="00E73292"/>
    <w:rsid w:val="00E73481"/>
    <w:rsid w:val="00E734AF"/>
    <w:rsid w:val="00E73C03"/>
    <w:rsid w:val="00E73CB4"/>
    <w:rsid w:val="00E7401B"/>
    <w:rsid w:val="00E7483E"/>
    <w:rsid w:val="00E74B7B"/>
    <w:rsid w:val="00E7500F"/>
    <w:rsid w:val="00E7537F"/>
    <w:rsid w:val="00E7546E"/>
    <w:rsid w:val="00E764E4"/>
    <w:rsid w:val="00E7680F"/>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7343"/>
    <w:rsid w:val="00EA7811"/>
    <w:rsid w:val="00EA7D1F"/>
    <w:rsid w:val="00EB0BF8"/>
    <w:rsid w:val="00EB0DAC"/>
    <w:rsid w:val="00EB1091"/>
    <w:rsid w:val="00EB1172"/>
    <w:rsid w:val="00EB12ED"/>
    <w:rsid w:val="00EB1329"/>
    <w:rsid w:val="00EB14D8"/>
    <w:rsid w:val="00EB15E6"/>
    <w:rsid w:val="00EB1B2C"/>
    <w:rsid w:val="00EB1E8C"/>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8"/>
    <w:rsid w:val="00EC66AF"/>
    <w:rsid w:val="00EC6B29"/>
    <w:rsid w:val="00EC77D1"/>
    <w:rsid w:val="00EC7AAA"/>
    <w:rsid w:val="00EC7C7A"/>
    <w:rsid w:val="00EC7D12"/>
    <w:rsid w:val="00EC7DB7"/>
    <w:rsid w:val="00EC7EC4"/>
    <w:rsid w:val="00ED0604"/>
    <w:rsid w:val="00ED0BF2"/>
    <w:rsid w:val="00ED0C12"/>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E1"/>
    <w:rsid w:val="00EE10D0"/>
    <w:rsid w:val="00EE10EC"/>
    <w:rsid w:val="00EE138B"/>
    <w:rsid w:val="00EE143B"/>
    <w:rsid w:val="00EE1ED1"/>
    <w:rsid w:val="00EE337F"/>
    <w:rsid w:val="00EE34DA"/>
    <w:rsid w:val="00EE3550"/>
    <w:rsid w:val="00EE35B4"/>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657"/>
    <w:rsid w:val="00F72702"/>
    <w:rsid w:val="00F73430"/>
    <w:rsid w:val="00F73599"/>
    <w:rsid w:val="00F738F3"/>
    <w:rsid w:val="00F73ED8"/>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4249"/>
    <w:rsid w:val="00FC452D"/>
    <w:rsid w:val="00FC475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 w:val="7BBFC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420" w:lineRule="exac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Char"/>
    <w:basedOn w:val="12"/>
    <w:link w:val="7"/>
    <w:qFormat/>
    <w:uiPriority w:val="99"/>
    <w:rPr>
      <w:kern w:val="2"/>
      <w:sz w:val="18"/>
      <w:szCs w:val="18"/>
    </w:rPr>
  </w:style>
  <w:style w:type="character" w:customStyle="1" w:styleId="15">
    <w:name w:val="页眉 Char"/>
    <w:basedOn w:val="12"/>
    <w:link w:val="8"/>
    <w:qFormat/>
    <w:uiPriority w:val="99"/>
    <w:rPr>
      <w:kern w:val="2"/>
      <w:sz w:val="18"/>
      <w:szCs w:val="18"/>
    </w:rPr>
  </w:style>
  <w:style w:type="character" w:customStyle="1" w:styleId="16">
    <w:name w:val="apple-converted-space"/>
    <w:basedOn w:val="12"/>
    <w:qFormat/>
    <w:uiPriority w:val="0"/>
  </w:style>
  <w:style w:type="character" w:customStyle="1" w:styleId="17">
    <w:name w:val="grame"/>
    <w:basedOn w:val="12"/>
    <w:qFormat/>
    <w:uiPriority w:val="0"/>
  </w:style>
  <w:style w:type="paragraph" w:styleId="18">
    <w:name w:val="List Paragraph"/>
    <w:basedOn w:val="1"/>
    <w:qFormat/>
    <w:uiPriority w:val="34"/>
    <w:pPr>
      <w:ind w:firstLine="420" w:firstLineChars="200"/>
    </w:pPr>
  </w:style>
  <w:style w:type="character" w:customStyle="1" w:styleId="19">
    <w:name w:val="标题 3 Char"/>
    <w:basedOn w:val="12"/>
    <w:link w:val="4"/>
    <w:qFormat/>
    <w:uiPriority w:val="9"/>
    <w:rPr>
      <w:b/>
      <w:bCs/>
      <w:kern w:val="2"/>
      <w:sz w:val="32"/>
      <w:szCs w:val="32"/>
    </w:rPr>
  </w:style>
  <w:style w:type="character" w:customStyle="1" w:styleId="20">
    <w:name w:val="纯文本 Char"/>
    <w:link w:val="5"/>
    <w:qFormat/>
    <w:uiPriority w:val="0"/>
    <w:rPr>
      <w:rFonts w:ascii="宋体" w:hAnsi="Courier New" w:cs="Courier New"/>
      <w:szCs w:val="21"/>
    </w:rPr>
  </w:style>
  <w:style w:type="character" w:customStyle="1" w:styleId="21">
    <w:name w:val="纯文本 Char1"/>
    <w:basedOn w:val="12"/>
    <w:qFormat/>
    <w:uiPriority w:val="0"/>
    <w:rPr>
      <w:rFonts w:ascii="宋体" w:hAnsi="Courier New" w:cs="Courier New"/>
      <w:kern w:val="2"/>
      <w:sz w:val="21"/>
      <w:szCs w:val="21"/>
    </w:rPr>
  </w:style>
  <w:style w:type="character" w:customStyle="1" w:styleId="22">
    <w:name w:val="标题 1 Char"/>
    <w:basedOn w:val="12"/>
    <w:link w:val="2"/>
    <w:qFormat/>
    <w:uiPriority w:val="9"/>
    <w:rPr>
      <w:b/>
      <w:bCs/>
      <w:kern w:val="44"/>
      <w:sz w:val="44"/>
      <w:szCs w:val="44"/>
    </w:rPr>
  </w:style>
  <w:style w:type="character" w:customStyle="1" w:styleId="23">
    <w:name w:val="标题 2 Char"/>
    <w:basedOn w:val="12"/>
    <w:link w:val="3"/>
    <w:semiHidden/>
    <w:qFormat/>
    <w:uiPriority w:val="9"/>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8361146214748"/>
          <c:y val="0.079295154185022"/>
          <c:w val="0.864204011535601"/>
          <c:h val="0.753498078443925"/>
        </c:manualLayout>
      </c:layout>
      <c:lineChart>
        <c:grouping val="standard"/>
        <c:varyColors val="false"/>
        <c:ser>
          <c:idx val="0"/>
          <c:order val="0"/>
          <c:tx>
            <c:strRef>
              <c:f>Sheet1!$B$1</c:f>
              <c:strCache>
                <c:ptCount val="1"/>
                <c:pt idx="0">
                  <c:v>2020年</c:v>
                </c:pt>
              </c:strCache>
            </c:strRef>
          </c:tx>
          <c:spPr>
            <a:ln w="15875" cap="rnd" cmpd="sng" algn="ctr">
              <a:solidFill>
                <a:srgbClr val="4F81BD">
                  <a:shade val="95000"/>
                  <a:satMod val="105000"/>
                </a:srgbClr>
              </a:solidFill>
              <a:prstDash val="solid"/>
              <a:round/>
            </a:ln>
          </c:spPr>
          <c:marker>
            <c:symbol val="diamond"/>
            <c:size val="5"/>
            <c:spPr>
              <a:ln w="3175" cap="flat" cmpd="sng" algn="ctr">
                <a:solidFill>
                  <a:schemeClr val="accent1">
                    <a:shade val="95000"/>
                    <a:satMod val="105000"/>
                  </a:schemeClr>
                </a:solidFill>
                <a:prstDash val="solid"/>
                <a:round/>
              </a:ln>
            </c:spPr>
          </c:marker>
          <c:dLbls>
            <c:dLbl>
              <c:idx val="0"/>
              <c:layout>
                <c:manualLayout>
                  <c:x val="-0.062904669749302"/>
                  <c:y val="-0.045894124772864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44385516538388"/>
                  <c:y val="-0.032456450635978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62717052488514"/>
                  <c:y val="-0.039118594791035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552123620569943"/>
                  <c:y val="-0.03856135675348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48089110812368"/>
                  <c:y val="-0.037445911568746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32181530779572"/>
                  <c:y val="-0.039403997577225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68283819119233"/>
                  <c:y val="-0.037445911568746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8652553515238"/>
                  <c:y val="-0.038285160508782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77862640528287"/>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55290954484348"/>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58162828145544"/>
                  <c:y val="-0.0412763173834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_ " sourceLinked="false"/>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-16.4</c:v>
                </c:pt>
                <c:pt idx="3">
                  <c:v>-13.7</c:v>
                </c:pt>
                <c:pt idx="4">
                  <c:v>-6.8</c:v>
                </c:pt>
                <c:pt idx="5">
                  <c:v>-6.3</c:v>
                </c:pt>
                <c:pt idx="6">
                  <c:v>-4.1</c:v>
                </c:pt>
                <c:pt idx="7">
                  <c:v>-2.6</c:v>
                </c:pt>
                <c:pt idx="8">
                  <c:v>-1.7</c:v>
                </c:pt>
                <c:pt idx="9">
                  <c:v>-1.2</c:v>
                </c:pt>
                <c:pt idx="10">
                  <c:v>-1.6</c:v>
                </c:pt>
              </c:numCache>
            </c:numRef>
          </c:val>
          <c:smooth val="true"/>
        </c:ser>
        <c:ser>
          <c:idx val="1"/>
          <c:order val="1"/>
          <c:tx>
            <c:strRef>
              <c:f>Sheet1!$C$1</c:f>
              <c:strCache>
                <c:ptCount val="1"/>
                <c:pt idx="0">
                  <c:v>2021年</c:v>
                </c:pt>
              </c:strCache>
            </c:strRef>
          </c:tx>
          <c:spPr>
            <a:ln w="15875" cap="rnd" cmpd="sng" algn="ctr">
              <a:solidFill>
                <a:schemeClr val="accent6">
                  <a:lumMod val="75000"/>
                </a:schemeClr>
              </a:solidFill>
              <a:prstDash val="solid"/>
              <a:round/>
            </a:ln>
          </c:spPr>
          <c:marker>
            <c:symbol val="square"/>
            <c:size val="3"/>
            <c:spPr>
              <a:solidFill>
                <a:srgbClr val="F79646">
                  <a:lumMod val="75000"/>
                </a:srgbClr>
              </a:solidFill>
              <a:ln w="9525" cap="flat" cmpd="sng" algn="ctr">
                <a:solidFill>
                  <a:schemeClr val="accent6">
                    <a:lumMod val="75000"/>
                  </a:schemeClr>
                </a:solidFill>
                <a:prstDash val="solid"/>
                <a:round/>
              </a:ln>
            </c:spPr>
          </c:marker>
          <c:dLbls>
            <c:dLbl>
              <c:idx val="0"/>
              <c:layout>
                <c:manualLayout>
                  <c:x val="-0.0462729166358896"/>
                  <c:y val="-0.033999273167777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1282297498929"/>
                  <c:y val="-0.045467760585870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500255573119026"/>
                  <c:y val="-0.03847475359286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98828500096025"/>
                  <c:y val="-0.03935576234788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23781595780827"/>
                  <c:y val="0.037567314575188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387682262043699"/>
                  <c:y val="-0.03847475359286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87666356867711"/>
                  <c:y val="-0.038495120754990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62729166358895"/>
                  <c:y val="-0.03935576234788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26626878019235"/>
                  <c:y val="-0.038475304223335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462729166358895"/>
                  <c:y val="-0.047229778095919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66897865203674"/>
                  <c:y val="-0.05246078492157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General</c:formatCode>
                <c:ptCount val="11"/>
              </c:numCache>
            </c:numRef>
          </c:val>
          <c:smooth val="true"/>
        </c:ser>
        <c:dLbls>
          <c:showLegendKey val="false"/>
          <c:showVal val="false"/>
          <c:showCatName val="false"/>
          <c:showSerName val="false"/>
          <c:showPercent val="false"/>
          <c:showBubbleSize val="false"/>
        </c:dLbls>
        <c:marker val="true"/>
        <c:smooth val="true"/>
        <c:axId val="151748608"/>
        <c:axId val="151750144"/>
      </c:lineChart>
      <c:catAx>
        <c:axId val="151748608"/>
        <c:scaling>
          <c:orientation val="minMax"/>
        </c:scaling>
        <c:delete val="false"/>
        <c:axPos val="b"/>
        <c:numFmt formatCode="@"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51750144"/>
        <c:crossesAt val="-50"/>
        <c:auto val="true"/>
        <c:lblAlgn val="ctr"/>
        <c:lblOffset val="100"/>
        <c:tickLblSkip val="1"/>
        <c:noMultiLvlLbl val="false"/>
      </c:catAx>
      <c:valAx>
        <c:axId val="151750144"/>
        <c:scaling>
          <c:orientation val="minMax"/>
          <c:max val="30"/>
          <c:min val="-50"/>
        </c:scaling>
        <c:delete val="false"/>
        <c:axPos val="l"/>
        <c:numFmt formatCode="#,##0_ " sourceLinked="fals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51748608"/>
        <c:crosses val="autoZero"/>
        <c:crossBetween val="between"/>
        <c:majorUnit val="10"/>
        <c:minorUnit val="1"/>
      </c:valAx>
    </c:plotArea>
    <c:legend>
      <c:legendPos val="b"/>
      <c:layout>
        <c:manualLayout>
          <c:xMode val="edge"/>
          <c:yMode val="edge"/>
          <c:x val="0.317329162774065"/>
          <c:y val="0.92574231293714"/>
          <c:w val="0.365341674451875"/>
          <c:h val="0.0742090193271296"/>
        </c:manualLayout>
      </c:layout>
      <c:overlay val="false"/>
      <c:txPr>
        <a:bodyPr rot="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sz="600" baseline="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6204211613372"/>
          <c:y val="0.074824699544136"/>
          <c:w val="0.858542404005853"/>
          <c:h val="0.716535985633375"/>
        </c:manualLayout>
      </c:layout>
      <c:lineChart>
        <c:grouping val="standard"/>
        <c:varyColors val="false"/>
        <c:ser>
          <c:idx val="0"/>
          <c:order val="0"/>
          <c:tx>
            <c:strRef>
              <c:f>Sheet1!$B$1</c:f>
              <c:strCache>
                <c:ptCount val="1"/>
                <c:pt idx="0">
                  <c:v>2020年</c:v>
                </c:pt>
              </c:strCache>
            </c:strRef>
          </c:tx>
          <c:spPr>
            <a:ln w="15875" cap="rnd" cmpd="sng" algn="ctr">
              <a:solidFill>
                <a:schemeClr val="accent1">
                  <a:shade val="95000"/>
                  <a:satMod val="105000"/>
                </a:schemeClr>
              </a:solidFill>
              <a:prstDash val="solid"/>
              <a:round/>
            </a:ln>
          </c:spPr>
          <c:marker>
            <c:symbol val="diamond"/>
            <c:size val="3"/>
          </c:marker>
          <c:dLbls>
            <c:dLbl>
              <c:idx val="0"/>
              <c:layout>
                <c:manualLayout>
                  <c:x val="-0.0624511652679612"/>
                  <c:y val="-0.06081671360423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98962126991896"/>
                  <c:y val="-0.04994827288924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70359734444959"/>
                  <c:y val="-0.045071912136444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3916855000072"/>
                  <c:y val="-0.042468532674291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17861204278167"/>
                  <c:y val="-0.042488074027242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500672242295125"/>
                  <c:y val="-0.044195607128056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58788812275979"/>
                  <c:y val="-0.04525210664456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1521541982755"/>
                  <c:y val="-0.049474789335543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509657545092056"/>
                  <c:y val="-0.049996408343693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454628683297586"/>
                  <c:y val="-0.041803011465672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465482445407304"/>
                  <c:y val="-0.04365193401919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c:formatCode="0.0_ ">
                  <c:v>-2.9</c:v>
                </c:pt>
                <c:pt idx="3" c:formatCode="0.0_ ">
                  <c:v>8.5</c:v>
                </c:pt>
                <c:pt idx="4" c:formatCode="0.0_ ">
                  <c:v>2</c:v>
                </c:pt>
                <c:pt idx="5" c:formatCode="0.0_ ">
                  <c:v>0.9</c:v>
                </c:pt>
                <c:pt idx="6">
                  <c:v>3.1</c:v>
                </c:pt>
                <c:pt idx="7" c:formatCode="0.0_ ">
                  <c:v>8.3</c:v>
                </c:pt>
                <c:pt idx="8">
                  <c:v>4.9</c:v>
                </c:pt>
                <c:pt idx="9" c:formatCode="0.0_ ">
                  <c:v>5.4</c:v>
                </c:pt>
                <c:pt idx="10">
                  <c:v>7.5</c:v>
                </c:pt>
              </c:numCache>
            </c:numRef>
          </c:val>
          <c:smooth val="false"/>
        </c:ser>
        <c:ser>
          <c:idx val="1"/>
          <c:order val="1"/>
          <c:tx>
            <c:strRef>
              <c:f>Sheet1!$C$1</c:f>
              <c:strCache>
                <c:ptCount val="1"/>
                <c:pt idx="0">
                  <c:v>2021年</c:v>
                </c:pt>
              </c:strCache>
            </c:strRef>
          </c:tx>
          <c:spPr>
            <a:ln w="15875" cap="rnd" cmpd="sng" algn="ctr">
              <a:solidFill>
                <a:schemeClr val="accent2">
                  <a:shade val="95000"/>
                  <a:satMod val="105000"/>
                </a:schemeClr>
              </a:solidFill>
              <a:prstDash val="solid"/>
              <a:round/>
            </a:ln>
          </c:spPr>
          <c:marker>
            <c:symbol val="square"/>
            <c:size val="3"/>
            <c:spPr>
              <a:solidFill>
                <a:schemeClr val="accent6">
                  <a:lumMod val="75000"/>
                </a:schemeClr>
              </a:solidFill>
            </c:spPr>
          </c:marker>
          <c:dLbls>
            <c:dLbl>
              <c:idx val="0"/>
              <c:layout>
                <c:manualLayout>
                  <c:x val="-0.014059508557774"/>
                  <c:y val="0.0088780218262190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69266867235745"/>
                  <c:y val="0.0077436109959939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242393009831725"/>
                  <c:y val="0.02403923193811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19960735064772"/>
                  <c:y val="-0.042635638669853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25228519195614"/>
                  <c:y val="0.031068932172952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304912982769295"/>
                  <c:y val="0.039651885619560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54739524104278"/>
                  <c:y val="0.047886172123221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19885749575423"/>
                  <c:y val="0.05185518784321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383281751572644"/>
                  <c:y val="0.049115071142423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354736645122285"/>
                  <c:y val="0.040868628263572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0198401909996838"/>
                  <c:y val="-0.013131353014201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numCache>
            </c:numRef>
          </c:val>
          <c:smooth val="false"/>
        </c:ser>
        <c:dLbls>
          <c:showLegendKey val="false"/>
          <c:showVal val="false"/>
          <c:showCatName val="false"/>
          <c:showSerName val="false"/>
          <c:showPercent val="false"/>
          <c:showBubbleSize val="false"/>
        </c:dLbls>
        <c:marker val="true"/>
        <c:smooth val="false"/>
        <c:axId val="151935616"/>
        <c:axId val="151945600"/>
      </c:lineChart>
      <c:catAx>
        <c:axId val="151935616"/>
        <c:scaling>
          <c:orientation val="minMax"/>
        </c:scaling>
        <c:delete val="false"/>
        <c:axPos val="b"/>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51945600"/>
        <c:crossesAt val="-90"/>
        <c:auto val="true"/>
        <c:lblAlgn val="ctr"/>
        <c:lblOffset val="100"/>
        <c:noMultiLvlLbl val="false"/>
      </c:catAx>
      <c:valAx>
        <c:axId val="151945600"/>
        <c:scaling>
          <c:orientation val="minMax"/>
          <c:max val="210"/>
          <c:min val="-90"/>
        </c:scaling>
        <c:delete val="false"/>
        <c:axPos val="l"/>
        <c:numFmt formatCode="General"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51935616"/>
        <c:crosses val="autoZero"/>
        <c:crossBetween val="between"/>
        <c:majorUnit val="30"/>
      </c:valAx>
    </c:plotArea>
    <c:legend>
      <c:legendPos val="b"/>
      <c:layout>
        <c:manualLayout>
          <c:xMode val="edge"/>
          <c:yMode val="edge"/>
          <c:x val="0.287294117647059"/>
          <c:y val="0.918093659345214"/>
          <c:w val="0.425411764705886"/>
          <c:h val="0.0610255560160243"/>
        </c:manualLayout>
      </c:layout>
      <c:overlay val="false"/>
      <c:txPr>
        <a:bodyPr rot="0" spcFirstLastPara="0" vertOverflow="ellipsis" vert="horz" wrap="square" anchor="ctr" anchorCtr="true"/>
        <a:lstStyle/>
        <a:p>
          <a:pPr>
            <a:defRPr lang="zh-CN" sz="7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1107</Words>
  <Characters>6310</Characters>
  <Lines>52</Lines>
  <Paragraphs>14</Paragraphs>
  <TotalTime>9233</TotalTime>
  <ScaleCrop>false</ScaleCrop>
  <LinksUpToDate>false</LinksUpToDate>
  <CharactersWithSpaces>7403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2017-04-21T10:47:00Z</dcterms:created>
  <dc:creator>番茄花园</dc:creator>
  <cp:lastModifiedBy>user</cp:lastModifiedBy>
  <cp:lastPrinted>2018-11-01T11:33:00Z</cp:lastPrinted>
  <dcterms:modified xsi:type="dcterms:W3CDTF">2021-12-23T10:33:42Z</dcterms:modified>
  <dc:title>指  标  名  称</dc:title>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