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石柱土家族自治县统计局（本级）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基本情况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8"/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（一）职能职责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Times New Roman" w:eastAsia="方正仿宋_GBK"/>
          <w:color w:val="333333"/>
          <w:sz w:val="32"/>
          <w:szCs w:val="32"/>
        </w:rPr>
        <w:t>石柱土家族自治县统计局贯彻落实县委关于统计工作的决策部署，在履行职责过程中坚持和加强党对统计工作的集中统一领导；承担组织领导和管理协调全县统计工作，确保统计数据真实、准确、及时；组织实施国家统计制度、统计标准和发展规划；组织实施地方统计调查制度和统计改革发展规划；管理和指导乡镇、部门（行业）统计工作；协调政府综合统计和部门统计之间的关系；依法对乡镇统计、部门统计数据进行审核、评估；依法管理全县统计调查项目；加强全县统计基层基础工作；组织实施全县国民经济核算；统计核算全县生产总值；搜集、整理和提供国民经济核算有关资料；组织实施全县一、二、三产业有关统计调查；搜集、整理和提供有关国民经济、社会发展、科技进步、能源资源和环境等统计资料；组织实施有关统计数据质量审核、评估和监控制度；整理、核定、管理、提供、发布全县性的基本统计资料；发布全县性国民经济和社会发展情况的统计信息；加强对全县统计信息发布的规范管理；协助乡镇管理统计人员，促进全县统计人才队伍建设；理和监督乡镇由市财政和县财政安排的统计工作经费；组织统计工作合作交流；承办县政府交办的其他事项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8"/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（二）机构设置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</w:rPr>
        <w:t>本单位内设机构为“三科一室”，即综合核算统计科、工业投资统计科、政策法规科、办公室</w:t>
      </w:r>
      <w:r>
        <w:rPr>
          <w:rFonts w:ascii="方正仿宋_GBK" w:hAnsi="仿宋_GB2312" w:eastAsia="方正仿宋_GBK" w:cs="仿宋_GB2312"/>
          <w:sz w:val="32"/>
        </w:rPr>
        <w:t>4</w:t>
      </w:r>
      <w:r>
        <w:rPr>
          <w:rFonts w:hint="eastAsia" w:ascii="方正仿宋_GBK" w:hAnsi="仿宋_GB2312" w:eastAsia="方正仿宋_GBK" w:cs="仿宋_GB2312"/>
          <w:sz w:val="32"/>
        </w:rPr>
        <w:t>个内设机构，根据职能职责及内设机构情况，核定统计局机关本级行政编制</w:t>
      </w:r>
      <w:r>
        <w:rPr>
          <w:rFonts w:ascii="方正仿宋_GBK" w:hAnsi="仿宋_GB2312" w:eastAsia="方正仿宋_GBK" w:cs="仿宋_GB2312"/>
          <w:sz w:val="32"/>
        </w:rPr>
        <w:t>9</w:t>
      </w:r>
      <w:r>
        <w:rPr>
          <w:rFonts w:hint="eastAsia" w:ascii="方正仿宋_GBK" w:hAnsi="仿宋_GB2312" w:eastAsia="方正仿宋_GBK" w:cs="仿宋_GB2312"/>
          <w:sz w:val="32"/>
        </w:rPr>
        <w:t>名，领导职数</w:t>
      </w:r>
      <w:r>
        <w:rPr>
          <w:rFonts w:ascii="方正仿宋_GBK" w:hAnsi="仿宋_GB2312" w:eastAsia="方正仿宋_GBK" w:cs="仿宋_GB2312"/>
          <w:sz w:val="32"/>
        </w:rPr>
        <w:t>3</w:t>
      </w:r>
      <w:r>
        <w:rPr>
          <w:rFonts w:hint="eastAsia" w:ascii="方正仿宋_GBK" w:hAnsi="仿宋_GB2312" w:eastAsia="方正仿宋_GBK" w:cs="仿宋_GB2312"/>
          <w:sz w:val="32"/>
        </w:rPr>
        <w:t>名，科长（室主任）职数</w:t>
      </w:r>
      <w:r>
        <w:rPr>
          <w:rFonts w:ascii="方正仿宋_GBK" w:hAnsi="仿宋_GB2312" w:eastAsia="方正仿宋_GBK" w:cs="仿宋_GB2312"/>
          <w:sz w:val="32"/>
        </w:rPr>
        <w:t>4</w:t>
      </w:r>
      <w:r>
        <w:rPr>
          <w:rFonts w:hint="eastAsia" w:ascii="方正仿宋_GBK" w:hAnsi="仿宋_GB2312" w:eastAsia="方正仿宋_GBK" w:cs="仿宋_GB2312"/>
          <w:sz w:val="32"/>
        </w:rPr>
        <w:t>名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default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438.00万元。收、支与2023年度相比，减少90.90万元，下降17.2%，主要原因是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上年度因养老保险政策变化，补缴往年养老保险和职业年金，本年度正常缴纳相关费用，导致基本支出较上年度减少25.5万元；上年度电子统计台帐项目为一次性项目，经济普查项目为阶段性项目，本年度未预算电子统计台帐项目经费，经济普查项目经费减少50万元，本年度项目经费共计减少65.4万元。故本年收入较上年度共计减少90.9万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2024年度收入合计438.00万元，与2023年度相比，减少90.90万元，下降17.2%，主要原因是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上年度因养老保险政策变化，补缴往年养老保险和职业年金，本年度正常缴纳相关费用，导致基本支出较上年度减少25.5万元；上年度电子统计台帐项目为一次性项目，经济普查项目为阶段性项目，本年度未预算电子统计台帐项目经费，经济普查项目经费减少50万元，本年度项目经费共计减少65.4万元。故本年收入较上年度共计减少90.9万元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其中：财政拨款收入438.00万元，占100.0%；事业收入0.00万元，占0.0%；经营收入0.00万元，占0.0%；其他收入0.00万元，占0.0%。此外，使用非财政拨款结余（含专用结余）0.00万元，年初结转和结余0.00万元。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2024年度支出合计438.00万元，与2023年度相比，减少90.90万元，下降17.2%，主要原因是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上年度因养老保险政策变化，补缴往年养老保险和职业年金，本年度正常缴纳相关费用，导致基本支出较上年度减少25.5万元；上年度电子统计台帐项目为一次性项目，经济普查项目为阶段性项目，本年度未预算电子统计台帐项目经费，经济普查项目经费减少50万元，本年度项目经费共计减少65.4万元。故本年支出较上年度共计减少90.9万元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其中：基本支出202.42万元，占46.2%；项目支出235.58万元，占53.8%；经营支出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0.00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万元，占0.0%。此外，结余分配0.00万元。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2024年度年末结转和结余0.00万元，与2023年度相比，无增减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2024年度财政拨款收、支总计均为438.00万元。与2023年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相比，财政拨款收、支总计各减少90.90万元，下降17.2%。主要原因是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上年度因养老保险政策变化，补缴往年养老保险和职业年金，本年度正常缴纳相关费用，导致基本支出较上年度减少25.5万元；上年度电子统计台帐项目为一次性项目，经济普查项目为阶段性项目，本年度未预算电子统计台帐项目经费，经济普查项目经费减少50万元，本年度项目经费共计减少65.4万元。故财政拨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收入支出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较上年度共计减少90.9万元。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1.收入情况。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2024年度一般公共预算财政拨款收入438.00万元，与2023年度相比，减少90.90万元，下降17.2%。主要原因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是上年度因养老保险政策变化，补缴往年养老保险和职业年金，本年度正常缴纳相关费用，导致基本支出较上年度减少25.5万元；上年度电子统计台帐项目为一次性项目，经济普查项目为阶段性项目，本年度未预算电子统计台帐项目经费，经济普查项目经费减少50万元，本年度项目经费共计减少65.4万元。故一般公共预算财政拨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收入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较上年度共计减少90.9万元。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较年初预算数减少0.78万元，下降0.2%。此外，年初财政拨款结转和结余0.00万元。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2.支出情况。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2024年度一般公共预算财政拨款支出438.00万元，与2023年度相比，减少90.90万元，下降17.2%。主要原因是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上年度因养老保险政策变化，补缴往年养老保险和职业年金，本年度正常缴纳相关费用，导致基本支出较上年度减少25.5万元；上年度电子统计台帐项目为一次性项目，经济普查项目为阶段性项目，本年度未预算电子统计台帐项目经费，经济普查项目经费减少50万元，本年度项目经费共计减少65.4万元。故一般公共预算财政拨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支出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较上年度共计减少90.9万元。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较年初预算数减少0.78万元，下降0.2%。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（1）一般公共服务支出372.93万元，占85.1%，较年初预算数减少2.37万元，下降0.6%，主要原因是厉行节约，严控一般性支出。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（2）社会保障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就业支出38.90万元，占8.9%，较年初预算数无增减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）卫生健康支出12.38万元，占2.8%，较年初预算数增加0.07万元，增长0.6%，主要原因是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本年度在职职工正常工资晋级晋升，社会保险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基数计算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增加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，卫生健康费用增加。</w:t>
      </w:r>
    </w:p>
    <w:p>
      <w:p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13.78万元，占3.2%，较年初预算数增加1.52万元，增长12.4%，主要原因是本年度有人员晋级晋升，工资发生变化，住房公积金基数调整。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3.结转结余情况。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2024年度年末一般公共预算财政拨款结转和结余0.00万元，与2023年度相比，无增减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2024年度一般公共财政拨款基本支出202.42万元。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人员经费168.92万元，与2023年度相比，减少24.21万元，下降12.5%，主要原因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是上年度因公务员养老保险政策变化，补缴往年养老保险职业年金，本年度正常缴纳相关费用，本年度养老保险等费用较上年减少25.7万元，因工资正常晋升调整，社保及公积金较上年增加1.5万元。两项合计本年度人员经费较上年度减少24.2万元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保障在职人员工资福利及社会保险缴费，离休人员离休费，退休人员补助等。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公用经费33.50万元，与2023年度相比，减少1.30万元，下降3.7%，主要原因是厉行节约，严控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公用经费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支出。公用经费用途主要包括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保障单位正常运转的各项商品服务支出。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Times New Roman" w:eastAsia="方正仿宋_GBK" w:cs="仿宋_GB2312"/>
          <w:sz w:val="32"/>
          <w:szCs w:val="32"/>
        </w:rPr>
      </w:pPr>
      <w:r>
        <w:rPr>
          <w:rFonts w:ascii="方正仿宋_GBK" w:hAnsi="Times New Roman" w:eastAsia="方正仿宋_GBK" w:cs="仿宋_GB2312"/>
          <w:sz w:val="32"/>
          <w:szCs w:val="32"/>
        </w:rPr>
        <w:t>本单位202</w:t>
      </w:r>
      <w:r>
        <w:rPr>
          <w:rFonts w:hint="eastAsia" w:ascii="方正仿宋_GBK" w:hAnsi="Times New Roman" w:eastAsia="方正仿宋_GBK" w:cs="仿宋_GB2312"/>
          <w:sz w:val="32"/>
          <w:szCs w:val="32"/>
          <w:lang w:val="en-US" w:eastAsia="zh-CN"/>
        </w:rPr>
        <w:t>4</w:t>
      </w:r>
      <w:r>
        <w:rPr>
          <w:rFonts w:ascii="方正仿宋_GBK" w:hAnsi="Times New Roman" w:eastAsia="方正仿宋_GBK" w:cs="仿宋_GB2312"/>
          <w:sz w:val="32"/>
          <w:szCs w:val="32"/>
        </w:rPr>
        <w:t>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638" w:leftChars="266" w:firstLine="0" w:firstLineChars="0"/>
        <w:textAlignment w:val="auto"/>
        <w:rPr>
          <w:rStyle w:val="8"/>
          <w:rFonts w:hint="default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  <w:r>
        <w:rPr>
          <w:rStyle w:val="8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b w:val="0"/>
          <w:bCs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2024年度“三公”经费支出共计2.78万元，较年初预算数减少0.52万元，下降15.8%，主要原因是厉行节约，严控开支。较上年支出数减少0.03万元，下降1.1%，主要原因是厉行节约，严控开支。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10"/>
        <w:tabs>
          <w:tab w:val="center" w:pos="4153"/>
          <w:tab w:val="left" w:pos="7275"/>
        </w:tabs>
        <w:spacing w:line="600" w:lineRule="exact"/>
        <w:ind w:firstLine="64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本单位202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年度未发生因公出国（境）费用。</w:t>
      </w:r>
    </w:p>
    <w:p>
      <w:pPr>
        <w:pStyle w:val="10"/>
        <w:tabs>
          <w:tab w:val="center" w:pos="4153"/>
          <w:tab w:val="left" w:pos="7275"/>
        </w:tabs>
        <w:spacing w:line="600" w:lineRule="exact"/>
        <w:ind w:firstLine="640"/>
        <w:jc w:val="left"/>
        <w:rPr>
          <w:rFonts w:hint="eastAsia" w:ascii="方正仿宋_GBK" w:hAnsi="方正仿宋_GBK" w:eastAsia="方正仿宋_GBK" w:cs="方正仿宋_GBK"/>
          <w:color w:val="FF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本单位202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年度未发生公务车辆购置费。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车运行维护费2.30万元，主要用于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我单位公务车辆燃油、路桥、维修维护、保险等。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费用支出较年初预算数无增减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公务接待费0.48万元，主要用于接待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上级部门检查及调研工作。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费用支出较年初预算数减少0.52万元，下降52.0%，主要原因是厉行节约，严控开支。较上年支出数减少0.03万元，下降5.9%，主要原因是本年度接待次数减少，费用降低。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因公出国（境）共计0个团组，0人；公务用车购置0辆，公务车保有量为1辆；国内公务接待5批次54人，其中：国内外事接待0批次，0人；国（境）外公务接待0批次，0人。2024年本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人均接待费89.59元，车均购置费0万元，车均维护费2.30万元。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5.00万元，与2023年度相比，增加5.00万元，增长100.0%，主要原因是本年度因新增统计调查工作任务，需开展工作布置会议，导致本年度会议费增加。本年度培训费支出0.00万元，与2023年度相比，减少24.40万元，下降100.0%，主要原因是上年度因开展经济普查工作，需培训两员业务，该项目为阶段性项目，每5年开展一次，本年度无培训计划，未开展培训，故无培训费。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年度差旅费支出5.80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与2023年度相比，增加1.81万元，增长45.4%，主要原因是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本年度因统计工作内容调整，下乡次数增加，导致差旅费用增加。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机关运行经费支出33.50万元，机关运行经费主要用于开办公费、印刷费、电费、邮电费、物业管理费、差旅费、租赁费、会议费、公务接待费、工会经费、其他交通费用、其他商品和服务支出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机关运行经费较上年支出数减少1.30万元，下降3.7%，主要原因是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本单位厉行节约，严控机关运行费用支出。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截至2024年12月31日，本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共有车辆1辆，其中，副部（省）级及以上领导用车0辆、主要负责人用车0辆、机要通信用车0辆、应急保障用车1辆、执法执勤用车0辆，特种专业技术用车0辆，离退休干部用车0辆。单价100万元（含）以上专用设备0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2024年度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我单位未发生政府采购事项，无相关经费支出。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Style w:val="8"/>
          <w:rFonts w:ascii="方正黑体_GBK" w:hAnsi="黑体" w:eastAsia="方正黑体_GBK" w:cs="黑体"/>
          <w:b w:val="0"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黑体" w:eastAsia="方正黑体_GBK" w:cs="黑体"/>
          <w:b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Style w:val="8"/>
          <w:rFonts w:ascii="方正黑体_GBK" w:hAnsi="黑体" w:eastAsia="方正黑体_GBK" w:cs="黑体"/>
          <w:b w:val="0"/>
          <w:sz w:val="32"/>
          <w:szCs w:val="32"/>
          <w:shd w:val="clear" w:color="auto" w:fill="FFFFFF"/>
        </w:rPr>
        <w:t>预算绩效管理情况</w:t>
      </w:r>
      <w:bookmarkStart w:id="0" w:name="_GoBack"/>
      <w:bookmarkEnd w:id="0"/>
      <w:r>
        <w:rPr>
          <w:rStyle w:val="8"/>
          <w:rFonts w:ascii="方正黑体_GBK" w:hAnsi="黑体" w:eastAsia="方正黑体_GBK" w:cs="黑体"/>
          <w:b w:val="0"/>
          <w:sz w:val="32"/>
          <w:szCs w:val="32"/>
          <w:shd w:val="clear" w:color="auto" w:fill="FFFFFF"/>
        </w:rPr>
        <w:t>说明</w:t>
      </w:r>
    </w:p>
    <w:p>
      <w:pPr>
        <w:pStyle w:val="9"/>
        <w:autoSpaceDE w:val="0"/>
        <w:spacing w:line="600" w:lineRule="exact"/>
        <w:ind w:firstLine="643"/>
        <w:rPr>
          <w:rFonts w:hint="eastAsia" w:ascii="方正楷体_GBK" w:hAnsi="楷体" w:eastAsia="方正楷体_GBK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楷体" w:eastAsia="方正楷体_GBK" w:cs="楷体"/>
          <w:b/>
          <w:bCs/>
          <w:sz w:val="32"/>
          <w:szCs w:val="32"/>
          <w:shd w:val="clear" w:color="auto" w:fill="FFFFFF"/>
        </w:rPr>
        <w:t>（一）单位自评情况</w:t>
      </w:r>
    </w:p>
    <w:p>
      <w:pPr>
        <w:pStyle w:val="11"/>
        <w:autoSpaceDE w:val="0"/>
        <w:spacing w:before="0" w:beforeAutospacing="0" w:after="0" w:afterAutospacing="0" w:line="600" w:lineRule="exact"/>
        <w:ind w:firstLine="640" w:firstLineChars="200"/>
        <w:rPr>
          <w:rFonts w:ascii="方正仿宋_GBK" w:hAnsi="方正仿宋_GBK" w:eastAsia="方正仿宋_GBK" w:cs="方正仿宋_GBK"/>
          <w:color w:val="auto"/>
          <w:sz w:val="32"/>
          <w:szCs w:val="32"/>
          <w:highlight w:val="yellow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根据预算绩效管理要求，我单位对部门整体和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个二级项目开展了绩效自评，涉及财政拨款项目支出资金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234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万元。</w:t>
      </w:r>
    </w:p>
    <w:p>
      <w:pPr>
        <w:pStyle w:val="9"/>
        <w:autoSpaceDE w:val="0"/>
        <w:spacing w:line="600" w:lineRule="exact"/>
        <w:ind w:firstLine="643"/>
        <w:rPr>
          <w:rFonts w:hint="eastAsia" w:ascii="方正楷体_GBK" w:hAnsi="楷体" w:eastAsia="方正楷体_GBK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楷体" w:eastAsia="方正楷体_GBK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>
      <w:pPr>
        <w:pStyle w:val="9"/>
        <w:autoSpaceDE w:val="0"/>
        <w:spacing w:line="600" w:lineRule="exact"/>
        <w:ind w:firstLine="64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我单位未组织开展绩效评价。</w:t>
      </w:r>
    </w:p>
    <w:p>
      <w:pPr>
        <w:pStyle w:val="9"/>
        <w:autoSpaceDE w:val="0"/>
        <w:spacing w:line="600" w:lineRule="exact"/>
        <w:ind w:firstLine="643"/>
        <w:rPr>
          <w:rFonts w:hint="eastAsia" w:ascii="方正楷体_GBK" w:hAnsi="楷体" w:eastAsia="方正楷体_GBK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楷体" w:eastAsia="方正楷体_GBK" w:cs="楷体"/>
          <w:b/>
          <w:bCs/>
          <w:sz w:val="32"/>
          <w:szCs w:val="32"/>
          <w:shd w:val="clear" w:color="auto" w:fill="FFFFFF"/>
        </w:rPr>
        <w:t>（三）财政绩效评价情况</w:t>
      </w:r>
    </w:p>
    <w:p>
      <w:pPr>
        <w:pStyle w:val="9"/>
        <w:autoSpaceDE w:val="0"/>
        <w:spacing w:line="600" w:lineRule="exact"/>
        <w:ind w:firstLine="64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市财政局未委托第三方对我单位开展绩效评价。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石柱土家族自治县统计局本级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3,729,338.41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389,024.64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123,815.40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137,845.84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4,380,024.29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4,380,024.29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石柱土家族自治县统计局本级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3,729,338.41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3,729,338.41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统计信息事务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3,714,338.41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3,714,338.41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1,373,511.21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1,373,511.21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专项普查活动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1,499,393.20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1,499,393.20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统计抽样调查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830,754.00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830,754.00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其他统计信息事务支出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10,680.00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10,680.00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389,024.64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389,024.64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389,024.64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389,024.64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165,600.00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165,600.00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148,949.76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148,949.76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74,474.88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74,474.88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123,815.40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123,815.40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123,815.40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123,815.40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89,115.40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89,115.40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石柱土家族自治县统计局本级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2,024,197.09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2,355,827.20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3,729,338.41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1,373,511.21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2,355,827.20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统计信息事务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3,714,338.41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1,373,511.21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2,340,827.20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1,373,511.21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1,373,511.21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专项普查活动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1,499,393.20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1,499,393.20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统计抽样调查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830,754.00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830,754.00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其他统计信息事务支出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10,680.00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10,680.00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389,024.64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389,024.64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389,024.64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389,024.64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165,600.00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165,600.00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148,949.76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148,949.76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74,474.88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74,474.88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123,815.40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123,815.40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123,815.40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123,815.40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89,115.40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89,115.40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34,700.00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石柱土家族自治县统计局本级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3,729,338.41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3,729,338.41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389,024.64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389,024.64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123,815.40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123,815.40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4,380,024.29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石柱土家族自治县统计局本级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4,380,024.29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2,024,197.09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2,355,827.20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4,380,024.29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2,024,197.09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2,355,827.20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3,729,338.41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1,373,511.21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2,355,827.20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3,729,338.41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1,373,511.21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2,355,827.20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统计信息事务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3,714,338.41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1,373,511.21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2,340,827.20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3,714,338.41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1,373,511.21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2,340,827.20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1,373,511.21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1,373,511.21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1,373,511.21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1,373,511.21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2010507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专项普查活动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1,499,393.20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1,499,393.20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1,499,393.20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1,499,393.20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2010508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统计抽样调查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830,754.00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830,754.00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830,754.00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830,754.00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其他统计信息事务支出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10,680.00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10,680.00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10,680.00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10,680.00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2013202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389,024.64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389,024.64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389,024.64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389,024.64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389,024.64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389,024.64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389,024.64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389,024.64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165,600.00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165,600.00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165,600.00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165,600.00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148,949.76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148,949.76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148,949.76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148,949.76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74,474.88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74,474.88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74,474.88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74,474.88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123,815.40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123,815.40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123,815.40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123,815.40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123,815.40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123,815.40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123,815.40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123,815.40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89,115.40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89,115.40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89,115.40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89,115.40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34,700.00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34,700.00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34,700.00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34,700.00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137,845.84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石柱土家族自治县统计局本级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1,503,598.37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334,998.72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358,449.00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93,020.00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269,256.00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403,360.00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148,949.76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17,444.00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74,474.88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73,352.00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93,770.08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1,695.93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2,792.81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137,845.84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14,700.00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185,600.00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4,838.00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165,600.00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12,498.72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23,000.00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76,000.00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21,800.07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1,689,198.37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334,998.72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石柱土家族自治县统计局本级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石柱土家族自治县统计局本级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石柱土家族自治县统计局本级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334,998.72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27,838.00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334,998.72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23,000.00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23,000.00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4,838.00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4,838.00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58,020.00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86245"/>
    <w:rsid w:val="00FE7556"/>
    <w:rsid w:val="01474EBF"/>
    <w:rsid w:val="01F3521E"/>
    <w:rsid w:val="03E3214F"/>
    <w:rsid w:val="04446191"/>
    <w:rsid w:val="044C50BA"/>
    <w:rsid w:val="04AE597D"/>
    <w:rsid w:val="04D920F4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211E19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2FA3DEA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0C7731"/>
    <w:rsid w:val="20642787"/>
    <w:rsid w:val="21556F04"/>
    <w:rsid w:val="22403BD3"/>
    <w:rsid w:val="24B92327"/>
    <w:rsid w:val="2533755C"/>
    <w:rsid w:val="26396DF4"/>
    <w:rsid w:val="27167136"/>
    <w:rsid w:val="27890FCC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0205C9"/>
    <w:rsid w:val="2D8D2A49"/>
    <w:rsid w:val="2D9D63E0"/>
    <w:rsid w:val="2FE029D7"/>
    <w:rsid w:val="2FF06E00"/>
    <w:rsid w:val="315B509B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9E538E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15159F"/>
    <w:rsid w:val="443A3B12"/>
    <w:rsid w:val="44A854C2"/>
    <w:rsid w:val="44DD597D"/>
    <w:rsid w:val="465B470D"/>
    <w:rsid w:val="469D6AD4"/>
    <w:rsid w:val="47674801"/>
    <w:rsid w:val="48225EF7"/>
    <w:rsid w:val="495C4A24"/>
    <w:rsid w:val="4A526D59"/>
    <w:rsid w:val="4AD70EE7"/>
    <w:rsid w:val="4B7951CB"/>
    <w:rsid w:val="4B7C315C"/>
    <w:rsid w:val="4B9079F5"/>
    <w:rsid w:val="4BAB7F90"/>
    <w:rsid w:val="4DAC4ACA"/>
    <w:rsid w:val="4F186D58"/>
    <w:rsid w:val="50EC262C"/>
    <w:rsid w:val="510066B3"/>
    <w:rsid w:val="522F6E0C"/>
    <w:rsid w:val="52463BA1"/>
    <w:rsid w:val="53C0244D"/>
    <w:rsid w:val="53DD4D4E"/>
    <w:rsid w:val="53E578CE"/>
    <w:rsid w:val="543B029D"/>
    <w:rsid w:val="545D0246"/>
    <w:rsid w:val="54D81309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DDE5063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81D0687"/>
    <w:rsid w:val="688462BA"/>
    <w:rsid w:val="692172FD"/>
    <w:rsid w:val="6A3829EE"/>
    <w:rsid w:val="6AC82F2F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702BDC"/>
    <w:rsid w:val="71C34D91"/>
    <w:rsid w:val="71DA4D05"/>
    <w:rsid w:val="71ED38AA"/>
    <w:rsid w:val="720229AA"/>
    <w:rsid w:val="72DB435C"/>
    <w:rsid w:val="750837F0"/>
    <w:rsid w:val="75A13600"/>
    <w:rsid w:val="764F62AB"/>
    <w:rsid w:val="765C45EC"/>
    <w:rsid w:val="768A7619"/>
    <w:rsid w:val="76E14979"/>
    <w:rsid w:val="77EA362A"/>
    <w:rsid w:val="7875383E"/>
    <w:rsid w:val="78C074A1"/>
    <w:rsid w:val="78F127FF"/>
    <w:rsid w:val="7948781E"/>
    <w:rsid w:val="796D60A4"/>
    <w:rsid w:val="79A031D5"/>
    <w:rsid w:val="7A1525F7"/>
    <w:rsid w:val="7A3E6CB6"/>
    <w:rsid w:val="7A680D2D"/>
    <w:rsid w:val="7AEE4553"/>
    <w:rsid w:val="7B420052"/>
    <w:rsid w:val="7BD06A28"/>
    <w:rsid w:val="7C1E4CD7"/>
    <w:rsid w:val="7C3A7C0B"/>
    <w:rsid w:val="7C5248E4"/>
    <w:rsid w:val="7C566698"/>
    <w:rsid w:val="7D180D6E"/>
    <w:rsid w:val="7D5D6612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styleId="10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hint="default" w:ascii="Calibri" w:hAnsi="Calibri"/>
      <w:kern w:val="2"/>
      <w:sz w:val="21"/>
      <w:szCs w:val="22"/>
    </w:rPr>
  </w:style>
  <w:style w:type="paragraph" w:customStyle="1" w:styleId="11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TotalTime>6</TotalTime>
  <ScaleCrop>false</ScaleCrop>
  <LinksUpToDate>false</LinksUpToDate>
  <CharactersWithSpaces>21460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Administrator</cp:lastModifiedBy>
  <dcterms:modified xsi:type="dcterms:W3CDTF">2025-10-13T00:55:25Z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BB46EABDBB2749749395447164B066B3_12</vt:lpwstr>
  </property>
</Properties>
</file>