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重庆市石柱土家族自治县</w:t>
      </w:r>
    </w:p>
    <w:p>
      <w:pPr>
        <w:pStyle w:val="6"/>
        <w:spacing w:before="0" w:beforeAutospacing="0" w:after="0" w:afterAutospacing="0" w:line="60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社情民意调查中心</w:t>
      </w:r>
      <w:r>
        <w:rPr>
          <w:rFonts w:ascii="方正小标宋_GBK" w:hAnsi="方正小标宋_GBK" w:eastAsia="方正小标宋_GBK" w:cs="方正小标宋_GBK"/>
          <w:sz w:val="44"/>
          <w:szCs w:val="44"/>
          <w:shd w:val="clear" w:color="auto" w:fill="FFFFFF"/>
        </w:rPr>
        <w:t>2023年度决算公开说明</w:t>
      </w:r>
    </w:p>
    <w:p>
      <w:pPr>
        <w:pStyle w:val="6"/>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p>
    <w:p>
      <w:pPr>
        <w:pStyle w:val="6"/>
        <w:shd w:val="clear" w:color="auto" w:fill="FFFFFF"/>
        <w:spacing w:before="0" w:beforeAutospacing="0" w:after="0" w:afterAutospacing="0" w:line="600" w:lineRule="exact"/>
        <w:ind w:firstLine="640" w:firstLineChars="200"/>
        <w:rPr>
          <w:rFonts w:hint="default" w:ascii="方正黑体_GBK" w:hAnsi="黑体" w:eastAsia="方正黑体_GBK" w:cs="黑体"/>
          <w:b/>
          <w:sz w:val="32"/>
          <w:szCs w:val="32"/>
        </w:rPr>
      </w:pPr>
      <w:r>
        <w:rPr>
          <w:rStyle w:val="10"/>
          <w:rFonts w:ascii="方正黑体_GBK" w:hAnsi="黑体" w:eastAsia="方正黑体_GBK" w:cs="黑体"/>
          <w:b w:val="0"/>
          <w:sz w:val="32"/>
          <w:szCs w:val="32"/>
          <w:shd w:val="clear" w:color="auto" w:fill="FFFFFF"/>
        </w:rPr>
        <w:t>一、单位基本情况</w:t>
      </w:r>
    </w:p>
    <w:p>
      <w:pPr>
        <w:spacing w:line="600" w:lineRule="exact"/>
        <w:ind w:firstLine="642" w:firstLineChars="200"/>
        <w:rPr>
          <w:rFonts w:hint="default" w:ascii="方正楷体_GBK" w:hAnsi="方正楷体_GBK" w:eastAsia="方正楷体_GBK" w:cs="方正楷体_GBK"/>
          <w:b/>
          <w:sz w:val="32"/>
        </w:rPr>
      </w:pPr>
      <w:r>
        <w:rPr>
          <w:rFonts w:ascii="方正楷体_GBK" w:hAnsi="方正楷体_GBK" w:eastAsia="方正楷体_GBK" w:cs="方正楷体_GBK"/>
          <w:b/>
          <w:sz w:val="32"/>
        </w:rPr>
        <w:t>（一）职能职责</w:t>
      </w:r>
      <w:bookmarkStart w:id="4" w:name="_GoBack"/>
      <w:bookmarkEnd w:id="4"/>
    </w:p>
    <w:p>
      <w:pPr>
        <w:spacing w:line="600" w:lineRule="exact"/>
        <w:ind w:firstLine="640" w:firstLineChars="200"/>
        <w:rPr>
          <w:rFonts w:hint="default" w:ascii="Times New Roman" w:hAnsi="Times New Roman" w:eastAsia="方正仿宋_GBK" w:cs="仿宋_GB2312"/>
          <w:sz w:val="32"/>
        </w:rPr>
      </w:pPr>
      <w:r>
        <w:rPr>
          <w:rFonts w:ascii="Times New Roman" w:hAnsi="Times New Roman" w:eastAsia="方正仿宋_GBK" w:cs="仿宋_GB2312"/>
          <w:sz w:val="32"/>
        </w:rPr>
        <w:t>本单位主要负责承担县委、县政府对乡镇（街道）社情民意调查及交办的有关民调任务；负责收集人民群众对县委、县政府重大决策、决定的意见建议和对民生问题的认识和反映；承担市统计局和县委、县政府交办的有关社情民意方面的调查任务；承担县级有关部门委托的专项社情民意调查；承担对社情民意调查人员的业务知识培训；承担县统计局领导交办的其他工作。</w:t>
      </w:r>
    </w:p>
    <w:p>
      <w:pPr>
        <w:spacing w:line="600" w:lineRule="exact"/>
        <w:ind w:firstLine="642" w:firstLineChars="200"/>
        <w:rPr>
          <w:rFonts w:hint="default" w:ascii="方正楷体_GBK" w:hAnsi="方正楷体_GBK" w:eastAsia="方正楷体_GBK" w:cs="方正楷体_GBK"/>
          <w:b/>
          <w:sz w:val="32"/>
        </w:rPr>
      </w:pPr>
      <w:r>
        <w:rPr>
          <w:rFonts w:ascii="方正楷体_GBK" w:hAnsi="方正楷体_GBK" w:eastAsia="方正楷体_GBK" w:cs="方正楷体_GBK"/>
          <w:b/>
          <w:sz w:val="32"/>
        </w:rPr>
        <w:t>（二）机构设置</w:t>
      </w:r>
    </w:p>
    <w:p>
      <w:pPr>
        <w:spacing w:line="600" w:lineRule="exact"/>
        <w:ind w:firstLine="640" w:firstLineChars="200"/>
        <w:rPr>
          <w:rFonts w:hint="default" w:ascii="方正仿宋_GBK" w:hAnsi="Times New Roman" w:eastAsia="方正仿宋_GBK" w:cs="仿宋_GB2312"/>
          <w:sz w:val="32"/>
        </w:rPr>
      </w:pPr>
      <w:r>
        <w:rPr>
          <w:rFonts w:ascii="方正仿宋_GBK" w:hAnsi="Times New Roman" w:eastAsia="方正仿宋_GBK" w:cs="仿宋_GB2312"/>
          <w:sz w:val="32"/>
        </w:rPr>
        <w:t>本单位为石柱土家族自治县统计局管理的副科级财政全额拨款公益一类事业单位，无内设机构，全额拨款事业编制6名。</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二、单位决算情况说明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2023年度收入总计138.67万元，支出总计</w:t>
      </w:r>
      <w:r>
        <w:rPr>
          <w:rFonts w:ascii="方正仿宋_GBK" w:hAnsi="方正仿宋_GBK" w:eastAsia="方正仿宋_GBK" w:cs="方正仿宋_GBK"/>
          <w:sz w:val="32"/>
          <w:szCs w:val="32"/>
        </w:rPr>
        <w:t>138.67</w:t>
      </w:r>
      <w:r>
        <w:rPr>
          <w:rFonts w:ascii="方正仿宋_GBK" w:hAnsi="方正仿宋_GBK" w:eastAsia="方正仿宋_GBK" w:cs="方正仿宋_GBK"/>
          <w:sz w:val="32"/>
          <w:szCs w:val="32"/>
          <w:shd w:val="clear" w:color="auto" w:fill="FFFFFF"/>
        </w:rPr>
        <w:t>万元。收支较上年决算数减少3.99万元，下降2.80%，主要原因是</w:t>
      </w:r>
      <w:bookmarkStart w:id="0" w:name="OLE_LINK4"/>
      <w:bookmarkStart w:id="1" w:name="OLE_LINK3"/>
      <w:r>
        <w:rPr>
          <w:rFonts w:ascii="方正仿宋_GBK" w:hAnsi="方正仿宋_GBK" w:eastAsia="方正仿宋_GBK" w:cs="方正仿宋_GBK"/>
          <w:sz w:val="32"/>
          <w:szCs w:val="32"/>
          <w:shd w:val="clear" w:color="auto" w:fill="FFFFFF"/>
        </w:rPr>
        <w:t>本单位严格按照过紧日子的工作要求，厉行节约，严控一般性支出</w:t>
      </w:r>
      <w:bookmarkEnd w:id="0"/>
      <w:bookmarkEnd w:id="1"/>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2023年度收入合计138.67万元，较上年决算数减少3.99万元，下降2.80%，主要原因是本单位严格按照过紧日子的工作要求，厉行节约，严控一般性支出</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138.67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138.67</w:t>
      </w:r>
      <w:r>
        <w:rPr>
          <w:rFonts w:ascii="方正仿宋_GBK" w:hAnsi="方正仿宋_GBK" w:eastAsia="方正仿宋_GBK" w:cs="方正仿宋_GBK"/>
          <w:sz w:val="32"/>
          <w:szCs w:val="32"/>
          <w:shd w:val="clear" w:color="auto" w:fill="FFFFFF"/>
        </w:rPr>
        <w:t>万元，较上年决算数减少3.99万元，下降2.80%，主要原因是本单位严格按照过紧日子的工作要求，厉行节约，严控一般性支出</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138.67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hAnsi="方正仿宋_GBK" w:eastAsia="方正仿宋_GBK" w:cs="方正仿宋_GBK"/>
          <w:color w:val="FF0000"/>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2023年度财政拨款收、支总计138.67万元。与2022年相比，财政拨款收、支总计各减少3.99万元，下降2.80%。主要原因是本单位严格按照过紧日子的工作要求，厉行节约，严控一般性支出。</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138.67</w:t>
      </w:r>
      <w:r>
        <w:rPr>
          <w:rFonts w:ascii="方正仿宋_GBK" w:hAnsi="方正仿宋_GBK" w:eastAsia="方正仿宋_GBK" w:cs="方正仿宋_GBK"/>
          <w:sz w:val="32"/>
          <w:szCs w:val="32"/>
          <w:shd w:val="clear" w:color="auto" w:fill="FFFFFF"/>
        </w:rPr>
        <w:t>万元，较上年决算数减少3.99万元，下降2.80%。主要原因是本单位严格按照过紧日子的工作要求，厉行节约，严控一般性支出。较年初预算数增加14.26万元，增长11.46%。主要原因是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138.67</w:t>
      </w:r>
      <w:r>
        <w:rPr>
          <w:rFonts w:ascii="方正仿宋_GBK" w:hAnsi="方正仿宋_GBK" w:eastAsia="方正仿宋_GBK" w:cs="方正仿宋_GBK"/>
          <w:sz w:val="32"/>
          <w:szCs w:val="32"/>
          <w:shd w:val="clear" w:color="auto" w:fill="FFFFFF"/>
        </w:rPr>
        <w:t>万元，较上年决算数减少3.99万元，下降2.80%。主要原因是本单位严格按照过紧日子的工作要求，厉行节约，严控一般性支出。较年初预算数增加14.26万元，增长11.46%。主要原因是人员经费增加。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110.92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79.99</w:t>
      </w:r>
      <w:r>
        <w:rPr>
          <w:rFonts w:ascii="方正仿宋_GBK" w:hAnsi="方正仿宋_GBK" w:eastAsia="方正仿宋_GBK" w:cs="方正仿宋_GBK"/>
          <w:sz w:val="32"/>
          <w:szCs w:val="32"/>
          <w:shd w:val="clear" w:color="auto" w:fill="FFFFFF"/>
        </w:rPr>
        <w:t>%，较年初预算数增加12.28万元，增长12.45%，主要原因是工资标准有所提高，人员经费增加。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17.87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12.88</w:t>
      </w:r>
      <w:r>
        <w:rPr>
          <w:rFonts w:ascii="方正仿宋_GBK" w:hAnsi="方正仿宋_GBK" w:eastAsia="方正仿宋_GBK" w:cs="方正仿宋_GBK"/>
          <w:sz w:val="32"/>
          <w:szCs w:val="32"/>
          <w:shd w:val="clear" w:color="auto" w:fill="FFFFFF"/>
        </w:rPr>
        <w:t>%，较年初预算数增加5.05万元，增长39.39%，主要原因是职工医疗保险基数调高，导致社保费用增加。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%，较年初预算数减少3.06万元，下降46.79%，主要原因是</w:t>
      </w:r>
      <w:bookmarkStart w:id="2" w:name="OLE_LINK5"/>
      <w:bookmarkStart w:id="3" w:name="OLE_LINK6"/>
      <w:r>
        <w:rPr>
          <w:rFonts w:ascii="方正仿宋_GBK" w:hAnsi="方正仿宋_GBK" w:eastAsia="方正仿宋_GBK" w:cs="方正仿宋_GBK"/>
          <w:sz w:val="32"/>
          <w:szCs w:val="32"/>
          <w:shd w:val="clear" w:color="auto" w:fill="FFFFFF"/>
        </w:rPr>
        <w:t>事业人员养老保险及职业年金基数调减</w:t>
      </w:r>
      <w:bookmarkEnd w:id="2"/>
      <w:bookmarkEnd w:id="3"/>
      <w:r>
        <w:rPr>
          <w:rFonts w:ascii="方正仿宋_GBK" w:hAnsi="方正仿宋_GBK" w:eastAsia="方正仿宋_GBK" w:cs="方正仿宋_GBK"/>
          <w:sz w:val="32"/>
          <w:szCs w:val="32"/>
          <w:shd w:val="clear" w:color="auto" w:fill="FFFFFF"/>
        </w:rPr>
        <w:t>。</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住房保障支出6.41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4.62</w:t>
      </w:r>
      <w:r>
        <w:rPr>
          <w:rFonts w:ascii="方正仿宋_GBK" w:hAnsi="方正仿宋_GBK" w:eastAsia="方正仿宋_GBK" w:cs="方正仿宋_GBK"/>
          <w:sz w:val="32"/>
          <w:szCs w:val="32"/>
          <w:shd w:val="clear" w:color="auto" w:fill="FFFFFF"/>
        </w:rPr>
        <w:t>%，较年初预算数无增减。</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138.67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119.61</w:t>
      </w:r>
      <w:r>
        <w:rPr>
          <w:rFonts w:ascii="方正仿宋_GBK" w:hAnsi="方正仿宋_GBK" w:eastAsia="方正仿宋_GBK" w:cs="方正仿宋_GBK"/>
          <w:sz w:val="32"/>
          <w:szCs w:val="32"/>
          <w:shd w:val="clear" w:color="auto" w:fill="FFFFFF"/>
        </w:rPr>
        <w:t>万元，较上年决算数减少5.46万元，下降4.37%，主要原因是事业人员五险两金政策变化，基数调减。人员经费用途主要包括</w:t>
      </w:r>
      <w:r>
        <w:rPr>
          <w:rFonts w:ascii="方正仿宋_GBK" w:hAnsi="Times New Roman" w:eastAsia="方正仿宋_GBK" w:cs="仿宋_GB2312"/>
          <w:sz w:val="32"/>
          <w:szCs w:val="32"/>
        </w:rPr>
        <w:t>保障在职人员工资福利及社会保险缴费，离休人员离休费，退休人员补助等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19.07</w:t>
      </w:r>
      <w:r>
        <w:rPr>
          <w:rFonts w:ascii="方正仿宋_GBK" w:hAnsi="方正仿宋_GBK" w:eastAsia="方正仿宋_GBK" w:cs="方正仿宋_GBK"/>
          <w:sz w:val="32"/>
          <w:szCs w:val="32"/>
          <w:shd w:val="clear" w:color="auto" w:fill="FFFFFF"/>
        </w:rPr>
        <w:t>万元，较上年决算数增加1.48万元，增长8.41%，主要原因是工作业务增加，办公运营需求增加，导致公用经费增加。公用经费用途主要包括</w:t>
      </w:r>
      <w:r>
        <w:rPr>
          <w:rFonts w:ascii="方正仿宋_GBK" w:hAnsi="Times New Roman" w:eastAsia="方正仿宋_GBK" w:cs="仿宋_GB2312"/>
          <w:sz w:val="32"/>
          <w:szCs w:val="32"/>
        </w:rPr>
        <w:t>保障单位正常运转的各项商品服务支出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Times New Roman" w:eastAsia="方正仿宋_GBK" w:cs="仿宋_GB2312"/>
          <w:sz w:val="32"/>
          <w:szCs w:val="32"/>
        </w:rPr>
      </w:pPr>
      <w:r>
        <w:rPr>
          <w:rFonts w:ascii="方正仿宋_GBK" w:hAnsi="Times New Roman" w:eastAsia="方正仿宋_GBK" w:cs="仿宋_GB2312"/>
          <w:sz w:val="32"/>
          <w:szCs w:val="32"/>
        </w:rPr>
        <w:t>本单位2023年度无政府性基金预算财政拨款收支。</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Times New Roman" w:eastAsia="方正仿宋_GBK" w:cs="仿宋_GB2312"/>
          <w:sz w:val="32"/>
          <w:szCs w:val="32"/>
        </w:rPr>
      </w:pPr>
      <w:r>
        <w:rPr>
          <w:rFonts w:ascii="方正仿宋_GBK" w:hAnsi="Times New Roman" w:eastAsia="方正仿宋_GBK" w:cs="仿宋_GB2312"/>
          <w:sz w:val="32"/>
          <w:szCs w:val="32"/>
        </w:rPr>
        <w:t> 本单位2023年度无国有资本经营预算财政拨款支出。</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三、“三公”经费情况说明</w:t>
      </w:r>
    </w:p>
    <w:p>
      <w:pPr>
        <w:pStyle w:val="6"/>
        <w:shd w:val="clear" w:color="auto" w:fill="FFFFFF"/>
        <w:spacing w:before="0" w:beforeAutospacing="0" w:after="0" w:afterAutospacing="0" w:line="600" w:lineRule="exact"/>
        <w:ind w:firstLine="642" w:firstLineChars="200"/>
        <w:rPr>
          <w:rFonts w:hint="default" w:ascii="方正楷体_GBK" w:eastAsia="方正楷体_GBK"/>
          <w:sz w:val="32"/>
          <w:szCs w:val="32"/>
        </w:rPr>
      </w:pPr>
      <w:r>
        <w:rPr>
          <w:rStyle w:val="10"/>
          <w:rFonts w:ascii="方正楷体_GBK" w:eastAsia="方正楷体_GBK"/>
          <w:sz w:val="32"/>
          <w:szCs w:val="32"/>
        </w:rPr>
        <w:t>（一）“三公”经费支出总体情况说明</w:t>
      </w:r>
    </w:p>
    <w:p>
      <w:pPr>
        <w:pStyle w:val="6"/>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本单位2023年度未发生“三公”经费支出。</w:t>
      </w:r>
    </w:p>
    <w:p>
      <w:pPr>
        <w:pStyle w:val="6"/>
        <w:shd w:val="clear" w:color="auto" w:fill="FFFFFF"/>
        <w:spacing w:before="0" w:beforeAutospacing="0" w:after="0" w:afterAutospacing="0" w:line="600" w:lineRule="exact"/>
        <w:ind w:firstLine="642" w:firstLineChars="200"/>
        <w:rPr>
          <w:rFonts w:hint="default" w:ascii="方正楷体_GBK" w:eastAsia="方正楷体_GBK"/>
          <w:sz w:val="32"/>
          <w:szCs w:val="32"/>
        </w:rPr>
      </w:pPr>
      <w:r>
        <w:rPr>
          <w:rStyle w:val="10"/>
          <w:rFonts w:ascii="方正楷体_GBK" w:eastAsia="方正楷体_GBK"/>
          <w:sz w:val="32"/>
          <w:szCs w:val="32"/>
        </w:rPr>
        <w:t>（二）“三公”经费分项支出情况</w:t>
      </w:r>
    </w:p>
    <w:p>
      <w:pPr>
        <w:pStyle w:val="6"/>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本单位2023年度未发生因公出国（境）费用支出。</w:t>
      </w:r>
    </w:p>
    <w:p>
      <w:pPr>
        <w:pStyle w:val="6"/>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本单位2023年度未发生公务车购置费支出。</w:t>
      </w:r>
    </w:p>
    <w:p>
      <w:pPr>
        <w:pStyle w:val="6"/>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本单位2023年度未发生公务车运行维护费支出。</w:t>
      </w:r>
    </w:p>
    <w:p>
      <w:pPr>
        <w:pStyle w:val="6"/>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本单位2023年度未发生公务接待费支出。</w:t>
      </w:r>
    </w:p>
    <w:p>
      <w:pPr>
        <w:pStyle w:val="6"/>
        <w:shd w:val="clear" w:color="auto" w:fill="FFFFFF"/>
        <w:spacing w:before="0" w:beforeAutospacing="0" w:after="0" w:afterAutospacing="0" w:line="600" w:lineRule="exact"/>
        <w:ind w:firstLine="642" w:firstLineChars="200"/>
        <w:rPr>
          <w:rFonts w:hint="default" w:ascii="方正楷体_GBK" w:eastAsia="方正楷体_GBK"/>
          <w:sz w:val="32"/>
          <w:szCs w:val="32"/>
        </w:rPr>
      </w:pPr>
      <w:r>
        <w:rPr>
          <w:rStyle w:val="10"/>
          <w:rFonts w:ascii="方正楷体_GBK" w:eastAsia="方正楷体_GBK"/>
          <w:sz w:val="32"/>
          <w:szCs w:val="32"/>
        </w:rPr>
        <w:t>（三）“三公”经费实物量情况</w:t>
      </w:r>
    </w:p>
    <w:p>
      <w:pPr>
        <w:pStyle w:val="6"/>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2023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6"/>
        <w:shd w:val="clear" w:color="auto" w:fill="FFFFFF"/>
        <w:spacing w:before="0" w:beforeAutospacing="0" w:after="0" w:afterAutospacing="0" w:line="600" w:lineRule="exact"/>
        <w:ind w:firstLine="640" w:firstLineChars="200"/>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万元，较上年决算数增加0.18万元，增长900.00%，主要原因是事业专技人员每年继续教育培训费用，本年度管理人员也需要培训，导致培训费用增加。</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（二）机关运行经费情况说明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（三）国有资产占用情况说明</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6"/>
        <w:snapToGrid w:val="0"/>
        <w:spacing w:before="0" w:beforeAutospacing="0" w:after="0" w:afterAutospacing="0" w:line="600" w:lineRule="exact"/>
        <w:ind w:firstLine="642" w:firstLineChars="200"/>
        <w:jc w:val="both"/>
        <w:rPr>
          <w:rFonts w:hint="default" w:ascii="方正楷体_GBK" w:hAnsi="楷体" w:eastAsia="方正楷体_GBK" w:cs="楷体"/>
          <w:b/>
          <w:bCs/>
          <w:sz w:val="32"/>
          <w:szCs w:val="32"/>
          <w:shd w:val="clear" w:color="auto" w:fill="FFFFFF"/>
        </w:rPr>
      </w:pPr>
      <w:r>
        <w:rPr>
          <w:rFonts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6"/>
        <w:shd w:val="clear" w:color="auto" w:fill="FFFFFF"/>
        <w:spacing w:before="0" w:beforeAutospacing="0" w:after="0" w:afterAutospacing="0" w:line="600" w:lineRule="exact"/>
        <w:ind w:firstLine="640" w:firstLineChars="200"/>
        <w:rPr>
          <w:rFonts w:hint="default" w:ascii="方正仿宋_GBK" w:eastAsia="方正仿宋_GBK"/>
          <w:sz w:val="32"/>
          <w:szCs w:val="32"/>
        </w:rPr>
      </w:pPr>
      <w:r>
        <w:rPr>
          <w:rFonts w:ascii="方正仿宋_GBK" w:eastAsia="方正仿宋_GBK"/>
          <w:sz w:val="32"/>
          <w:szCs w:val="32"/>
        </w:rPr>
        <w:t>本单位为统计局下属二级预算单位，预算绩效管理工作由统计局机关开展，本单位无项目支出，未开展预算绩效管理工作。</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（二）单位绩效评价情况</w:t>
      </w:r>
    </w:p>
    <w:p>
      <w:pPr>
        <w:pStyle w:val="11"/>
        <w:autoSpaceDE w:val="0"/>
        <w:spacing w:line="600" w:lineRule="exact"/>
        <w:ind w:firstLine="640"/>
        <w:rPr>
          <w:rFonts w:ascii="方正仿宋_GBK" w:eastAsia="方正仿宋_GBK"/>
          <w:sz w:val="32"/>
          <w:szCs w:val="32"/>
        </w:rPr>
      </w:pPr>
      <w:r>
        <w:rPr>
          <w:rFonts w:hint="eastAsia" w:ascii="方正仿宋_GBK" w:eastAsia="方正仿宋_GBK"/>
          <w:sz w:val="32"/>
          <w:szCs w:val="32"/>
        </w:rPr>
        <w:t xml:space="preserve"> 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（三）财政绩效评价情况</w:t>
      </w:r>
    </w:p>
    <w:p>
      <w:pPr>
        <w:pStyle w:val="11"/>
        <w:autoSpaceDE w:val="0"/>
        <w:spacing w:line="600" w:lineRule="exact"/>
        <w:ind w:firstLine="640"/>
        <w:rPr>
          <w:rFonts w:ascii="方正仿宋_GBK" w:eastAsia="方正仿宋_GBK"/>
          <w:sz w:val="32"/>
          <w:szCs w:val="32"/>
        </w:rPr>
      </w:pPr>
      <w:r>
        <w:rPr>
          <w:rFonts w:hint="eastAsia" w:ascii="方正仿宋_GBK" w:eastAsia="方正仿宋_GBK"/>
          <w:sz w:val="32"/>
          <w:szCs w:val="32"/>
        </w:rPr>
        <w:t xml:space="preserve"> 市财政局未委托第三方对我单位开展绩效评价。</w:t>
      </w:r>
    </w:p>
    <w:p>
      <w:pPr>
        <w:pStyle w:val="6"/>
        <w:shd w:val="clear" w:color="auto" w:fill="FFFFFF"/>
        <w:spacing w:before="0" w:beforeAutospacing="0" w:after="0" w:afterAutospacing="0" w:line="600" w:lineRule="exact"/>
        <w:rPr>
          <w:rStyle w:val="10"/>
          <w:rFonts w:hint="default" w:ascii="方正黑体_GBK" w:hAnsi="方正仿宋_GBK" w:eastAsia="方正黑体_GBK" w:cs="方正仿宋_GBK"/>
          <w:b w:val="0"/>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方正黑体_GBK" w:hAnsi="方正仿宋_GBK" w:eastAsia="方正黑体_GBK" w:cs="方正仿宋_GBK"/>
          <w:b w:val="0"/>
          <w:sz w:val="32"/>
          <w:szCs w:val="32"/>
          <w:shd w:val="clear" w:color="auto" w:fill="FFFFFF"/>
        </w:rPr>
        <w:t xml:space="preserve"> </w:t>
      </w:r>
      <w:r>
        <w:rPr>
          <w:rStyle w:val="10"/>
          <w:rFonts w:ascii="方正黑体_GBK" w:hAnsi="黑体" w:eastAsia="方正黑体_GBK" w:cs="黑体"/>
          <w:b w:val="0"/>
          <w:sz w:val="32"/>
          <w:szCs w:val="32"/>
          <w:shd w:val="clear" w:color="auto" w:fill="FFFFFF"/>
        </w:rPr>
        <w:t>六、专业名词解释</w:t>
      </w:r>
    </w:p>
    <w:p>
      <w:pPr>
        <w:pStyle w:val="6"/>
        <w:shd w:val="clear" w:color="auto" w:fill="FFFFFF"/>
        <w:spacing w:before="0" w:beforeAutospacing="0" w:after="0" w:afterAutospacing="0" w:line="600" w:lineRule="exact"/>
        <w:ind w:firstLine="642" w:firstLineChars="200"/>
        <w:rPr>
          <w:rFonts w:hint="default" w:ascii="方正黑体_GBK" w:hAnsi="方正仿宋_GBK" w:eastAsia="方正黑体_GBK" w:cs="方正仿宋_GBK"/>
          <w:sz w:val="32"/>
          <w:szCs w:val="32"/>
          <w:shd w:val="clear" w:color="auto" w:fill="FFFFFF"/>
        </w:rPr>
      </w:pPr>
      <w:r>
        <w:rPr>
          <w:rFonts w:ascii="方正楷体_GBK" w:hAnsi="楷体" w:eastAsia="方正楷体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（二）事业收入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（三）经营收入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（四）其他收入</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（五）使用非财政拨款结余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（六）年初结转和结余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（七）结余分配</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（八）年末结转和结余</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（九）基本支出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（十）项目支出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（十一）经营支出</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（十二）“三公”经费</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（十三）机关运行经费</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（十五）商品和服务支出（支出经济分类科目类级）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楷体_GBK" w:hAnsi="楷体" w:eastAsia="方正楷体_GBK" w:cs="楷体"/>
          <w:sz w:val="32"/>
          <w:szCs w:val="32"/>
          <w:shd w:val="clear" w:color="auto" w:fill="FFFFFF"/>
        </w:rPr>
        <w:t>（十七）其他资本性支出（支出经济分类科目类级）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640" w:firstLineChars="200"/>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七、决算公开联系方式及信息反馈渠道</w:t>
      </w:r>
    </w:p>
    <w:p>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hd w:val="clear" w:color="auto" w:fill="FFFFFF"/>
        <w:spacing w:before="0" w:beforeAutospacing="0" w:after="0" w:afterAutospacing="0" w:line="600" w:lineRule="exact"/>
        <w:ind w:firstLine="640" w:firstLineChars="200"/>
        <w:rPr>
          <w:rFonts w:hint="default" w:ascii="方正仿宋_GBK" w:hAnsi="Calibri" w:eastAsia="方正仿宋_GBK" w:cs="Calibri"/>
          <w:sz w:val="32"/>
          <w:szCs w:val="32"/>
        </w:rPr>
      </w:pPr>
      <w:r>
        <w:rPr>
          <w:rFonts w:ascii="方正仿宋_GBK" w:hAnsi="Calibri" w:eastAsia="方正仿宋_GBK"/>
          <w:sz w:val="32"/>
          <w:szCs w:val="32"/>
        </w:rPr>
        <w:t xml:space="preserve">马嫚   </w:t>
      </w:r>
      <w:r>
        <w:rPr>
          <w:rFonts w:ascii="方正仿宋_GBK" w:hAnsi="Calibri" w:eastAsia="方正仿宋_GBK" w:cs="Calibri"/>
          <w:sz w:val="32"/>
          <w:szCs w:val="32"/>
        </w:rPr>
        <w:t>023-</w:t>
      </w:r>
      <w:r>
        <w:rPr>
          <w:rFonts w:ascii="方正仿宋_GBK" w:hAnsi="Calibri" w:eastAsia="方正仿宋_GBK"/>
          <w:sz w:val="32"/>
          <w:szCs w:val="32"/>
        </w:rPr>
        <w:t>73378481</w:t>
      </w:r>
    </w:p>
    <w:p>
      <w:pPr>
        <w:pStyle w:val="6"/>
        <w:snapToGrid w:val="0"/>
        <w:spacing w:before="0" w:beforeAutospacing="0" w:after="0" w:afterAutospacing="0" w:line="600" w:lineRule="exact"/>
        <w:ind w:firstLine="642"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重庆市石柱土家族自治县社情民意调查中心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138.67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110.92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17.87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138.67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138.67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138.67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138.67</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重庆市石柱土家族自治县社情民意调查中心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138.67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138.67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重庆市石柱土家族自治县社情民意调查中心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138.67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138.67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重庆市石柱土家族自治县社情民意调查中心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重庆市石柱土家族自治县社情民意调查中心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110.92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重庆市石柱土家族自治县社情民意调查中心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119.61</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19.07</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重庆市石柱土家族自治县社情民意调查中心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重庆市石柱土家族自治县社情民意调查中心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重庆市石柱土家族自治县社情民意调查中心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A07DB"/>
    <w:rsid w:val="001D3BB7"/>
    <w:rsid w:val="002823C5"/>
    <w:rsid w:val="002B254B"/>
    <w:rsid w:val="003F78B0"/>
    <w:rsid w:val="00466C9B"/>
    <w:rsid w:val="004C7D44"/>
    <w:rsid w:val="00550ABE"/>
    <w:rsid w:val="00770383"/>
    <w:rsid w:val="007819D4"/>
    <w:rsid w:val="007B419D"/>
    <w:rsid w:val="007B7C4B"/>
    <w:rsid w:val="007D3D39"/>
    <w:rsid w:val="008B6DFD"/>
    <w:rsid w:val="008E16DA"/>
    <w:rsid w:val="009459E3"/>
    <w:rsid w:val="00994AF7"/>
    <w:rsid w:val="009B67B8"/>
    <w:rsid w:val="009D2B67"/>
    <w:rsid w:val="00A566F9"/>
    <w:rsid w:val="00AF2751"/>
    <w:rsid w:val="00AF7EDB"/>
    <w:rsid w:val="00B03CCD"/>
    <w:rsid w:val="00B9150B"/>
    <w:rsid w:val="00BE2B89"/>
    <w:rsid w:val="00BF55E8"/>
    <w:rsid w:val="00C10E9E"/>
    <w:rsid w:val="00C20C3E"/>
    <w:rsid w:val="00C55EE0"/>
    <w:rsid w:val="00C7717B"/>
    <w:rsid w:val="00DA0547"/>
    <w:rsid w:val="00DD2D78"/>
    <w:rsid w:val="00E96593"/>
    <w:rsid w:val="00F301ED"/>
    <w:rsid w:val="00F73F90"/>
    <w:rsid w:val="00FE696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D340BA"/>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7561</Words>
  <Characters>4197</Characters>
  <Lines>34</Lines>
  <Paragraphs>23</Paragraphs>
  <TotalTime>304</TotalTime>
  <ScaleCrop>false</ScaleCrop>
  <LinksUpToDate>false</LinksUpToDate>
  <CharactersWithSpaces>11735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2024-11-28T18:12:06Z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