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00" w:lineRule="exact"/>
        <w:jc w:val="center"/>
        <w:rPr>
          <w:rFonts w:ascii="黑体" w:eastAsia="黑体"/>
          <w:b/>
          <w:szCs w:val="21"/>
        </w:rPr>
      </w:pPr>
      <w:bookmarkStart w:id="0" w:name="_GoBack"/>
      <w:bookmarkEnd w:id="0"/>
      <w:r>
        <w:rPr>
          <w:rFonts w:hint="eastAsia" w:ascii="黑体" w:eastAsia="黑体"/>
          <w:b/>
          <w:szCs w:val="21"/>
        </w:rPr>
        <w:t>统计产品推荐</w:t>
      </w:r>
    </w:p>
    <w:p>
      <w:pPr>
        <w:spacing w:line="300" w:lineRule="exac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1.“数据石柱”统计信息客户端</w:t>
      </w:r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Android系统手机请用浏览器扫描二维码并下载安装：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1534160" cy="1346200"/>
            <wp:effectExtent l="0" t="0" r="0" b="0"/>
            <wp:docPr id="2" name="图片 2" descr="C:\Users\Administrator\AppData\Roaming\Tencent\Users\276253069\QQ\WinTemp\RichOle\M11HP2LA)2K8%U)SQRFM6UN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Users\276253069\QQ\WinTemp\RichOle\M11HP2LA)2K8%U)SQRFM6UN.pn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557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该客户端暂不支持苹果用户。</w:t>
      </w:r>
    </w:p>
    <w:p>
      <w:pPr>
        <w:spacing w:line="300" w:lineRule="exac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2.“数据重庆”、“数据区县”统计信息客户端</w:t>
      </w:r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苹果用户请在应用商店搜索“数据重庆”、“数据区县”安装。</w:t>
      </w:r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Android系统手机请扫描二维码下载安装：</w:t>
      </w:r>
    </w:p>
    <w:p>
      <w:pPr>
        <w:rPr>
          <w:rFonts w:ascii="宋体" w:hAnsi="宋体" w:cs="宋体"/>
          <w:sz w:val="24"/>
        </w:rPr>
      </w:pPr>
      <w:r>
        <w:rPr>
          <w:rFonts w:hint="eastAsia"/>
          <w:b/>
        </w:rPr>
        <w:t xml:space="preserve">       </w:t>
      </w:r>
      <w:r>
        <w:rPr>
          <w:rFonts w:ascii="宋体" w:hAnsi="宋体" w:cs="宋体"/>
          <w:sz w:val="24"/>
        </w:rPr>
        <w:drawing>
          <wp:inline distT="0" distB="0" distL="0" distR="0">
            <wp:extent cx="913765" cy="971550"/>
            <wp:effectExtent l="19050" t="0" r="430" b="0"/>
            <wp:docPr id="4" name="图片 19" descr="C:\Users\Administrator\AppData\Roaming\Tencent\Users\276253069\QQ\WinTemp\RichOle\4_1LPIMJTMPFLOZ5Y9H0GZ2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 descr="C:\Users\Administrator\AppData\Roaming\Tencent\Users\276253069\QQ\WinTemp\RichOle\4_1LPIMJTMPFLOZ5Y9H0GZ2.pn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970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   </w:t>
      </w:r>
      <w:r>
        <w:rPr>
          <w:rFonts w:ascii="宋体" w:hAnsi="宋体" w:cs="宋体"/>
          <w:sz w:val="24"/>
        </w:rPr>
        <w:drawing>
          <wp:inline distT="0" distB="0" distL="0" distR="0">
            <wp:extent cx="916305" cy="971550"/>
            <wp:effectExtent l="19050" t="0" r="0" b="0"/>
            <wp:docPr id="7" name="图片 7" descr="C:\Users\Administrator\AppData\Roaming\Tencent\Users\276253069\QQ\WinTemp\RichOle\)YG$({670ZR(@@SRZAGC682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Roaming\Tencent\Users\276253069\QQ\WinTemp\RichOle\)YG$({670ZR(@@SRZAGC682.png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48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1080" w:firstLineChars="6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数据重庆                 数据区县</w:t>
      </w:r>
    </w:p>
    <w:p>
      <w:pPr>
        <w:spacing w:line="300" w:lineRule="exac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3.统计微博</w:t>
      </w:r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“重庆统计”新浪微博：</w:t>
      </w:r>
      <w:r>
        <w:fldChar w:fldCharType="begin"/>
      </w:r>
      <w:r>
        <w:instrText xml:space="preserve"> HYPERLINK "http://weibo.com/u/2587818780" </w:instrText>
      </w:r>
      <w:r>
        <w:fldChar w:fldCharType="separate"/>
      </w:r>
      <w:r>
        <w:rPr>
          <w:rFonts w:hint="eastAsia" w:ascii="宋体" w:hAnsi="宋体"/>
          <w:sz w:val="18"/>
          <w:szCs w:val="18"/>
        </w:rPr>
        <w:t>http://weibo.com/u/2587818780</w:t>
      </w:r>
      <w:r>
        <w:rPr>
          <w:rFonts w:hint="eastAsia" w:ascii="宋体" w:hAnsi="宋体"/>
          <w:sz w:val="18"/>
          <w:szCs w:val="18"/>
        </w:rPr>
        <w:fldChar w:fldCharType="end"/>
      </w:r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“重庆统计”腾讯微博：</w:t>
      </w:r>
      <w:r>
        <w:fldChar w:fldCharType="begin"/>
      </w:r>
      <w:r>
        <w:instrText xml:space="preserve"> HYPERLINK "http://e.t.qq.com/cqtj" </w:instrText>
      </w:r>
      <w:r>
        <w:fldChar w:fldCharType="separate"/>
      </w:r>
      <w:r>
        <w:rPr>
          <w:rFonts w:hint="eastAsia" w:ascii="宋体" w:hAnsi="宋体"/>
          <w:sz w:val="18"/>
          <w:szCs w:val="18"/>
        </w:rPr>
        <w:t>http://e.t.qq.com/cqtj</w:t>
      </w:r>
      <w:r>
        <w:rPr>
          <w:rFonts w:hint="eastAsia" w:ascii="宋体" w:hAnsi="宋体"/>
          <w:sz w:val="18"/>
          <w:szCs w:val="18"/>
        </w:rPr>
        <w:fldChar w:fldCharType="end"/>
      </w:r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“石柱统计”新浪微博： </w:t>
      </w:r>
    </w:p>
    <w:p>
      <w:pPr>
        <w:spacing w:line="300" w:lineRule="exact"/>
        <w:ind w:firstLine="420" w:firstLineChars="200"/>
        <w:rPr>
          <w:rFonts w:ascii="宋体" w:hAnsi="宋体"/>
          <w:sz w:val="18"/>
          <w:szCs w:val="18"/>
        </w:rPr>
      </w:pPr>
      <w:r>
        <w:fldChar w:fldCharType="begin"/>
      </w:r>
      <w:r>
        <w:instrText xml:space="preserve"> HYPERLINK "http://weibo.com/2610786473/profile?rightmod=1&amp;wvr=6&amp;mod=personinfo" </w:instrText>
      </w:r>
      <w:r>
        <w:fldChar w:fldCharType="separate"/>
      </w:r>
      <w:r>
        <w:rPr>
          <w:rFonts w:ascii="宋体" w:hAnsi="宋体"/>
          <w:sz w:val="18"/>
          <w:szCs w:val="18"/>
        </w:rPr>
        <w:t>http://weibo.com/2610786473/profile?rightmod=1&amp;wvr=6&amp;mod=personinfo</w:t>
      </w:r>
      <w:r>
        <w:rPr>
          <w:rFonts w:ascii="宋体" w:hAnsi="宋体"/>
          <w:sz w:val="18"/>
          <w:szCs w:val="18"/>
        </w:rPr>
        <w:fldChar w:fldCharType="end"/>
      </w:r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“石柱统计”腾讯微博：</w:t>
      </w:r>
      <w:r>
        <w:fldChar w:fldCharType="begin"/>
      </w:r>
      <w:r>
        <w:instrText xml:space="preserve"> HYPERLINK "http://e.t.qq.com/cqtj" </w:instrText>
      </w:r>
      <w:r>
        <w:fldChar w:fldCharType="separate"/>
      </w:r>
      <w:r>
        <w:rPr>
          <w:rFonts w:hint="eastAsia" w:ascii="宋体" w:hAnsi="宋体"/>
          <w:sz w:val="18"/>
          <w:szCs w:val="18"/>
        </w:rPr>
        <w:t>http://e.t.qq.com/shizhutongji？preview</w:t>
      </w:r>
      <w:r>
        <w:rPr>
          <w:rFonts w:hint="eastAsia" w:ascii="宋体" w:hAnsi="宋体"/>
          <w:sz w:val="18"/>
          <w:szCs w:val="18"/>
        </w:rPr>
        <w:fldChar w:fldCharType="end"/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300" w:lineRule="exac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4.统计微讯</w:t>
      </w:r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请通过微信关注“重庆统计微讯”</w:t>
      </w:r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0" w:color="auto" w:fill="FFFFFF"/>
        </w:rPr>
      </w:pPr>
      <w:r>
        <w:rPr>
          <w:rFonts w:hint="eastAsia" w:ascii="黑体" w:eastAsia="黑体"/>
          <w:b/>
          <w:sz w:val="28"/>
          <w:szCs w:val="28"/>
          <w:highlight w:val="lightGray"/>
          <w:shd w:val="pct10" w:color="auto" w:fill="FFFFFF"/>
        </w:rPr>
        <w:t>目    录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地区生产总值</w:t>
      </w:r>
      <w:r>
        <w:rPr>
          <w:rFonts w:ascii="宋体" w:hAnsi="宋体"/>
          <w:sz w:val="20"/>
          <w:szCs w:val="20"/>
        </w:rPr>
        <w:t>………………………………………………</w:t>
      </w:r>
      <w:r>
        <w:rPr>
          <w:rFonts w:hint="eastAsia" w:ascii="宋体" w:hAnsi="宋体"/>
          <w:sz w:val="20"/>
          <w:szCs w:val="20"/>
        </w:rPr>
        <w:t xml:space="preserve"> (1)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工业经济</w:t>
      </w:r>
      <w:r>
        <w:rPr>
          <w:rFonts w:ascii="宋体" w:hAnsi="宋体"/>
          <w:sz w:val="20"/>
          <w:szCs w:val="20"/>
        </w:rPr>
        <w:t>……………………………………………………</w:t>
      </w:r>
      <w:r>
        <w:rPr>
          <w:rFonts w:hint="eastAsia" w:ascii="宋体" w:hAnsi="宋体"/>
          <w:sz w:val="20"/>
          <w:szCs w:val="20"/>
        </w:rPr>
        <w:t xml:space="preserve"> (2)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主要工业产品产量</w:t>
      </w:r>
      <w:r>
        <w:rPr>
          <w:rFonts w:ascii="宋体" w:hAnsi="宋体"/>
          <w:sz w:val="20"/>
          <w:szCs w:val="20"/>
        </w:rPr>
        <w:t>…………………………………………</w:t>
      </w:r>
      <w:r>
        <w:rPr>
          <w:rFonts w:hint="eastAsia" w:ascii="宋体" w:hAnsi="宋体"/>
          <w:sz w:val="20"/>
          <w:szCs w:val="20"/>
        </w:rPr>
        <w:t xml:space="preserve"> (3)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pacing w:val="2"/>
          <w:sz w:val="20"/>
          <w:szCs w:val="20"/>
        </w:rPr>
        <w:t>农     业</w:t>
      </w:r>
      <w:r>
        <w:rPr>
          <w:rFonts w:ascii="宋体" w:hAnsi="宋体"/>
          <w:spacing w:val="2"/>
          <w:sz w:val="20"/>
          <w:szCs w:val="20"/>
        </w:rPr>
        <w:t>………………………………………………</w:t>
      </w:r>
      <w:r>
        <w:rPr>
          <w:rFonts w:ascii="宋体" w:hAnsi="宋体"/>
          <w:sz w:val="20"/>
          <w:szCs w:val="20"/>
        </w:rPr>
        <w:t>…</w:t>
      </w:r>
      <w:r>
        <w:rPr>
          <w:rFonts w:hint="eastAsia" w:ascii="宋体" w:hAnsi="宋体"/>
          <w:spacing w:val="4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(4)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固定资产投资</w:t>
      </w:r>
      <w:r>
        <w:rPr>
          <w:rFonts w:ascii="宋体" w:hAnsi="宋体"/>
          <w:sz w:val="20"/>
          <w:szCs w:val="20"/>
        </w:rPr>
        <w:t>………………………………………………</w:t>
      </w:r>
      <w:r>
        <w:rPr>
          <w:rFonts w:hint="eastAsia" w:ascii="宋体" w:hAnsi="宋体"/>
          <w:sz w:val="20"/>
          <w:szCs w:val="20"/>
        </w:rPr>
        <w:t xml:space="preserve"> (5)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pacing w:val="2"/>
          <w:sz w:val="20"/>
          <w:szCs w:val="20"/>
        </w:rPr>
        <w:t>商业贸易</w:t>
      </w:r>
      <w:r>
        <w:rPr>
          <w:rFonts w:ascii="宋体" w:hAnsi="宋体"/>
          <w:spacing w:val="2"/>
          <w:sz w:val="20"/>
          <w:szCs w:val="20"/>
        </w:rPr>
        <w:t>…</w:t>
      </w:r>
      <w:r>
        <w:rPr>
          <w:rFonts w:ascii="宋体" w:hAnsi="宋体"/>
          <w:spacing w:val="-2"/>
          <w:sz w:val="20"/>
          <w:szCs w:val="20"/>
        </w:rPr>
        <w:t>…………………</w:t>
      </w:r>
      <w:r>
        <w:rPr>
          <w:rFonts w:ascii="宋体" w:hAnsi="宋体"/>
          <w:sz w:val="20"/>
          <w:szCs w:val="20"/>
        </w:rPr>
        <w:t>…………</w:t>
      </w:r>
      <w:r>
        <w:rPr>
          <w:rFonts w:ascii="宋体" w:hAnsi="宋体"/>
          <w:spacing w:val="2"/>
          <w:sz w:val="20"/>
          <w:szCs w:val="20"/>
        </w:rPr>
        <w:t>…………………</w:t>
      </w:r>
      <w:r>
        <w:rPr>
          <w:rFonts w:ascii="宋体" w:hAnsi="宋体"/>
          <w:sz w:val="20"/>
          <w:szCs w:val="20"/>
        </w:rPr>
        <w:t>…</w:t>
      </w:r>
      <w:r>
        <w:rPr>
          <w:rFonts w:hint="eastAsia" w:ascii="宋体" w:hAnsi="宋体"/>
          <w:spacing w:val="2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(6)</w:t>
      </w:r>
    </w:p>
    <w:p>
      <w:pPr>
        <w:spacing w:line="320" w:lineRule="exact"/>
        <w:rPr>
          <w:rFonts w:ascii="宋体" w:hAnsi="宋体"/>
          <w:spacing w:val="6"/>
          <w:sz w:val="20"/>
          <w:szCs w:val="20"/>
        </w:rPr>
      </w:pPr>
      <w:r>
        <w:rPr>
          <w:rFonts w:hint="eastAsia" w:ascii="宋体" w:hAnsi="宋体"/>
          <w:spacing w:val="6"/>
          <w:sz w:val="20"/>
          <w:szCs w:val="20"/>
        </w:rPr>
        <w:t>城乡居民收入</w:t>
      </w:r>
      <w:r>
        <w:rPr>
          <w:rFonts w:ascii="宋体" w:hAnsi="宋体"/>
          <w:spacing w:val="6"/>
          <w:sz w:val="20"/>
          <w:szCs w:val="20"/>
        </w:rPr>
        <w:t>…………</w:t>
      </w:r>
      <w:r>
        <w:rPr>
          <w:rFonts w:ascii="宋体" w:hAnsi="宋体"/>
          <w:spacing w:val="-2"/>
          <w:sz w:val="20"/>
          <w:szCs w:val="20"/>
        </w:rPr>
        <w:t>……</w:t>
      </w:r>
      <w:r>
        <w:rPr>
          <w:rFonts w:ascii="宋体" w:hAnsi="宋体"/>
          <w:spacing w:val="8"/>
          <w:sz w:val="20"/>
          <w:szCs w:val="20"/>
        </w:rPr>
        <w:t>……</w:t>
      </w:r>
      <w:r>
        <w:rPr>
          <w:rFonts w:ascii="宋体" w:hAnsi="宋体"/>
          <w:spacing w:val="4"/>
          <w:sz w:val="20"/>
          <w:szCs w:val="20"/>
        </w:rPr>
        <w:t>………</w:t>
      </w:r>
      <w:r>
        <w:rPr>
          <w:rFonts w:ascii="宋体" w:hAnsi="宋体"/>
          <w:spacing w:val="8"/>
          <w:sz w:val="20"/>
          <w:szCs w:val="20"/>
        </w:rPr>
        <w:t>……</w:t>
      </w:r>
      <w:r>
        <w:rPr>
          <w:rFonts w:ascii="宋体" w:hAnsi="宋体"/>
          <w:spacing w:val="6"/>
          <w:sz w:val="20"/>
          <w:szCs w:val="20"/>
        </w:rPr>
        <w:t>………</w:t>
      </w:r>
      <w:r>
        <w:rPr>
          <w:rFonts w:ascii="宋体" w:hAnsi="宋体"/>
          <w:sz w:val="20"/>
          <w:szCs w:val="20"/>
        </w:rPr>
        <w:t>…</w:t>
      </w:r>
      <w:r>
        <w:rPr>
          <w:rFonts w:hint="eastAsia" w:ascii="宋体" w:hAnsi="宋体"/>
          <w:spacing w:val="6"/>
          <w:sz w:val="20"/>
          <w:szCs w:val="20"/>
        </w:rPr>
        <w:t xml:space="preserve"> (7)</w:t>
      </w:r>
    </w:p>
    <w:p>
      <w:pPr>
        <w:spacing w:line="320" w:lineRule="exact"/>
        <w:rPr>
          <w:rFonts w:ascii="宋体" w:hAnsi="宋体"/>
          <w:spacing w:val="6"/>
          <w:sz w:val="20"/>
          <w:szCs w:val="20"/>
        </w:rPr>
      </w:pPr>
      <w:r>
        <w:rPr>
          <w:rFonts w:hint="eastAsia" w:ascii="宋体" w:hAnsi="宋体"/>
          <w:spacing w:val="2"/>
          <w:sz w:val="20"/>
          <w:szCs w:val="20"/>
        </w:rPr>
        <w:t>外贸旅游</w:t>
      </w:r>
      <w:r>
        <w:rPr>
          <w:rFonts w:ascii="宋体" w:hAnsi="宋体"/>
          <w:spacing w:val="2"/>
          <w:sz w:val="20"/>
          <w:szCs w:val="20"/>
        </w:rPr>
        <w:t>…</w:t>
      </w:r>
      <w:r>
        <w:rPr>
          <w:rFonts w:ascii="宋体" w:hAnsi="宋体"/>
          <w:spacing w:val="-2"/>
          <w:sz w:val="20"/>
          <w:szCs w:val="20"/>
        </w:rPr>
        <w:t>…………………</w:t>
      </w:r>
      <w:r>
        <w:rPr>
          <w:rFonts w:ascii="宋体" w:hAnsi="宋体"/>
          <w:sz w:val="20"/>
          <w:szCs w:val="20"/>
        </w:rPr>
        <w:t>…………</w:t>
      </w:r>
      <w:r>
        <w:rPr>
          <w:rFonts w:ascii="宋体" w:hAnsi="宋体"/>
          <w:spacing w:val="2"/>
          <w:sz w:val="20"/>
          <w:szCs w:val="20"/>
        </w:rPr>
        <w:t>…………………</w:t>
      </w:r>
      <w:r>
        <w:rPr>
          <w:rFonts w:ascii="宋体" w:hAnsi="宋体"/>
          <w:sz w:val="20"/>
          <w:szCs w:val="20"/>
        </w:rPr>
        <w:t>…</w:t>
      </w:r>
      <w:r>
        <w:rPr>
          <w:rFonts w:hint="eastAsia" w:ascii="宋体" w:hAnsi="宋体"/>
          <w:spacing w:val="2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7</w:t>
      </w:r>
      <w:r>
        <w:rPr>
          <w:rFonts w:hint="eastAsia" w:ascii="宋体" w:hAnsi="宋体"/>
          <w:sz w:val="20"/>
          <w:szCs w:val="20"/>
        </w:rPr>
        <w:t>)</w:t>
      </w:r>
    </w:p>
    <w:p>
      <w:pPr>
        <w:spacing w:line="320" w:lineRule="exact"/>
        <w:rPr>
          <w:rFonts w:ascii="宋体" w:hAnsi="宋体"/>
          <w:spacing w:val="6"/>
          <w:sz w:val="20"/>
          <w:szCs w:val="20"/>
        </w:rPr>
      </w:pPr>
      <w:r>
        <w:rPr>
          <w:rFonts w:hint="eastAsia" w:ascii="宋体" w:hAnsi="宋体"/>
          <w:spacing w:val="2"/>
          <w:sz w:val="20"/>
          <w:szCs w:val="20"/>
        </w:rPr>
        <w:t>交通运输</w:t>
      </w:r>
      <w:r>
        <w:rPr>
          <w:rFonts w:ascii="宋体" w:hAnsi="宋体"/>
          <w:spacing w:val="2"/>
          <w:sz w:val="20"/>
          <w:szCs w:val="20"/>
        </w:rPr>
        <w:t>…</w:t>
      </w:r>
      <w:r>
        <w:rPr>
          <w:rFonts w:ascii="宋体" w:hAnsi="宋体"/>
          <w:spacing w:val="-2"/>
          <w:sz w:val="20"/>
          <w:szCs w:val="20"/>
        </w:rPr>
        <w:t>…………………</w:t>
      </w:r>
      <w:r>
        <w:rPr>
          <w:rFonts w:ascii="宋体" w:hAnsi="宋体"/>
          <w:sz w:val="20"/>
          <w:szCs w:val="20"/>
        </w:rPr>
        <w:t>…………</w:t>
      </w:r>
      <w:r>
        <w:rPr>
          <w:rFonts w:ascii="宋体" w:hAnsi="宋体"/>
          <w:spacing w:val="2"/>
          <w:sz w:val="20"/>
          <w:szCs w:val="20"/>
        </w:rPr>
        <w:t>…………………</w:t>
      </w:r>
      <w:r>
        <w:rPr>
          <w:rFonts w:ascii="宋体" w:hAnsi="宋体"/>
          <w:sz w:val="20"/>
          <w:szCs w:val="20"/>
        </w:rPr>
        <w:t>…</w:t>
      </w:r>
      <w:r>
        <w:rPr>
          <w:rFonts w:hint="eastAsia" w:ascii="宋体" w:hAnsi="宋体"/>
          <w:spacing w:val="2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(7)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金融存贷情况</w:t>
      </w:r>
      <w:r>
        <w:rPr>
          <w:rFonts w:ascii="宋体" w:hAnsi="宋体"/>
          <w:sz w:val="20"/>
          <w:szCs w:val="20"/>
        </w:rPr>
        <w:t>…………………</w:t>
      </w:r>
      <w:r>
        <w:rPr>
          <w:rFonts w:ascii="宋体" w:hAnsi="宋体"/>
          <w:spacing w:val="4"/>
          <w:sz w:val="20"/>
          <w:szCs w:val="20"/>
        </w:rPr>
        <w:t>……………</w:t>
      </w:r>
      <w:r>
        <w:rPr>
          <w:rFonts w:ascii="宋体" w:hAnsi="宋体"/>
          <w:sz w:val="20"/>
          <w:szCs w:val="20"/>
        </w:rPr>
        <w:t>………………</w:t>
      </w:r>
      <w:r>
        <w:rPr>
          <w:rFonts w:hint="eastAsia" w:ascii="宋体" w:hAnsi="宋体"/>
          <w:spacing w:val="2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8</w:t>
      </w:r>
      <w:r>
        <w:rPr>
          <w:rFonts w:hint="eastAsia" w:ascii="宋体" w:hAnsi="宋体"/>
          <w:sz w:val="20"/>
          <w:szCs w:val="20"/>
        </w:rPr>
        <w:t>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财政税收</w:t>
      </w:r>
      <w:r>
        <w:rPr>
          <w:rFonts w:ascii="宋体" w:hAnsi="宋体"/>
          <w:sz w:val="20"/>
          <w:szCs w:val="20"/>
        </w:rPr>
        <w:t>……………………</w:t>
      </w:r>
      <w:r>
        <w:rPr>
          <w:rFonts w:ascii="宋体" w:hAnsi="宋体"/>
          <w:spacing w:val="4"/>
          <w:sz w:val="20"/>
          <w:szCs w:val="20"/>
        </w:rPr>
        <w:t>……………</w:t>
      </w:r>
      <w:r>
        <w:rPr>
          <w:rFonts w:ascii="宋体" w:hAnsi="宋体"/>
          <w:sz w:val="20"/>
          <w:szCs w:val="20"/>
        </w:rPr>
        <w:t>…………………</w:t>
      </w:r>
      <w:r>
        <w:rPr>
          <w:rFonts w:hint="eastAsia" w:ascii="宋体" w:hAnsi="宋体"/>
          <w:spacing w:val="2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9</w:t>
      </w:r>
      <w:r>
        <w:rPr>
          <w:rFonts w:hint="eastAsia" w:ascii="宋体" w:hAnsi="宋体"/>
          <w:sz w:val="20"/>
          <w:szCs w:val="20"/>
        </w:rPr>
        <w:t>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pacing w:val="4"/>
          <w:sz w:val="20"/>
          <w:szCs w:val="20"/>
        </w:rPr>
        <w:t>纵向对比资料</w:t>
      </w:r>
      <w:r>
        <w:rPr>
          <w:rFonts w:ascii="宋体" w:hAnsi="宋体"/>
          <w:sz w:val="20"/>
          <w:szCs w:val="20"/>
        </w:rPr>
        <w:t>………………………………………………</w:t>
      </w:r>
      <w:r>
        <w:rPr>
          <w:rFonts w:hint="eastAsia" w:ascii="宋体" w:hAnsi="宋体"/>
          <w:sz w:val="20"/>
          <w:szCs w:val="20"/>
        </w:rPr>
        <w:t xml:space="preserve"> (10)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pacing w:val="4"/>
          <w:sz w:val="20"/>
          <w:szCs w:val="20"/>
        </w:rPr>
        <w:t>横向对比资料</w:t>
      </w:r>
      <w:r>
        <w:rPr>
          <w:rFonts w:ascii="宋体" w:hAnsi="宋体"/>
          <w:sz w:val="20"/>
          <w:szCs w:val="20"/>
        </w:rPr>
        <w:t>………………………………………………</w:t>
      </w:r>
      <w:r>
        <w:rPr>
          <w:rFonts w:hint="eastAsia" w:ascii="宋体" w:hAnsi="宋体"/>
          <w:sz w:val="20"/>
          <w:szCs w:val="20"/>
        </w:rPr>
        <w:t xml:space="preserve"> (10)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2020年2季度区县GDP情况</w:t>
      </w:r>
      <w:r>
        <w:rPr>
          <w:rFonts w:ascii="宋体" w:hAnsi="宋体"/>
          <w:spacing w:val="-2"/>
          <w:sz w:val="20"/>
          <w:szCs w:val="20"/>
        </w:rPr>
        <w:t>……………………………</w:t>
      </w:r>
      <w:r>
        <w:rPr>
          <w:rFonts w:ascii="宋体" w:hAnsi="宋体"/>
          <w:sz w:val="20"/>
          <w:szCs w:val="20"/>
        </w:rPr>
        <w:t>……</w:t>
      </w:r>
      <w:r>
        <w:rPr>
          <w:rFonts w:hint="eastAsia" w:ascii="宋体" w:hAnsi="宋体"/>
          <w:sz w:val="20"/>
          <w:szCs w:val="20"/>
        </w:rPr>
        <w:t>(11)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2020年2季度区县第一产业情况</w:t>
      </w:r>
      <w:r>
        <w:rPr>
          <w:rFonts w:ascii="宋体" w:hAnsi="宋体"/>
          <w:spacing w:val="-2"/>
          <w:sz w:val="20"/>
          <w:szCs w:val="20"/>
        </w:rPr>
        <w:t>……………………</w:t>
      </w:r>
      <w:r>
        <w:rPr>
          <w:rFonts w:ascii="宋体" w:hAnsi="宋体"/>
          <w:sz w:val="20"/>
          <w:szCs w:val="20"/>
        </w:rPr>
        <w:t>……</w:t>
      </w:r>
      <w:r>
        <w:rPr>
          <w:rFonts w:hint="eastAsia" w:ascii="宋体" w:hAnsi="宋体"/>
          <w:spacing w:val="-2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(13)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2020年2季度区县第二产业情况</w:t>
      </w:r>
      <w:r>
        <w:rPr>
          <w:rFonts w:ascii="宋体" w:hAnsi="宋体"/>
          <w:spacing w:val="-2"/>
          <w:sz w:val="20"/>
          <w:szCs w:val="20"/>
        </w:rPr>
        <w:t>……………………</w:t>
      </w:r>
      <w:r>
        <w:rPr>
          <w:rFonts w:ascii="宋体" w:hAnsi="宋体"/>
          <w:sz w:val="20"/>
          <w:szCs w:val="20"/>
        </w:rPr>
        <w:t>……</w:t>
      </w:r>
      <w:r>
        <w:rPr>
          <w:rFonts w:hint="eastAsia" w:ascii="宋体" w:hAnsi="宋体"/>
          <w:spacing w:val="-2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(15)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2020年2季度区县全部工业情况</w:t>
      </w:r>
      <w:r>
        <w:rPr>
          <w:rFonts w:ascii="宋体" w:hAnsi="宋体"/>
          <w:spacing w:val="-2"/>
          <w:sz w:val="20"/>
          <w:szCs w:val="20"/>
        </w:rPr>
        <w:t>……………………</w:t>
      </w:r>
      <w:r>
        <w:rPr>
          <w:rFonts w:ascii="宋体" w:hAnsi="宋体"/>
          <w:sz w:val="20"/>
          <w:szCs w:val="20"/>
        </w:rPr>
        <w:t>……</w:t>
      </w:r>
      <w:r>
        <w:rPr>
          <w:rFonts w:hint="eastAsia" w:ascii="宋体" w:hAnsi="宋体"/>
          <w:spacing w:val="-2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(17)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</w:t>
      </w:r>
      <w:r>
        <w:rPr>
          <w:rFonts w:hint="eastAsia" w:ascii="宋体" w:hAnsi="宋体"/>
          <w:spacing w:val="-4"/>
          <w:sz w:val="20"/>
          <w:szCs w:val="20"/>
        </w:rPr>
        <w:t>区县规模以上工业增加值增速</w:t>
      </w:r>
      <w:r>
        <w:rPr>
          <w:rFonts w:ascii="宋体" w:hAnsi="宋体"/>
          <w:spacing w:val="-4"/>
          <w:sz w:val="20"/>
          <w:szCs w:val="20"/>
        </w:rPr>
        <w:t>………………</w:t>
      </w:r>
      <w:r>
        <w:rPr>
          <w:rFonts w:hint="eastAsia" w:ascii="宋体" w:hAnsi="宋体"/>
          <w:spacing w:val="-4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(19)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2020年2季度区县建筑业情况</w:t>
      </w:r>
      <w:r>
        <w:rPr>
          <w:rFonts w:ascii="宋体" w:hAnsi="宋体"/>
          <w:spacing w:val="-2"/>
          <w:sz w:val="20"/>
          <w:szCs w:val="20"/>
        </w:rPr>
        <w:t>……………………</w:t>
      </w:r>
      <w:r>
        <w:rPr>
          <w:rFonts w:ascii="宋体" w:hAnsi="宋体"/>
          <w:sz w:val="20"/>
          <w:szCs w:val="20"/>
        </w:rPr>
        <w:t>……</w:t>
      </w:r>
      <w:r>
        <w:rPr>
          <w:rFonts w:ascii="宋体" w:hAnsi="宋体"/>
          <w:spacing w:val="-4"/>
          <w:sz w:val="20"/>
          <w:szCs w:val="20"/>
        </w:rPr>
        <w:t>…</w:t>
      </w:r>
      <w:r>
        <w:rPr>
          <w:rFonts w:hint="eastAsia" w:ascii="宋体" w:hAnsi="宋体"/>
          <w:spacing w:val="-2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(21)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2020年2季度区县第三产业情况</w:t>
      </w:r>
      <w:r>
        <w:rPr>
          <w:rFonts w:ascii="宋体" w:hAnsi="宋体"/>
          <w:spacing w:val="-2"/>
          <w:sz w:val="20"/>
          <w:szCs w:val="20"/>
        </w:rPr>
        <w:t>……………………</w:t>
      </w:r>
      <w:r>
        <w:rPr>
          <w:rFonts w:ascii="宋体" w:hAnsi="宋体"/>
          <w:sz w:val="20"/>
          <w:szCs w:val="20"/>
        </w:rPr>
        <w:t>……</w:t>
      </w:r>
      <w:r>
        <w:rPr>
          <w:rFonts w:hint="eastAsia" w:ascii="宋体" w:hAnsi="宋体"/>
          <w:spacing w:val="-2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(23)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</w:t>
      </w:r>
      <w:r>
        <w:rPr>
          <w:rFonts w:hint="eastAsia" w:ascii="宋体" w:hAnsi="宋体"/>
          <w:spacing w:val="-4"/>
          <w:sz w:val="20"/>
          <w:szCs w:val="20"/>
        </w:rPr>
        <w:t>区县注册地建筑业总产值情况</w:t>
      </w:r>
      <w:r>
        <w:rPr>
          <w:rFonts w:ascii="宋体" w:hAnsi="宋体"/>
          <w:spacing w:val="-4"/>
          <w:sz w:val="20"/>
          <w:szCs w:val="20"/>
        </w:rPr>
        <w:t>………………</w:t>
      </w:r>
      <w:r>
        <w:rPr>
          <w:rFonts w:hint="eastAsia" w:ascii="宋体" w:hAnsi="宋体"/>
          <w:spacing w:val="-4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25</w:t>
      </w:r>
      <w:r>
        <w:rPr>
          <w:rFonts w:hint="eastAsia" w:ascii="宋体" w:hAnsi="宋体"/>
          <w:sz w:val="20"/>
          <w:szCs w:val="20"/>
        </w:rPr>
        <w:t>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</w:t>
      </w:r>
      <w:r>
        <w:rPr>
          <w:rFonts w:hint="eastAsia" w:ascii="宋体" w:hAnsi="宋体"/>
          <w:spacing w:val="-2"/>
          <w:sz w:val="20"/>
          <w:szCs w:val="20"/>
        </w:rPr>
        <w:t>区县固定资产投资增速</w:t>
      </w:r>
      <w:r>
        <w:rPr>
          <w:rFonts w:ascii="宋体" w:hAnsi="宋体"/>
          <w:spacing w:val="2"/>
          <w:sz w:val="20"/>
          <w:szCs w:val="20"/>
        </w:rPr>
        <w:t>…………………</w:t>
      </w:r>
      <w:r>
        <w:rPr>
          <w:rFonts w:ascii="宋体" w:hAnsi="宋体"/>
          <w:sz w:val="20"/>
          <w:szCs w:val="20"/>
        </w:rPr>
        <w:t>…</w:t>
      </w:r>
      <w:r>
        <w:rPr>
          <w:rFonts w:hint="eastAsia" w:ascii="宋体" w:hAnsi="宋体"/>
          <w:spacing w:val="2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27</w:t>
      </w:r>
      <w:r>
        <w:rPr>
          <w:rFonts w:hint="eastAsia" w:ascii="宋体" w:hAnsi="宋体"/>
          <w:sz w:val="20"/>
          <w:szCs w:val="20"/>
        </w:rPr>
        <w:t>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2020年2季度区县</w:t>
      </w:r>
      <w:r>
        <w:rPr>
          <w:rFonts w:hint="eastAsia" w:ascii="宋体" w:hAnsi="宋体"/>
          <w:spacing w:val="-2"/>
          <w:sz w:val="20"/>
          <w:szCs w:val="20"/>
        </w:rPr>
        <w:t>工业投资增速</w:t>
      </w:r>
      <w:r>
        <w:rPr>
          <w:rFonts w:ascii="宋体" w:hAnsi="宋体"/>
          <w:spacing w:val="2"/>
          <w:sz w:val="20"/>
          <w:szCs w:val="20"/>
        </w:rPr>
        <w:t>…………………………</w:t>
      </w:r>
      <w:r>
        <w:rPr>
          <w:rFonts w:hint="eastAsia" w:ascii="宋体" w:hAnsi="宋体"/>
          <w:spacing w:val="2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29</w:t>
      </w:r>
      <w:r>
        <w:rPr>
          <w:rFonts w:hint="eastAsia" w:ascii="宋体" w:hAnsi="宋体"/>
          <w:sz w:val="20"/>
          <w:szCs w:val="20"/>
        </w:rPr>
        <w:t>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2020年2季度区县</w:t>
      </w:r>
      <w:r>
        <w:rPr>
          <w:rFonts w:hint="eastAsia" w:ascii="宋体" w:hAnsi="宋体"/>
          <w:spacing w:val="-2"/>
          <w:sz w:val="20"/>
          <w:szCs w:val="20"/>
        </w:rPr>
        <w:t>社零总额增速</w:t>
      </w:r>
      <w:r>
        <w:rPr>
          <w:rFonts w:ascii="宋体" w:hAnsi="宋体"/>
          <w:spacing w:val="2"/>
          <w:sz w:val="20"/>
          <w:szCs w:val="20"/>
        </w:rPr>
        <w:t>…………………………</w:t>
      </w:r>
      <w:r>
        <w:rPr>
          <w:rFonts w:hint="eastAsia" w:ascii="宋体" w:hAnsi="宋体"/>
          <w:spacing w:val="2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31</w:t>
      </w:r>
      <w:r>
        <w:rPr>
          <w:rFonts w:hint="eastAsia" w:ascii="宋体" w:hAnsi="宋体"/>
          <w:sz w:val="20"/>
          <w:szCs w:val="20"/>
        </w:rPr>
        <w:t>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2020年2季度区县全体常住居民人均可支配收入</w:t>
      </w:r>
      <w:r>
        <w:rPr>
          <w:rFonts w:ascii="宋体" w:hAnsi="宋体"/>
          <w:spacing w:val="4"/>
          <w:sz w:val="20"/>
          <w:szCs w:val="20"/>
        </w:rPr>
        <w:t>………</w:t>
      </w:r>
      <w:r>
        <w:rPr>
          <w:rFonts w:hint="eastAsia" w:ascii="宋体" w:hAnsi="宋体"/>
          <w:spacing w:val="4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33</w:t>
      </w:r>
      <w:r>
        <w:rPr>
          <w:rFonts w:hint="eastAsia" w:ascii="宋体" w:hAnsi="宋体"/>
          <w:sz w:val="20"/>
          <w:szCs w:val="20"/>
        </w:rPr>
        <w:t>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2020年2季度区县城镇常住居民人均可支配收入</w:t>
      </w:r>
      <w:r>
        <w:rPr>
          <w:rFonts w:ascii="宋体" w:hAnsi="宋体"/>
          <w:spacing w:val="4"/>
          <w:sz w:val="20"/>
          <w:szCs w:val="20"/>
        </w:rPr>
        <w:t>………</w:t>
      </w:r>
      <w:r>
        <w:rPr>
          <w:rFonts w:hint="eastAsia" w:ascii="宋体" w:hAnsi="宋体"/>
          <w:spacing w:val="4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35</w:t>
      </w:r>
      <w:r>
        <w:rPr>
          <w:rFonts w:hint="eastAsia" w:ascii="宋体" w:hAnsi="宋体"/>
          <w:sz w:val="20"/>
          <w:szCs w:val="20"/>
        </w:rPr>
        <w:t>)</w:t>
      </w:r>
    </w:p>
    <w:p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2020年2季度区县农村常住居民人均可支配收入</w:t>
      </w:r>
      <w:r>
        <w:rPr>
          <w:rFonts w:ascii="宋体" w:hAnsi="宋体"/>
          <w:sz w:val="20"/>
          <w:szCs w:val="20"/>
        </w:rPr>
        <w:t>……</w:t>
      </w:r>
      <w:r>
        <w:rPr>
          <w:rFonts w:ascii="宋体" w:hAnsi="宋体"/>
          <w:spacing w:val="6"/>
          <w:sz w:val="20"/>
          <w:szCs w:val="20"/>
        </w:rPr>
        <w:t>…</w:t>
      </w:r>
      <w:r>
        <w:rPr>
          <w:rFonts w:hint="eastAsia" w:ascii="宋体" w:hAnsi="宋体"/>
          <w:spacing w:val="6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37</w:t>
      </w:r>
      <w:r>
        <w:rPr>
          <w:rFonts w:hint="eastAsia" w:ascii="宋体" w:hAnsi="宋体"/>
          <w:sz w:val="20"/>
          <w:szCs w:val="20"/>
        </w:rPr>
        <w:t>)</w:t>
      </w:r>
    </w:p>
    <w:p>
      <w:pPr>
        <w:spacing w:line="320" w:lineRule="exact"/>
        <w:rPr>
          <w:rFonts w:ascii="黑体" w:eastAsia="黑体"/>
          <w:b/>
          <w:spacing w:val="10"/>
          <w:sz w:val="24"/>
          <w:highlight w:val="lightGray"/>
          <w:shd w:val="pct10" w:color="auto" w:fill="FFFFFF"/>
        </w:rPr>
        <w:sectPr>
          <w:pgSz w:w="7031" w:h="10773"/>
          <w:pgMar w:top="680" w:right="851" w:bottom="244" w:left="851" w:header="567" w:footer="340" w:gutter="0"/>
          <w:pgNumType w:fmt="numberInDash" w:start="1"/>
          <w:cols w:space="425" w:num="1"/>
          <w:docGrid w:type="lines" w:linePitch="312" w:charSpace="0"/>
        </w:sectPr>
      </w:pPr>
    </w:p>
    <w:p>
      <w:pPr>
        <w:rPr>
          <w:rFonts w:ascii="黑体" w:eastAsia="黑体"/>
          <w:b/>
          <w:sz w:val="24"/>
          <w:shd w:val="pct10" w:color="auto" w:fill="FFFFFF"/>
        </w:rPr>
      </w:pPr>
      <w:r>
        <w:rPr>
          <w:rFonts w:hint="eastAsia" w:ascii="黑体" w:eastAsia="黑体"/>
          <w:b/>
          <w:sz w:val="24"/>
          <w:highlight w:val="lightGray"/>
          <w:shd w:val="pct10" w:color="auto" w:fill="FFFFFF"/>
        </w:rPr>
        <w:t>地区生产总值                      （二季度）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618"/>
        <w:gridCol w:w="921"/>
        <w:gridCol w:w="884"/>
        <w:gridCol w:w="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  <w:t>本 年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  <w:t>同比±</w:t>
            </w:r>
            <w:r>
              <w:rPr>
                <w:b/>
                <w:bCs/>
                <w:spacing w:val="-8"/>
                <w:kern w:val="0"/>
                <w:sz w:val="18"/>
                <w:szCs w:val="18"/>
              </w:rPr>
              <w:t>%</w:t>
            </w: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  <w:t>占比%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石柱县生产总值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73.37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#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第一产业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8.51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第二产业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20.19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-1.5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#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工业</w:t>
            </w:r>
          </w:p>
        </w:tc>
        <w:tc>
          <w:tcPr>
            <w:tcW w:w="595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13.87</w:t>
            </w:r>
          </w:p>
        </w:tc>
        <w:tc>
          <w:tcPr>
            <w:tcW w:w="835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-5.2</w:t>
            </w:r>
          </w:p>
        </w:tc>
        <w:tc>
          <w:tcPr>
            <w:tcW w:w="776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建筑业</w:t>
            </w:r>
          </w:p>
        </w:tc>
        <w:tc>
          <w:tcPr>
            <w:tcW w:w="595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6.32</w:t>
            </w:r>
          </w:p>
        </w:tc>
        <w:tc>
          <w:tcPr>
            <w:tcW w:w="835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</w:t>
            </w:r>
          </w:p>
        </w:tc>
        <w:tc>
          <w:tcPr>
            <w:tcW w:w="776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59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44.67</w:t>
            </w:r>
          </w:p>
        </w:tc>
        <w:tc>
          <w:tcPr>
            <w:tcW w:w="8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</w:t>
            </w:r>
          </w:p>
        </w:tc>
        <w:tc>
          <w:tcPr>
            <w:tcW w:w="776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444" w:firstLineChars="300"/>
              <w:rPr>
                <w:spacing w:val="-6"/>
                <w:kern w:val="0"/>
                <w:sz w:val="16"/>
                <w:szCs w:val="16"/>
              </w:rPr>
            </w:pPr>
            <w:r>
              <w:rPr>
                <w:spacing w:val="-6"/>
                <w:kern w:val="0"/>
                <w:sz w:val="16"/>
                <w:szCs w:val="16"/>
              </w:rPr>
              <w:t>#</w:t>
            </w:r>
            <w:r>
              <w:rPr>
                <w:rFonts w:hint="eastAsia"/>
                <w:spacing w:val="-6"/>
                <w:kern w:val="0"/>
                <w:sz w:val="16"/>
                <w:szCs w:val="16"/>
              </w:rPr>
              <w:t>交通运输仓储邮政业</w:t>
            </w:r>
          </w:p>
        </w:tc>
        <w:tc>
          <w:tcPr>
            <w:tcW w:w="59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2.16</w:t>
            </w:r>
          </w:p>
        </w:tc>
        <w:tc>
          <w:tcPr>
            <w:tcW w:w="8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-3.7</w:t>
            </w:r>
          </w:p>
        </w:tc>
        <w:tc>
          <w:tcPr>
            <w:tcW w:w="776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批发和零售业</w:t>
            </w:r>
          </w:p>
        </w:tc>
        <w:tc>
          <w:tcPr>
            <w:tcW w:w="59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7.78</w:t>
            </w:r>
          </w:p>
        </w:tc>
        <w:tc>
          <w:tcPr>
            <w:tcW w:w="8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7.8</w:t>
            </w:r>
          </w:p>
        </w:tc>
        <w:tc>
          <w:tcPr>
            <w:tcW w:w="776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住宿和餐饮业</w:t>
            </w:r>
          </w:p>
        </w:tc>
        <w:tc>
          <w:tcPr>
            <w:tcW w:w="59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1.84</w:t>
            </w:r>
          </w:p>
        </w:tc>
        <w:tc>
          <w:tcPr>
            <w:tcW w:w="8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-20.2</w:t>
            </w:r>
          </w:p>
        </w:tc>
        <w:tc>
          <w:tcPr>
            <w:tcW w:w="776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金融业</w:t>
            </w:r>
          </w:p>
        </w:tc>
        <w:tc>
          <w:tcPr>
            <w:tcW w:w="59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5.76</w:t>
            </w:r>
          </w:p>
        </w:tc>
        <w:tc>
          <w:tcPr>
            <w:tcW w:w="8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776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房地产业</w:t>
            </w:r>
          </w:p>
        </w:tc>
        <w:tc>
          <w:tcPr>
            <w:tcW w:w="59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5.87</w:t>
            </w:r>
          </w:p>
        </w:tc>
        <w:tc>
          <w:tcPr>
            <w:tcW w:w="8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5.7</w:t>
            </w:r>
          </w:p>
        </w:tc>
        <w:tc>
          <w:tcPr>
            <w:tcW w:w="776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营利性服务业</w:t>
            </w:r>
          </w:p>
        </w:tc>
        <w:tc>
          <w:tcPr>
            <w:tcW w:w="59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5.78</w:t>
            </w:r>
          </w:p>
        </w:tc>
        <w:tc>
          <w:tcPr>
            <w:tcW w:w="8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4.3</w:t>
            </w:r>
          </w:p>
        </w:tc>
        <w:tc>
          <w:tcPr>
            <w:tcW w:w="776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非营利性服务业</w:t>
            </w:r>
          </w:p>
        </w:tc>
        <w:tc>
          <w:tcPr>
            <w:tcW w:w="59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15.36</w:t>
            </w:r>
          </w:p>
        </w:tc>
        <w:tc>
          <w:tcPr>
            <w:tcW w:w="8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-3.2</w:t>
            </w:r>
          </w:p>
        </w:tc>
        <w:tc>
          <w:tcPr>
            <w:tcW w:w="776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2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农林牧渔服务业</w:t>
            </w:r>
          </w:p>
        </w:tc>
        <w:tc>
          <w:tcPr>
            <w:tcW w:w="595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74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0.12</w:t>
            </w:r>
          </w:p>
        </w:tc>
        <w:tc>
          <w:tcPr>
            <w:tcW w:w="835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4.0</w:t>
            </w:r>
          </w:p>
        </w:tc>
        <w:tc>
          <w:tcPr>
            <w:tcW w:w="776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</w:t>
            </w:r>
          </w:p>
        </w:tc>
      </w:tr>
    </w:tbl>
    <w:p>
      <w:pPr>
        <w:jc w:val="center"/>
        <w:rPr>
          <w:rFonts w:ascii="黑体" w:eastAsia="黑体"/>
          <w:b/>
          <w:szCs w:val="21"/>
          <w:highlight w:val="lightGray"/>
        </w:rPr>
      </w:pPr>
      <w:r>
        <w:rPr>
          <w:rFonts w:hint="eastAsia" w:ascii="黑体" w:eastAsia="黑体"/>
          <w:b/>
          <w:szCs w:val="21"/>
          <w:highlight w:val="lightGray"/>
        </w:rPr>
        <w:t>GDP季度增速曲线图</w:t>
      </w:r>
      <w:r>
        <w:rPr>
          <w:rFonts w:hint="eastAsia" w:ascii="黑体" w:eastAsia="黑体"/>
          <w:b/>
          <w:sz w:val="24"/>
        </w:rPr>
        <w:drawing>
          <wp:inline distT="0" distB="0" distL="0" distR="0">
            <wp:extent cx="3384550" cy="152400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ind w:left="-210" w:leftChars="-100"/>
        <w:jc w:val="right"/>
        <w:rPr>
          <w:sz w:val="18"/>
          <w:szCs w:val="18"/>
        </w:rPr>
      </w:pPr>
      <w:r>
        <w:rPr>
          <w:rFonts w:hint="eastAsia" w:ascii="黑体" w:eastAsia="黑体"/>
          <w:b/>
          <w:sz w:val="24"/>
          <w:highlight w:val="lightGray"/>
        </w:rPr>
        <w:t>工业经济                          （二季度）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678"/>
        <w:gridCol w:w="916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kern w:val="0"/>
                <w:sz w:val="15"/>
                <w:szCs w:val="15"/>
              </w:rPr>
              <w:t>同比±</w:t>
            </w:r>
            <w:r>
              <w:rPr>
                <w:b/>
                <w:bCs/>
                <w:spacing w:val="-8"/>
                <w:kern w:val="0"/>
                <w:sz w:val="15"/>
                <w:szCs w:val="15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738" w:type="pct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规模以上产值(现价,48家)                 </w:t>
            </w:r>
          </w:p>
        </w:tc>
        <w:tc>
          <w:tcPr>
            <w:tcW w:w="611" w:type="pct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26" w:type="pct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45.26</w:t>
            </w:r>
          </w:p>
        </w:tc>
        <w:tc>
          <w:tcPr>
            <w:tcW w:w="825" w:type="pct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7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#轻工业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8.44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-59.0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7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重工业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36.82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7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500" w:firstLineChars="25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#采矿业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0.45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-57.8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7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36.43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7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spacing w:val="-16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spacing w:val="-16"/>
                <w:kern w:val="0"/>
                <w:sz w:val="18"/>
                <w:szCs w:val="18"/>
              </w:rPr>
              <w:t>电力、热力、燃气及水生产供应业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8.38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7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规模以上销售产值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当年价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45.27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7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工业产品出口交货值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0.31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-97.4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规模以上工业可比价增速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-6.8</w:t>
            </w:r>
          </w:p>
        </w:tc>
      </w:tr>
    </w:tbl>
    <w:p>
      <w:pPr>
        <w:jc w:val="center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  <w:highlight w:val="lightGray"/>
        </w:rPr>
        <w:t>规模以上工业增加值增速（%）</w:t>
      </w:r>
      <w:r>
        <w:rPr>
          <w:rFonts w:ascii="黑体" w:eastAsia="黑体"/>
          <w:b/>
          <w:szCs w:val="21"/>
        </w:rPr>
        <w:drawing>
          <wp:inline distT="0" distB="0" distL="0" distR="0">
            <wp:extent cx="3383915" cy="181864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ind w:left="57" w:leftChars="-30" w:hanging="120" w:hangingChars="50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 w:val="24"/>
          <w:highlight w:val="lightGray"/>
        </w:rPr>
        <w:t>主要工业产品产量                   （二季度）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976"/>
        <w:gridCol w:w="1029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工业品名称</w:t>
            </w:r>
          </w:p>
        </w:tc>
        <w:tc>
          <w:tcPr>
            <w:tcW w:w="88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92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产量</w:t>
            </w:r>
          </w:p>
        </w:tc>
        <w:tc>
          <w:tcPr>
            <w:tcW w:w="85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kern w:val="0"/>
                <w:sz w:val="15"/>
                <w:szCs w:val="15"/>
              </w:rPr>
              <w:t>同比±</w:t>
            </w:r>
            <w:r>
              <w:rPr>
                <w:b/>
                <w:bCs/>
                <w:spacing w:val="-8"/>
                <w:kern w:val="0"/>
                <w:sz w:val="15"/>
                <w:szCs w:val="15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企业用电量</w:t>
            </w:r>
            <w:r>
              <w:rPr>
                <w:rFonts w:hint="eastAsia" w:ascii="宋体" w:hAnsi="宋体"/>
                <w:spacing w:val="-14"/>
                <w:sz w:val="15"/>
                <w:szCs w:val="15"/>
              </w:rPr>
              <w:t>（不含电力公司）</w:t>
            </w:r>
          </w:p>
        </w:tc>
        <w:tc>
          <w:tcPr>
            <w:tcW w:w="880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万度</w:t>
            </w:r>
          </w:p>
        </w:tc>
        <w:tc>
          <w:tcPr>
            <w:tcW w:w="928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13781</w:t>
            </w:r>
          </w:p>
        </w:tc>
        <w:tc>
          <w:tcPr>
            <w:tcW w:w="859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鞋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万双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690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-12.6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500" w:firstLineChars="2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#皮革鞋靴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万双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446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发电量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万度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128062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鲜冷藏冻肉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470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-69.7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自来水生产量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万立方米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628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配混合饲料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2834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-75.7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绒线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69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-87.5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人造板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立方米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60810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-25.8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蚕丝及交织机织物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万米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31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服装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万件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27.82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-82.3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移动通信手持机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万台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214.87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-42.6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500" w:firstLineChars="2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#智能手机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万台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53.25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-50.9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锂离子电池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万只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956.97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同期无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电子元件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万只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4637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商品混凝土</w:t>
            </w:r>
          </w:p>
        </w:tc>
        <w:tc>
          <w:tcPr>
            <w:tcW w:w="88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万立方米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25.36</w:t>
            </w:r>
          </w:p>
        </w:tc>
        <w:tc>
          <w:tcPr>
            <w:tcW w:w="85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-7.0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3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水泥</w:t>
            </w:r>
          </w:p>
        </w:tc>
        <w:tc>
          <w:tcPr>
            <w:tcW w:w="880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万吨</w:t>
            </w:r>
          </w:p>
        </w:tc>
        <w:tc>
          <w:tcPr>
            <w:tcW w:w="928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39.49</w:t>
            </w:r>
          </w:p>
        </w:tc>
        <w:tc>
          <w:tcPr>
            <w:tcW w:w="859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-14.2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 w:ascii="黑体" w:eastAsia="黑体"/>
          <w:b/>
          <w:sz w:val="24"/>
          <w:highlight w:val="lightGray"/>
        </w:rPr>
        <w:t>农   业                           （二季度）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675"/>
        <w:gridCol w:w="980"/>
        <w:gridCol w:w="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sz w:val="17"/>
                <w:szCs w:val="17"/>
              </w:rPr>
              <w:t>同比±</w:t>
            </w:r>
            <w:r>
              <w:rPr>
                <w:b/>
                <w:bCs/>
                <w:spacing w:val="-4"/>
                <w:kern w:val="0"/>
                <w:sz w:val="17"/>
                <w:szCs w:val="17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农林牧渔总产值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14.30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生猪存栏</w:t>
            </w:r>
          </w:p>
        </w:tc>
        <w:tc>
          <w:tcPr>
            <w:tcW w:w="614" w:type="pct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13.64</w:t>
            </w:r>
          </w:p>
        </w:tc>
        <w:tc>
          <w:tcPr>
            <w:tcW w:w="862" w:type="pct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5.70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羊存栏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4.96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家禽存栏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118.26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生猪出栏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8.91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羊出栏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2.13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家禽出栏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70.62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肉类总产量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9089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水产品产量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（县农业农村委数据）</w:t>
            </w:r>
          </w:p>
        </w:tc>
        <w:tc>
          <w:tcPr>
            <w:tcW w:w="61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1820</w:t>
            </w:r>
          </w:p>
        </w:tc>
        <w:tc>
          <w:tcPr>
            <w:tcW w:w="862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粮食产量</w:t>
            </w:r>
          </w:p>
        </w:tc>
        <w:tc>
          <w:tcPr>
            <w:tcW w:w="61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59422</w:t>
            </w:r>
          </w:p>
        </w:tc>
        <w:tc>
          <w:tcPr>
            <w:tcW w:w="862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其中：小春粮食</w:t>
            </w:r>
          </w:p>
        </w:tc>
        <w:tc>
          <w:tcPr>
            <w:tcW w:w="61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59422</w:t>
            </w:r>
          </w:p>
        </w:tc>
        <w:tc>
          <w:tcPr>
            <w:tcW w:w="862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#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小麦</w:t>
            </w:r>
          </w:p>
        </w:tc>
        <w:tc>
          <w:tcPr>
            <w:tcW w:w="61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洋芋</w:t>
            </w:r>
          </w:p>
        </w:tc>
        <w:tc>
          <w:tcPr>
            <w:tcW w:w="61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59105</w:t>
            </w:r>
          </w:p>
        </w:tc>
        <w:tc>
          <w:tcPr>
            <w:tcW w:w="862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大春粮食</w:t>
            </w:r>
          </w:p>
        </w:tc>
        <w:tc>
          <w:tcPr>
            <w:tcW w:w="61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#水稻</w:t>
            </w:r>
          </w:p>
        </w:tc>
        <w:tc>
          <w:tcPr>
            <w:tcW w:w="61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玉米</w:t>
            </w:r>
          </w:p>
        </w:tc>
        <w:tc>
          <w:tcPr>
            <w:tcW w:w="61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红苕</w:t>
            </w:r>
          </w:p>
        </w:tc>
        <w:tc>
          <w:tcPr>
            <w:tcW w:w="61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0"/>
                <w:szCs w:val="20"/>
              </w:rPr>
              <w:t>蔬菜产量</w:t>
            </w:r>
          </w:p>
        </w:tc>
        <w:tc>
          <w:tcPr>
            <w:tcW w:w="61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109347</w:t>
            </w:r>
          </w:p>
        </w:tc>
        <w:tc>
          <w:tcPr>
            <w:tcW w:w="862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油菜籽产量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4370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3.5</w:t>
            </w:r>
          </w:p>
        </w:tc>
      </w:tr>
    </w:tbl>
    <w:p>
      <w:pPr>
        <w:spacing w:line="240" w:lineRule="exact"/>
        <w:rPr>
          <w:sz w:val="15"/>
          <w:szCs w:val="15"/>
        </w:rPr>
      </w:pPr>
      <w:r>
        <w:rPr>
          <w:rFonts w:hint="eastAsia"/>
          <w:sz w:val="15"/>
          <w:szCs w:val="15"/>
        </w:rPr>
        <w:t>注：农林牧渔业总产值可比价增幅为2.2%；肉类总产量不包含兔肉产量。</w:t>
      </w:r>
    </w:p>
    <w:p>
      <w:pPr>
        <w:widowControl/>
        <w:adjustRightInd w:val="0"/>
        <w:snapToGrid w:val="0"/>
        <w:jc w:val="center"/>
        <w:rPr>
          <w:rFonts w:ascii="黑体" w:hAnsi="Tahoma" w:eastAsia="黑体" w:cstheme="minorBidi"/>
          <w:b/>
          <w:kern w:val="0"/>
          <w:sz w:val="24"/>
        </w:rPr>
      </w:pPr>
      <w:r>
        <w:rPr>
          <w:rFonts w:hint="eastAsia" w:ascii="黑体" w:hAnsi="Tahoma" w:eastAsia="黑体" w:cstheme="minorBidi"/>
          <w:b/>
          <w:kern w:val="0"/>
          <w:sz w:val="24"/>
          <w:highlight w:val="lightGray"/>
        </w:rPr>
        <w:t>固定资产投资                    （二季度）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635"/>
        <w:gridCol w:w="947"/>
        <w:gridCol w:w="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标</w:t>
            </w:r>
            <w:r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</w:t>
            </w:r>
            <w:r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  <w:t>同比±%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黑体" w:hAnsi="宋体" w:eastAsia="黑体" w:cs="宋体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spacing w:val="-4"/>
                <w:kern w:val="0"/>
                <w:sz w:val="18"/>
                <w:szCs w:val="18"/>
              </w:rPr>
              <w:t>本年新开工项目计划总投资</w:t>
            </w:r>
            <w:r>
              <w:rPr>
                <w:rFonts w:hint="eastAsia" w:ascii="黑体" w:hAnsi="宋体" w:eastAsia="黑体" w:cs="宋体"/>
                <w:b/>
                <w:bCs/>
                <w:spacing w:val="-4"/>
                <w:kern w:val="0"/>
                <w:sz w:val="12"/>
                <w:szCs w:val="12"/>
              </w:rPr>
              <w:t>（不含房地产）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127.95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黑体" w:hAnsi="黑体" w:eastAsia="黑体" w:cstheme="minorBidi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spacing w:val="-4"/>
                <w:kern w:val="0"/>
                <w:sz w:val="18"/>
                <w:szCs w:val="18"/>
              </w:rPr>
              <w:t>本年新开工项目完成投资（</w:t>
            </w:r>
            <w:r>
              <w:rPr>
                <w:rFonts w:hint="eastAsia" w:ascii="黑体" w:hAnsi="黑体" w:eastAsia="黑体" w:cstheme="minorBidi"/>
                <w:b/>
                <w:bCs/>
                <w:spacing w:val="-4"/>
                <w:kern w:val="0"/>
                <w:sz w:val="12"/>
                <w:szCs w:val="12"/>
              </w:rPr>
              <w:t>不含房地产）</w:t>
            </w:r>
          </w:p>
        </w:tc>
        <w:tc>
          <w:tcPr>
            <w:tcW w:w="573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5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16.98</w:t>
            </w:r>
          </w:p>
        </w:tc>
        <w:tc>
          <w:tcPr>
            <w:tcW w:w="73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黑体" w:hAnsi="黑体" w:eastAsia="黑体" w:cstheme="minorBidi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spacing w:val="-4"/>
                <w:kern w:val="0"/>
                <w:sz w:val="18"/>
                <w:szCs w:val="18"/>
              </w:rPr>
              <w:t>全社会固定资产投资</w:t>
            </w:r>
          </w:p>
        </w:tc>
        <w:tc>
          <w:tcPr>
            <w:tcW w:w="573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5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67.86</w:t>
            </w:r>
          </w:p>
        </w:tc>
        <w:tc>
          <w:tcPr>
            <w:tcW w:w="73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401" w:firstLineChars="200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theme="minorBidi"/>
                <w:b/>
                <w:bCs/>
                <w:kern w:val="0"/>
                <w:sz w:val="20"/>
                <w:szCs w:val="20"/>
              </w:rPr>
              <w:t>#旅游投资</w:t>
            </w:r>
            <w:r>
              <w:rPr>
                <w:rFonts w:hint="eastAsia" w:ascii="黑体" w:hAnsi="宋体" w:eastAsia="黑体" w:cs="宋体"/>
                <w:b/>
                <w:bCs/>
                <w:spacing w:val="-8"/>
                <w:kern w:val="0"/>
                <w:sz w:val="14"/>
                <w:szCs w:val="14"/>
              </w:rPr>
              <w:t>（县文旅委提供）</w:t>
            </w:r>
          </w:p>
        </w:tc>
        <w:tc>
          <w:tcPr>
            <w:tcW w:w="573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5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29.12</w:t>
            </w:r>
          </w:p>
        </w:tc>
        <w:tc>
          <w:tcPr>
            <w:tcW w:w="73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theme="minorBidi"/>
                <w:b/>
                <w:bCs/>
                <w:kern w:val="0"/>
                <w:sz w:val="20"/>
                <w:szCs w:val="20"/>
              </w:rPr>
              <w:t>(1)项目完成固定资产投资</w:t>
            </w:r>
          </w:p>
        </w:tc>
        <w:tc>
          <w:tcPr>
            <w:tcW w:w="573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5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50.08</w:t>
            </w:r>
          </w:p>
        </w:tc>
        <w:tc>
          <w:tcPr>
            <w:tcW w:w="73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项目投资按国民经济行业分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450" w:firstLineChars="250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>第一产业投资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4.70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340.0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>第二产业投资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13.38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>#工业投资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13.38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第三产业投资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32.00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-25.3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bCs/>
                <w:kern w:val="0"/>
                <w:sz w:val="18"/>
                <w:szCs w:val="18"/>
              </w:rPr>
              <w:t xml:space="preserve">       #交</w:t>
            </w:r>
            <w:r>
              <w:rPr>
                <w:rFonts w:hint="eastAsia" w:ascii="宋体" w:hAnsi="宋体" w:cstheme="minorBidi"/>
                <w:bCs/>
                <w:spacing w:val="-6"/>
                <w:kern w:val="0"/>
                <w:sz w:val="18"/>
                <w:szCs w:val="18"/>
              </w:rPr>
              <w:t>通运输业、仓储和邮政业</w:t>
            </w:r>
          </w:p>
        </w:tc>
        <w:tc>
          <w:tcPr>
            <w:tcW w:w="573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5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9.50</w:t>
            </w:r>
          </w:p>
        </w:tc>
        <w:tc>
          <w:tcPr>
            <w:tcW w:w="73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-30.1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bCs/>
                <w:kern w:val="0"/>
                <w:sz w:val="18"/>
                <w:szCs w:val="18"/>
              </w:rPr>
              <w:t xml:space="preserve">        水利环境公共设施</w:t>
            </w:r>
          </w:p>
        </w:tc>
        <w:tc>
          <w:tcPr>
            <w:tcW w:w="573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5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19.73</w:t>
            </w:r>
          </w:p>
        </w:tc>
        <w:tc>
          <w:tcPr>
            <w:tcW w:w="73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-24.0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theme="minorBidi"/>
                <w:b/>
                <w:bCs/>
                <w:kern w:val="0"/>
                <w:sz w:val="20"/>
                <w:szCs w:val="20"/>
              </w:rPr>
              <w:t>(2)房地产企业投资</w:t>
            </w:r>
          </w:p>
        </w:tc>
        <w:tc>
          <w:tcPr>
            <w:tcW w:w="573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85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17.78</w:t>
            </w:r>
          </w:p>
        </w:tc>
        <w:tc>
          <w:tcPr>
            <w:tcW w:w="73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bCs/>
                <w:kern w:val="0"/>
                <w:sz w:val="18"/>
                <w:szCs w:val="18"/>
              </w:rPr>
              <w:t xml:space="preserve">     房屋施工面积</w:t>
            </w:r>
          </w:p>
        </w:tc>
        <w:tc>
          <w:tcPr>
            <w:tcW w:w="573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万㎡</w:t>
            </w:r>
          </w:p>
        </w:tc>
        <w:tc>
          <w:tcPr>
            <w:tcW w:w="85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188.00</w:t>
            </w:r>
          </w:p>
        </w:tc>
        <w:tc>
          <w:tcPr>
            <w:tcW w:w="73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bCs/>
                <w:kern w:val="0"/>
                <w:sz w:val="18"/>
                <w:szCs w:val="18"/>
              </w:rPr>
              <w:t xml:space="preserve">       #本年新开工</w:t>
            </w:r>
          </w:p>
        </w:tc>
        <w:tc>
          <w:tcPr>
            <w:tcW w:w="573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万㎡</w:t>
            </w:r>
          </w:p>
        </w:tc>
        <w:tc>
          <w:tcPr>
            <w:tcW w:w="85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35.55</w:t>
            </w:r>
          </w:p>
        </w:tc>
        <w:tc>
          <w:tcPr>
            <w:tcW w:w="73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bCs/>
                <w:kern w:val="0"/>
                <w:sz w:val="18"/>
                <w:szCs w:val="18"/>
              </w:rPr>
              <w:t xml:space="preserve">     房屋竣工面积</w:t>
            </w:r>
          </w:p>
        </w:tc>
        <w:tc>
          <w:tcPr>
            <w:tcW w:w="573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万㎡</w:t>
            </w:r>
          </w:p>
        </w:tc>
        <w:tc>
          <w:tcPr>
            <w:tcW w:w="85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11.17</w:t>
            </w:r>
          </w:p>
        </w:tc>
        <w:tc>
          <w:tcPr>
            <w:tcW w:w="73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theme="minorBidi"/>
                <w:bCs/>
                <w:kern w:val="0"/>
                <w:sz w:val="18"/>
                <w:szCs w:val="18"/>
              </w:rPr>
              <w:t xml:space="preserve">  商品房屋销售面积</w:t>
            </w:r>
          </w:p>
        </w:tc>
        <w:tc>
          <w:tcPr>
            <w:tcW w:w="573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万㎡</w:t>
            </w:r>
          </w:p>
        </w:tc>
        <w:tc>
          <w:tcPr>
            <w:tcW w:w="85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27.39</w:t>
            </w:r>
          </w:p>
        </w:tc>
        <w:tc>
          <w:tcPr>
            <w:tcW w:w="7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theme="minorBidi"/>
                <w:bCs/>
                <w:kern w:val="0"/>
                <w:sz w:val="18"/>
                <w:szCs w:val="18"/>
              </w:rPr>
              <w:t>商品房屋销售金额</w:t>
            </w:r>
          </w:p>
        </w:tc>
        <w:tc>
          <w:tcPr>
            <w:tcW w:w="573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5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14.14</w:t>
            </w:r>
          </w:p>
        </w:tc>
        <w:tc>
          <w:tcPr>
            <w:tcW w:w="7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83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b/>
                <w:bCs/>
                <w:kern w:val="0"/>
                <w:sz w:val="18"/>
                <w:szCs w:val="18"/>
              </w:rPr>
              <w:t>注册地建筑业总产值</w:t>
            </w:r>
          </w:p>
        </w:tc>
        <w:tc>
          <w:tcPr>
            <w:tcW w:w="573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54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6.78</w:t>
            </w:r>
          </w:p>
        </w:tc>
        <w:tc>
          <w:tcPr>
            <w:tcW w:w="736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15.0</w:t>
            </w:r>
          </w:p>
        </w:tc>
      </w:tr>
    </w:tbl>
    <w:p>
      <w:pPr>
        <w:spacing w:line="200" w:lineRule="exact"/>
        <w:rPr>
          <w:rFonts w:ascii="黑体" w:eastAsia="黑体"/>
          <w:szCs w:val="21"/>
          <w:highlight w:val="lightGray"/>
        </w:rPr>
      </w:pPr>
      <w:r>
        <w:rPr>
          <w:rFonts w:hint="eastAsia" w:ascii="宋体" w:hAnsi="宋体"/>
          <w:sz w:val="15"/>
          <w:szCs w:val="15"/>
        </w:rPr>
        <w:t>注：全社会固定资产投资总额不含跨区和农户数据。</w:t>
      </w:r>
    </w:p>
    <w:p>
      <w:pPr>
        <w:spacing w:before="156" w:beforeLines="50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  <w:highlight w:val="lightGray"/>
        </w:rPr>
        <w:t>全社会固定资产投资增速（%）</w:t>
      </w:r>
    </w:p>
    <w:p>
      <w:pPr>
        <w:spacing w:before="156" w:beforeLines="50"/>
        <w:jc w:val="center"/>
      </w:pPr>
      <w:r>
        <w:rPr>
          <w:rFonts w:ascii="黑体" w:eastAsia="黑体"/>
          <w:b/>
          <w:sz w:val="24"/>
        </w:rPr>
        <w:drawing>
          <wp:inline distT="0" distB="0" distL="0" distR="0">
            <wp:extent cx="3383915" cy="1638935"/>
            <wp:effectExtent l="0" t="0" r="0" b="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spacing w:before="156" w:beforeLines="50"/>
        <w:jc w:val="center"/>
        <w:rPr>
          <w:rFonts w:ascii="仿宋_GB2312" w:hAnsi="宋体" w:eastAsia="仿宋_GB2312"/>
          <w:b/>
          <w:szCs w:val="21"/>
          <w:shd w:val="pct10" w:color="auto" w:fill="FFFFFF"/>
        </w:rPr>
      </w:pPr>
      <w:r>
        <w:rPr>
          <w:rFonts w:hint="eastAsia" w:ascii="黑体" w:eastAsia="黑体"/>
          <w:b/>
          <w:sz w:val="24"/>
          <w:highlight w:val="lightGray"/>
        </w:rPr>
        <w:t>商业贸易                          （二季度）</w:t>
      </w:r>
    </w:p>
    <w:tbl>
      <w:tblPr>
        <w:tblStyle w:val="10"/>
        <w:tblW w:w="495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699"/>
        <w:gridCol w:w="1033"/>
        <w:gridCol w:w="1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sz w:val="20"/>
                <w:szCs w:val="20"/>
              </w:rPr>
              <w:t>同比±</w:t>
            </w:r>
            <w:r>
              <w:rPr>
                <w:b/>
                <w:bCs/>
                <w:spacing w:val="-4"/>
                <w:kern w:val="0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社会消费品零售总额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32.85</w:t>
            </w:r>
          </w:p>
        </w:tc>
        <w:tc>
          <w:tcPr>
            <w:tcW w:w="92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-15.6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#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批发行业</w:t>
            </w:r>
          </w:p>
        </w:tc>
        <w:tc>
          <w:tcPr>
            <w:tcW w:w="63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4.37</w:t>
            </w:r>
          </w:p>
        </w:tc>
        <w:tc>
          <w:tcPr>
            <w:tcW w:w="92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400" w:firstLineChars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零售行业</w:t>
            </w:r>
          </w:p>
        </w:tc>
        <w:tc>
          <w:tcPr>
            <w:tcW w:w="63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24.67</w:t>
            </w:r>
          </w:p>
        </w:tc>
        <w:tc>
          <w:tcPr>
            <w:tcW w:w="92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住宿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业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1.29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-44.3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2.52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00" w:firstLineChars="15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rFonts w:hint="eastAsia"/>
                <w:kern w:val="0"/>
                <w:sz w:val="16"/>
                <w:szCs w:val="16"/>
              </w:rPr>
              <w:t>限额以上批零企业零售额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9.18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spacing w:val="-6"/>
                <w:kern w:val="0"/>
                <w:sz w:val="20"/>
                <w:szCs w:val="20"/>
              </w:rPr>
            </w:pPr>
            <w:r>
              <w:rPr>
                <w:rFonts w:hint="eastAsia"/>
                <w:spacing w:val="-6"/>
                <w:kern w:val="0"/>
                <w:sz w:val="20"/>
                <w:szCs w:val="20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400" w:firstLineChars="25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限额以上住餐企业零售额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0.75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-44.7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限额以上个体零售额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3.79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9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限额以下抽样个体零售额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批发业商品销售额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38.04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31.46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00" w:firstLineChars="15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限额以下抽样个体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零售业商品销售额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24.74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94" w:firstLineChars="15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6.33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92" w:firstLineChars="200"/>
              <w:rPr>
                <w:spacing w:val="-2"/>
                <w:kern w:val="0"/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2.68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400" w:firstLineChars="2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限额以下抽样个体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spacing w:val="-2"/>
                <w:kern w:val="0"/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</w:rPr>
              <w:t>住宿业营业收入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3.09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92" w:firstLineChars="2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0.38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92" w:firstLineChars="2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 xml:space="preserve"> 限额以上个体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0.47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500" w:firstLineChars="25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限额以下抽样个体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spacing w:val="-2"/>
                <w:kern w:val="0"/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</w:rPr>
              <w:t>餐饮业营业收入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3.10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92" w:firstLineChars="2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0.49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-50.4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92" w:firstLineChars="2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 xml:space="preserve"> 限额以上个体</w:t>
            </w:r>
          </w:p>
        </w:tc>
        <w:tc>
          <w:tcPr>
            <w:tcW w:w="636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0.77</w:t>
            </w:r>
          </w:p>
        </w:tc>
        <w:tc>
          <w:tcPr>
            <w:tcW w:w="924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5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500" w:firstLineChars="25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限额以下抽样个体</w:t>
            </w:r>
          </w:p>
        </w:tc>
        <w:tc>
          <w:tcPr>
            <w:tcW w:w="636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924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6.5</w:t>
            </w:r>
          </w:p>
        </w:tc>
      </w:tr>
    </w:tbl>
    <w:p>
      <w:pPr>
        <w:spacing w:before="156" w:beforeLines="50"/>
        <w:jc w:val="center"/>
        <w:rPr>
          <w:rFonts w:ascii="黑体" w:eastAsia="黑体"/>
          <w:b/>
          <w:sz w:val="24"/>
          <w:highlight w:val="lightGray"/>
        </w:rPr>
      </w:pPr>
      <w:r>
        <w:rPr>
          <w:rFonts w:hint="eastAsia" w:ascii="黑体" w:eastAsia="黑体"/>
          <w:b/>
          <w:sz w:val="24"/>
          <w:highlight w:val="lightGray"/>
        </w:rPr>
        <w:t>城乡居民收入                      （二季度）</w:t>
      </w:r>
    </w:p>
    <w:tbl>
      <w:tblPr>
        <w:tblStyle w:val="10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651"/>
        <w:gridCol w:w="1095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49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8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84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497" w:type="pct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城乡居民人均可支配收入</w:t>
            </w:r>
          </w:p>
        </w:tc>
        <w:tc>
          <w:tcPr>
            <w:tcW w:w="585" w:type="pct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13246</w:t>
            </w:r>
          </w:p>
        </w:tc>
        <w:tc>
          <w:tcPr>
            <w:tcW w:w="934" w:type="pct"/>
            <w:tcBorders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497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城镇居民人均可支配收入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19592</w:t>
            </w:r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497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农村居民人均可支配收入</w:t>
            </w:r>
          </w:p>
        </w:tc>
        <w:tc>
          <w:tcPr>
            <w:tcW w:w="585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7973</w:t>
            </w:r>
          </w:p>
        </w:tc>
        <w:tc>
          <w:tcPr>
            <w:tcW w:w="93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6.1</w:t>
            </w:r>
          </w:p>
        </w:tc>
      </w:tr>
    </w:tbl>
    <w:p>
      <w:pPr>
        <w:spacing w:line="340" w:lineRule="exact"/>
        <w:ind w:left="-105" w:leftChars="-50" w:firstLine="118" w:firstLineChars="49"/>
        <w:rPr>
          <w:rFonts w:ascii="黑体" w:eastAsia="黑体"/>
          <w:b/>
          <w:sz w:val="24"/>
          <w:highlight w:val="lightGray"/>
        </w:rPr>
      </w:pPr>
      <w:r>
        <w:rPr>
          <w:rFonts w:hint="eastAsia" w:ascii="黑体" w:eastAsia="黑体"/>
          <w:b/>
          <w:sz w:val="24"/>
          <w:highlight w:val="lightGray"/>
        </w:rPr>
        <w:t>外贸旅游                          （二季度）</w:t>
      </w:r>
    </w:p>
    <w:tbl>
      <w:tblPr>
        <w:tblStyle w:val="10"/>
        <w:tblW w:w="50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966"/>
        <w:gridCol w:w="1037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86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898" w:type="pct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9" w:type="pct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外贸进出口总额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亿元</w:t>
            </w:r>
          </w:p>
        </w:tc>
        <w:tc>
          <w:tcPr>
            <w:tcW w:w="933" w:type="pct"/>
            <w:tcBorders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13.58</w:t>
            </w:r>
          </w:p>
        </w:tc>
        <w:tc>
          <w:tcPr>
            <w:tcW w:w="898" w:type="pct"/>
            <w:tcBorders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#</w:t>
            </w:r>
            <w:r>
              <w:rPr>
                <w:rFonts w:hint="eastAsia" w:ascii="宋体" w:hAnsi="宋体"/>
                <w:szCs w:val="21"/>
              </w:rPr>
              <w:t>出口额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亿元</w:t>
            </w:r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0.20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进口额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亿元</w:t>
            </w:r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13.38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旅游人次</w:t>
            </w:r>
            <w:r>
              <w:rPr>
                <w:rFonts w:hint="eastAsia" w:ascii="宋体" w:hAnsi="宋体"/>
                <w:sz w:val="15"/>
                <w:szCs w:val="15"/>
              </w:rPr>
              <w:t>（县文旅委提供）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万人次</w:t>
            </w:r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491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9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旅游综合收入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5"/>
                <w:szCs w:val="15"/>
              </w:rPr>
              <w:t>县文旅委提供）</w:t>
            </w:r>
          </w:p>
        </w:tc>
        <w:tc>
          <w:tcPr>
            <w:tcW w:w="869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亿元</w:t>
            </w:r>
          </w:p>
        </w:tc>
        <w:tc>
          <w:tcPr>
            <w:tcW w:w="933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30.90</w:t>
            </w:r>
          </w:p>
        </w:tc>
        <w:tc>
          <w:tcPr>
            <w:tcW w:w="898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-9.7</w:t>
            </w:r>
          </w:p>
        </w:tc>
      </w:tr>
    </w:tbl>
    <w:p>
      <w:pPr>
        <w:spacing w:line="340" w:lineRule="exact"/>
        <w:ind w:left="-105" w:leftChars="-50" w:firstLine="118" w:firstLineChars="49"/>
        <w:rPr>
          <w:rFonts w:ascii="黑体" w:eastAsia="黑体"/>
          <w:b/>
          <w:sz w:val="24"/>
          <w:highlight w:val="lightGray"/>
        </w:rPr>
      </w:pPr>
      <w:r>
        <w:rPr>
          <w:rFonts w:hint="eastAsia" w:ascii="黑体" w:eastAsia="黑体"/>
          <w:b/>
          <w:sz w:val="24"/>
          <w:highlight w:val="lightGray"/>
        </w:rPr>
        <w:t>交通运输                          （二季度）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964"/>
        <w:gridCol w:w="103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2300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86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897" w:type="pct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2300" w:type="pct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公路水路运输总周转量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万吨公里</w:t>
            </w:r>
          </w:p>
        </w:tc>
        <w:tc>
          <w:tcPr>
            <w:tcW w:w="933" w:type="pct"/>
            <w:tcBorders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31929</w:t>
            </w:r>
          </w:p>
        </w:tc>
        <w:tc>
          <w:tcPr>
            <w:tcW w:w="897" w:type="pct"/>
            <w:tcBorders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230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/>
                <w:sz w:val="18"/>
                <w:szCs w:val="18"/>
              </w:rPr>
              <w:t>公路运输总周转量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万吨公里</w:t>
            </w:r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28852</w:t>
            </w:r>
          </w:p>
        </w:tc>
        <w:tc>
          <w:tcPr>
            <w:tcW w:w="897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2300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水路运输总周转量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万吨公里</w:t>
            </w:r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3077</w:t>
            </w:r>
          </w:p>
        </w:tc>
        <w:tc>
          <w:tcPr>
            <w:tcW w:w="897" w:type="pct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2300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铁路旅客发送量</w:t>
            </w:r>
          </w:p>
        </w:tc>
        <w:tc>
          <w:tcPr>
            <w:tcW w:w="869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万人次</w:t>
            </w:r>
          </w:p>
        </w:tc>
        <w:tc>
          <w:tcPr>
            <w:tcW w:w="933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33.19</w:t>
            </w:r>
          </w:p>
        </w:tc>
        <w:tc>
          <w:tcPr>
            <w:tcW w:w="897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-50.6</w:t>
            </w:r>
          </w:p>
        </w:tc>
      </w:tr>
    </w:tbl>
    <w:p>
      <w:pPr>
        <w:spacing w:line="340" w:lineRule="exact"/>
        <w:ind w:left="-105" w:leftChars="-50" w:firstLine="120" w:firstLineChars="50"/>
        <w:rPr>
          <w:rFonts w:ascii="黑体" w:hAnsi="宋体" w:eastAsia="黑体"/>
          <w:b/>
          <w:sz w:val="24"/>
          <w:highlight w:val="lightGray"/>
        </w:rPr>
      </w:pPr>
      <w:r>
        <w:rPr>
          <w:rFonts w:hint="eastAsia" w:ascii="黑体" w:hAnsi="宋体" w:eastAsia="黑体"/>
          <w:b/>
          <w:sz w:val="24"/>
          <w:highlight w:val="lightGray"/>
        </w:rPr>
        <w:t xml:space="preserve">金融存贷                            </w:t>
      </w:r>
      <w:r>
        <w:rPr>
          <w:rFonts w:hint="eastAsia" w:ascii="黑体" w:hAnsi="宋体" w:eastAsia="黑体"/>
          <w:b/>
          <w:spacing w:val="2"/>
          <w:sz w:val="24"/>
          <w:highlight w:val="lightGray"/>
        </w:rPr>
        <w:t>(6月末)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603"/>
        <w:gridCol w:w="898"/>
        <w:gridCol w:w="954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</w:t>
            </w:r>
            <w:r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标</w:t>
            </w:r>
            <w:r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</w:t>
            </w:r>
            <w:r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kern w:val="0"/>
                <w:sz w:val="18"/>
                <w:szCs w:val="18"/>
              </w:rPr>
              <w:t>期末数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  <w:t>较年初±</w:t>
            </w:r>
            <w:r>
              <w:rPr>
                <w:b/>
                <w:bCs/>
                <w:spacing w:val="-16"/>
                <w:kern w:val="0"/>
                <w:sz w:val="16"/>
                <w:szCs w:val="16"/>
              </w:rPr>
              <w:t>%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  <w:t>同比±</w:t>
            </w:r>
            <w:r>
              <w:rPr>
                <w:b/>
                <w:bCs/>
                <w:spacing w:val="-16"/>
                <w:kern w:val="0"/>
                <w:sz w:val="16"/>
                <w:szCs w:val="16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00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(一)金融机构存款情况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--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</w:t>
            </w:r>
          </w:p>
        </w:tc>
        <w:tc>
          <w:tcPr>
            <w:tcW w:w="78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00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各项存款余额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269.49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4.7</w:t>
            </w:r>
          </w:p>
        </w:tc>
        <w:tc>
          <w:tcPr>
            <w:tcW w:w="78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00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instrText xml:space="preserve">= 1 \* GB3</w:instrText>
            </w:r>
            <w:r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住户存款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206.63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9.4</w:t>
            </w:r>
          </w:p>
        </w:tc>
        <w:tc>
          <w:tcPr>
            <w:tcW w:w="78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00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②非金融企业存款</w:t>
            </w:r>
          </w:p>
        </w:tc>
        <w:tc>
          <w:tcPr>
            <w:tcW w:w="54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27.39</w:t>
            </w:r>
          </w:p>
        </w:tc>
        <w:tc>
          <w:tcPr>
            <w:tcW w:w="860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-19.5</w:t>
            </w:r>
          </w:p>
        </w:tc>
        <w:tc>
          <w:tcPr>
            <w:tcW w:w="780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00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③广义政府存款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35.47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78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00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#财政性存款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3.63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137.1</w:t>
            </w:r>
          </w:p>
        </w:tc>
        <w:tc>
          <w:tcPr>
            <w:tcW w:w="78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-71.9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00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(二)金融机构贷款情况</w:t>
            </w:r>
          </w:p>
        </w:tc>
        <w:tc>
          <w:tcPr>
            <w:tcW w:w="54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8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</w:t>
            </w:r>
          </w:p>
        </w:tc>
        <w:tc>
          <w:tcPr>
            <w:tcW w:w="860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</w:t>
            </w:r>
          </w:p>
        </w:tc>
        <w:tc>
          <w:tcPr>
            <w:tcW w:w="780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00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各项贷款余额</w:t>
            </w:r>
          </w:p>
        </w:tc>
        <w:tc>
          <w:tcPr>
            <w:tcW w:w="54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212.47</w:t>
            </w:r>
          </w:p>
        </w:tc>
        <w:tc>
          <w:tcPr>
            <w:tcW w:w="860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780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00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70" w:firstLineChars="15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fldChar w:fldCharType="begin"/>
            </w:r>
            <w:r>
              <w:rPr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kern w:val="0"/>
                <w:sz w:val="18"/>
                <w:szCs w:val="18"/>
              </w:rPr>
              <w:instrText xml:space="preserve">= 1 \* GB3</w:instrText>
            </w:r>
            <w:r>
              <w:rPr>
                <w:kern w:val="0"/>
                <w:sz w:val="18"/>
                <w:szCs w:val="18"/>
              </w:rPr>
              <w:instrText xml:space="preserve"> </w:instrText>
            </w:r>
            <w:r>
              <w:rPr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/>
                <w:kern w:val="0"/>
                <w:sz w:val="18"/>
                <w:szCs w:val="18"/>
              </w:rPr>
              <w:t>①</w:t>
            </w:r>
            <w:r>
              <w:rPr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kern w:val="0"/>
                <w:sz w:val="18"/>
                <w:szCs w:val="18"/>
              </w:rPr>
              <w:t>住户贷款</w:t>
            </w:r>
          </w:p>
        </w:tc>
        <w:tc>
          <w:tcPr>
            <w:tcW w:w="54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103.98</w:t>
            </w:r>
          </w:p>
        </w:tc>
        <w:tc>
          <w:tcPr>
            <w:tcW w:w="860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780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00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#短期贷款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24.51</w:t>
            </w:r>
          </w:p>
        </w:tc>
        <w:tc>
          <w:tcPr>
            <w:tcW w:w="86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0.1</w:t>
            </w:r>
          </w:p>
        </w:tc>
        <w:tc>
          <w:tcPr>
            <w:tcW w:w="78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00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中长期贷款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79.47</w:t>
            </w:r>
          </w:p>
        </w:tc>
        <w:tc>
          <w:tcPr>
            <w:tcW w:w="86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</w:t>
            </w:r>
          </w:p>
        </w:tc>
        <w:tc>
          <w:tcPr>
            <w:tcW w:w="78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00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95" w:firstLineChars="150"/>
              <w:rPr>
                <w:rFonts w:ascii="宋体" w:hAnsi="宋体" w:cs="宋体"/>
                <w:spacing w:val="-1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spacing w:val="-10"/>
                <w:kern w:val="0"/>
                <w:sz w:val="15"/>
                <w:szCs w:val="15"/>
              </w:rPr>
              <w:t>②非金融企业及机关团体贷款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108.49</w:t>
            </w:r>
          </w:p>
        </w:tc>
        <w:tc>
          <w:tcPr>
            <w:tcW w:w="86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6.0</w:t>
            </w:r>
          </w:p>
        </w:tc>
        <w:tc>
          <w:tcPr>
            <w:tcW w:w="78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00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#短期贷款</w:t>
            </w:r>
          </w:p>
        </w:tc>
        <w:tc>
          <w:tcPr>
            <w:tcW w:w="54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14.49</w:t>
            </w:r>
          </w:p>
        </w:tc>
        <w:tc>
          <w:tcPr>
            <w:tcW w:w="86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27.4</w:t>
            </w:r>
          </w:p>
        </w:tc>
        <w:tc>
          <w:tcPr>
            <w:tcW w:w="78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0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中长期贷款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93.70</w:t>
            </w:r>
          </w:p>
        </w:tc>
        <w:tc>
          <w:tcPr>
            <w:tcW w:w="860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3.0</w:t>
            </w:r>
          </w:p>
        </w:tc>
        <w:tc>
          <w:tcPr>
            <w:tcW w:w="780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22.3</w:t>
            </w:r>
          </w:p>
        </w:tc>
      </w:tr>
    </w:tbl>
    <w:p>
      <w:pPr>
        <w:widowControl/>
        <w:adjustRightInd w:val="0"/>
        <w:snapToGrid w:val="0"/>
        <w:spacing w:line="16" w:lineRule="atLeast"/>
        <w:jc w:val="center"/>
        <w:rPr>
          <w:rFonts w:ascii="黑体" w:hAnsi="Tahoma" w:eastAsia="黑体" w:cstheme="minorBidi"/>
          <w:kern w:val="0"/>
          <w:sz w:val="24"/>
        </w:rPr>
      </w:pPr>
      <w:r>
        <w:rPr>
          <w:rFonts w:hint="eastAsia" w:ascii="黑体" w:hAnsi="Tahoma" w:eastAsia="黑体" w:cstheme="minorBidi"/>
          <w:b/>
          <w:kern w:val="0"/>
          <w:sz w:val="24"/>
          <w:highlight w:val="lightGray"/>
        </w:rPr>
        <w:t>财政税收                       （06月份）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651"/>
        <w:gridCol w:w="915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</w:t>
            </w:r>
            <w:r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标</w:t>
            </w:r>
            <w:r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1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  <w:t>同比±</w:t>
            </w:r>
            <w:r>
              <w:rPr>
                <w:rFonts w:ascii="宋体" w:hAnsi="宋体" w:cstheme="minorBidi"/>
                <w:b/>
                <w:bCs/>
                <w:spacing w:val="-4"/>
                <w:kern w:val="0"/>
                <w:sz w:val="16"/>
                <w:szCs w:val="16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(一)辖区内财政总收入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118559</w:t>
            </w:r>
          </w:p>
        </w:tc>
        <w:tc>
          <w:tcPr>
            <w:tcW w:w="121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(1)按征收部门划分</w:t>
            </w:r>
          </w:p>
        </w:tc>
        <w:tc>
          <w:tcPr>
            <w:tcW w:w="587" w:type="pct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80" w:firstLineChars="10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80" w:firstLineChars="10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税务部门收入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61284</w:t>
            </w:r>
          </w:p>
        </w:tc>
        <w:tc>
          <w:tcPr>
            <w:tcW w:w="1217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财政部门收入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57275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(2)按预算级次划分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80" w:firstLineChars="10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中央级收入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28897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市级收入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712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b/>
                <w:kern w:val="0"/>
                <w:sz w:val="18"/>
                <w:szCs w:val="18"/>
              </w:rPr>
              <w:t xml:space="preserve">      本级财政收入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88950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  一般公共预算收入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51905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890" w:firstLineChars="495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>#税收收入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31484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      #国内增值税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12937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       企业所得税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5679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    #非税收入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20421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  政府性基金收入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36362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  国有资本经营收入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683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667.4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(3)按收入性质划分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80" w:firstLineChars="10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 税收收入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59850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 非税收入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21664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 政府性基金收入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36362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国有资本经营收入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683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667.4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(二)地方财政支出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277374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>#一般公共预算支出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243380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#一般公共服务支出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26180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 教育支出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49303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kern w:val="0"/>
                <w:sz w:val="18"/>
                <w:szCs w:val="18"/>
              </w:rPr>
              <w:t xml:space="preserve">       社会保障和就业支出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26177</w:t>
            </w:r>
          </w:p>
        </w:tc>
        <w:tc>
          <w:tcPr>
            <w:tcW w:w="1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-3.1</w:t>
            </w:r>
          </w:p>
        </w:tc>
      </w:tr>
    </w:tbl>
    <w:p>
      <w:pPr>
        <w:spacing w:line="300" w:lineRule="exact"/>
        <w:jc w:val="center"/>
        <w:rPr>
          <w:rFonts w:ascii="隶书" w:eastAsia="隶书"/>
          <w:b/>
          <w:sz w:val="24"/>
          <w:highlight w:val="lightGray"/>
        </w:rPr>
      </w:pPr>
      <w:r>
        <w:rPr>
          <w:rFonts w:hint="eastAsia" w:ascii="隶书" w:eastAsia="隶书"/>
          <w:b/>
          <w:sz w:val="24"/>
          <w:highlight w:val="lightGray"/>
        </w:rPr>
        <w:t>纵向对比资料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566"/>
        <w:gridCol w:w="994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2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2020年二</w:t>
            </w:r>
          </w:p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季度增幅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2019年二</w:t>
            </w:r>
          </w:p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季度增幅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265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0"/>
              </w:rPr>
              <w:t>地区生产总值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265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  第一产业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265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   第二产业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-1.5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     #工业</w:t>
            </w:r>
          </w:p>
        </w:tc>
        <w:tc>
          <w:tcPr>
            <w:tcW w:w="5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-5.2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265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规模以上工业产值</w:t>
            </w:r>
          </w:p>
        </w:tc>
        <w:tc>
          <w:tcPr>
            <w:tcW w:w="5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-9.6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全社会固定资产投资</w:t>
            </w:r>
          </w:p>
        </w:tc>
        <w:tc>
          <w:tcPr>
            <w:tcW w:w="5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2.0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社会消费品零售总额</w:t>
            </w:r>
          </w:p>
        </w:tc>
        <w:tc>
          <w:tcPr>
            <w:tcW w:w="5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-15.6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批发业商品销售额</w:t>
            </w:r>
          </w:p>
        </w:tc>
        <w:tc>
          <w:tcPr>
            <w:tcW w:w="5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50.2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零售业商品销售额</w:t>
            </w:r>
          </w:p>
        </w:tc>
        <w:tc>
          <w:tcPr>
            <w:tcW w:w="5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-10.7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住宿业营业收入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-20.8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餐饮业营业收入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-22.6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全体居民人均可支配收入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5.6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#城镇居民人均可支配收入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3.3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265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  农村居民人均可支配收入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6.1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26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本级财政收入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-8.8</w:t>
            </w:r>
          </w:p>
        </w:tc>
        <w:tc>
          <w:tcPr>
            <w:tcW w:w="9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-10.9</w:t>
            </w:r>
          </w:p>
        </w:tc>
      </w:tr>
    </w:tbl>
    <w:p>
      <w:pPr>
        <w:spacing w:line="400" w:lineRule="exact"/>
        <w:jc w:val="center"/>
        <w:rPr>
          <w:rFonts w:ascii="隶书" w:eastAsia="隶书"/>
          <w:b/>
          <w:sz w:val="24"/>
          <w:highlight w:val="lightGray"/>
        </w:rPr>
      </w:pPr>
      <w:r>
        <w:rPr>
          <w:rFonts w:hint="eastAsia" w:ascii="隶书" w:eastAsia="隶书"/>
          <w:b/>
          <w:sz w:val="24"/>
          <w:highlight w:val="lightGray"/>
        </w:rPr>
        <w:t>横向对比资料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642"/>
        <w:gridCol w:w="826"/>
        <w:gridCol w:w="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2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  <w:t>石柱县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  <w:t>增速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16"/>
                <w:szCs w:val="16"/>
              </w:rPr>
              <w:t>重庆市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16"/>
                <w:szCs w:val="16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9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地区生产总值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</w:t>
            </w:r>
          </w:p>
        </w:tc>
        <w:tc>
          <w:tcPr>
            <w:tcW w:w="74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9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第一产业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74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9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第二产业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-1.5</w:t>
            </w:r>
          </w:p>
        </w:tc>
        <w:tc>
          <w:tcPr>
            <w:tcW w:w="74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9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300" w:firstLineChars="150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0.3</w:t>
            </w:r>
          </w:p>
        </w:tc>
        <w:tc>
          <w:tcPr>
            <w:tcW w:w="74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9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规模以上工业增加值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-6.8</w:t>
            </w:r>
          </w:p>
        </w:tc>
        <w:tc>
          <w:tcPr>
            <w:tcW w:w="74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9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全社会固定资产投资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2.0</w:t>
            </w:r>
          </w:p>
        </w:tc>
        <w:tc>
          <w:tcPr>
            <w:tcW w:w="74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9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社会消费品零售总额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-15.6</w:t>
            </w:r>
          </w:p>
        </w:tc>
        <w:tc>
          <w:tcPr>
            <w:tcW w:w="74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9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批发业商品销售额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50.2</w:t>
            </w:r>
          </w:p>
        </w:tc>
        <w:tc>
          <w:tcPr>
            <w:tcW w:w="74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9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零售业商品销售额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-10.7</w:t>
            </w:r>
          </w:p>
        </w:tc>
        <w:tc>
          <w:tcPr>
            <w:tcW w:w="74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9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全体居民人均可支配收入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5.6</w:t>
            </w:r>
          </w:p>
        </w:tc>
        <w:tc>
          <w:tcPr>
            <w:tcW w:w="74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9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#城镇居民人均可支配收入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74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933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农村居民人均可支配收入</w:t>
            </w:r>
          </w:p>
        </w:tc>
        <w:tc>
          <w:tcPr>
            <w:tcW w:w="57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6.1</w:t>
            </w:r>
          </w:p>
        </w:tc>
        <w:tc>
          <w:tcPr>
            <w:tcW w:w="744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9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一般公共预算收入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-12.1</w:t>
            </w:r>
          </w:p>
        </w:tc>
        <w:tc>
          <w:tcPr>
            <w:tcW w:w="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-11.2</w:t>
            </w: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2020年2季度区县GDP情况（一）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010"/>
        <w:gridCol w:w="678"/>
        <w:gridCol w:w="854"/>
        <w:gridCol w:w="751"/>
        <w:gridCol w:w="600"/>
        <w:gridCol w:w="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9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GDP   (万元)</w:t>
            </w:r>
          </w:p>
        </w:tc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绝对额</w:t>
            </w:r>
          </w:p>
        </w:tc>
        <w:tc>
          <w:tcPr>
            <w:tcW w:w="6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GDP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增速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渝东南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渝东南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1081354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770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980867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733687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1282991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859375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-1.2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1042376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2.4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4288377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-2.1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2437161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2137646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244984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-3.6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1399810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2024075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2.4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忠  县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1892193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-0.5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2015764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0.3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1340928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5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9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823525 </w:t>
            </w:r>
          </w:p>
        </w:tc>
        <w:tc>
          <w:tcPr>
            <w:tcW w:w="61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770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0.9 </w:t>
            </w:r>
          </w:p>
        </w:tc>
        <w:tc>
          <w:tcPr>
            <w:tcW w:w="54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733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508313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770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0.4 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2020年2季度区县GDP情况（二）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47"/>
        <w:gridCol w:w="1047"/>
        <w:gridCol w:w="968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GDP（万元）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绝对额  全市位次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GDP增速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GDP增速 全市位次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5643860 </w:t>
            </w:r>
          </w:p>
        </w:tc>
        <w:tc>
          <w:tcPr>
            <w:tcW w:w="944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873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1.3 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6543303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1224924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6174175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4797638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7131940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3716827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2947026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8977419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0.3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4155419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3356224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1.2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4900494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4345802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0.9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4526323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1561571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1.8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3210690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3031446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0.3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3343236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2.3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2916792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0.7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2127765 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3164394 </w:t>
            </w:r>
          </w:p>
        </w:tc>
        <w:tc>
          <w:tcPr>
            <w:tcW w:w="9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7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2.8 </w:t>
            </w:r>
          </w:p>
        </w:tc>
        <w:tc>
          <w:tcPr>
            <w:tcW w:w="962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 </w:t>
            </w:r>
          </w:p>
        </w:tc>
      </w:tr>
    </w:tbl>
    <w:p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2020年2季度区县第一产业情况（一）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488"/>
        <w:gridCol w:w="790"/>
        <w:gridCol w:w="979"/>
        <w:gridCol w:w="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34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第一产业增加值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渝东南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103370 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86033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2.6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85116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2.1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94865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124672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4.2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97352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360539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3.7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326248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3.4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158223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4.4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45744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131562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230429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2.8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243646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202000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145042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122368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2.8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95465 </w:t>
            </w:r>
          </w:p>
        </w:tc>
        <w:tc>
          <w:tcPr>
            <w:tcW w:w="712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2.8 </w:t>
            </w:r>
          </w:p>
        </w:tc>
        <w:tc>
          <w:tcPr>
            <w:tcW w:w="883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2020年2季度区县第一产业情况（二）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1"/>
        <w:gridCol w:w="1559"/>
        <w:gridCol w:w="11"/>
        <w:gridCol w:w="1186"/>
        <w:gridCol w:w="11"/>
        <w:gridCol w:w="1170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第一产业增加值  (万元)</w:t>
            </w: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300963 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4778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3371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-7.5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16398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2.2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24180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4.2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20757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-1.1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68970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0.9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105898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175077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3.7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244057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428198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3.7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389802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3.7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255349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-4.6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174676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3.7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270816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170605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-3.4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155597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193951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2.8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238052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3.5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6" w:type="pct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196119 </w:t>
            </w:r>
          </w:p>
        </w:tc>
        <w:tc>
          <w:tcPr>
            <w:tcW w:w="1079" w:type="pct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-2.9 </w:t>
            </w:r>
          </w:p>
        </w:tc>
        <w:tc>
          <w:tcPr>
            <w:tcW w:w="1065" w:type="pct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</w:tbl>
    <w:p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2020年2季度区县第二产业情况（一）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488"/>
        <w:gridCol w:w="790"/>
        <w:gridCol w:w="979"/>
        <w:gridCol w:w="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34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第二产业增加值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渝东南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356420 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-0.1 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373641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5.3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201922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-1.5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537186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-0.5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155212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-2.0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362792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1.4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1076049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-8.7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971397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0.4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1089114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32772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-20.9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580269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-1.3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925787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2.8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777360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-0.9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703346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-3.0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536127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2.4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232496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2.9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112381 </w:t>
            </w:r>
          </w:p>
        </w:tc>
        <w:tc>
          <w:tcPr>
            <w:tcW w:w="712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-4.0 </w:t>
            </w:r>
          </w:p>
        </w:tc>
        <w:tc>
          <w:tcPr>
            <w:tcW w:w="883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2020年2季度区县第二产业情况（二）</w:t>
      </w:r>
    </w:p>
    <w:tbl>
      <w:tblPr>
        <w:tblStyle w:val="10"/>
        <w:tblW w:w="500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70"/>
        <w:gridCol w:w="1197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第二产业增加值  (万元)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5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3100762 </w:t>
            </w:r>
          </w:p>
        </w:tc>
        <w:tc>
          <w:tcPr>
            <w:tcW w:w="107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546408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1.4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455059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2.5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1239157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-5.8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1527199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5.9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2433143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1.8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1405905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3.3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1454464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2754972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5.4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1583684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1874057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1.6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2711954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-1.2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2004436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2387934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0.3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562278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2.2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1470252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0.4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1675196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0.7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1706503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2.6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1609719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960520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1.6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5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1671862 </w:t>
            </w:r>
          </w:p>
        </w:tc>
        <w:tc>
          <w:tcPr>
            <w:tcW w:w="1079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1065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2020年2季度区县全部工业情况（一）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488"/>
        <w:gridCol w:w="790"/>
        <w:gridCol w:w="979"/>
        <w:gridCol w:w="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34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全部工业增加值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渝东南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305417 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3.5 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185183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5.3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138710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-5.2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419620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79586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-0.9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194456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-0.5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485539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-4.4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600847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0.8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761059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-1.8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22608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-2.0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286735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550285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0.8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426354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-2.5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336475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-9.7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113124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-2.6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64163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-5.3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36512 </w:t>
            </w:r>
          </w:p>
        </w:tc>
        <w:tc>
          <w:tcPr>
            <w:tcW w:w="712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-2.8 </w:t>
            </w:r>
          </w:p>
        </w:tc>
        <w:tc>
          <w:tcPr>
            <w:tcW w:w="883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2020年2季度区县全部工业情况（二）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1"/>
        <w:gridCol w:w="1559"/>
        <w:gridCol w:w="11"/>
        <w:gridCol w:w="1186"/>
        <w:gridCol w:w="11"/>
        <w:gridCol w:w="1170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全部工业增加值  (万元)</w:t>
            </w: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2419658 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3.6 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155276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250395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0.9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978213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-6.2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1154384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1799611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1013629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2.7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1198667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0.3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2359299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5.4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978173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1568426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1.3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2087444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-1.6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1453526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1841934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0.3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400432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1161285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1311585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1427602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2.8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1154036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0.3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749578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0.7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6" w:type="pct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1284911 </w:t>
            </w:r>
          </w:p>
        </w:tc>
        <w:tc>
          <w:tcPr>
            <w:tcW w:w="1079" w:type="pct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3.6 </w:t>
            </w:r>
          </w:p>
        </w:tc>
        <w:tc>
          <w:tcPr>
            <w:tcW w:w="1065" w:type="pct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2020年2季度区县规模以上工业增加值增速（一）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248"/>
        <w:gridCol w:w="1261"/>
        <w:gridCol w:w="1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规上工业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增加值增速(%)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增速渝东南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25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3.9</w:t>
            </w:r>
          </w:p>
        </w:tc>
        <w:tc>
          <w:tcPr>
            <w:tcW w:w="1137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4.7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-6.8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1.1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-1.2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-1.0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-5.2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0.7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-2.1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-2.8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0.4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-0.4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-3.7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-12.3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-3.2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-6.9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137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6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-3.7</w:t>
            </w:r>
          </w:p>
        </w:tc>
        <w:tc>
          <w:tcPr>
            <w:tcW w:w="1137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137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2020年2季度区县规模以上工业增加值增速（二）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705"/>
        <w:gridCol w:w="1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规上工业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增加值增速(%)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537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4.0</w:t>
            </w:r>
          </w:p>
        </w:tc>
        <w:tc>
          <w:tcPr>
            <w:tcW w:w="155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0.1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1.1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-6.3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7.9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0.2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2.7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0.2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6.5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0.3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1.5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-2.0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0.0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0.4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0.1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-0.7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0.9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3.0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0.4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53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0.8</w:t>
            </w:r>
          </w:p>
        </w:tc>
        <w:tc>
          <w:tcPr>
            <w:tcW w:w="155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cs="Courier New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5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3.6</w:t>
            </w:r>
          </w:p>
        </w:tc>
        <w:tc>
          <w:tcPr>
            <w:tcW w:w="1553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</w:tr>
    </w:tbl>
    <w:p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2020年2季度区县建筑业情况（一）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488"/>
        <w:gridCol w:w="790"/>
        <w:gridCol w:w="979"/>
        <w:gridCol w:w="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34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建筑业增加值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渝东南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51003 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-20.1 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188458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5.3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63212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117566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-3.2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75626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-3.3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168336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590510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-12.7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370550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-0.3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328055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10164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-48.4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293534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-3.4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375502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351006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366871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423003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168333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75869 </w:t>
            </w:r>
          </w:p>
        </w:tc>
        <w:tc>
          <w:tcPr>
            <w:tcW w:w="712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-4.7 </w:t>
            </w:r>
          </w:p>
        </w:tc>
        <w:tc>
          <w:tcPr>
            <w:tcW w:w="883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2020年2季度区县建筑业情况（二）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69"/>
        <w:gridCol w:w="1197"/>
        <w:gridCol w:w="1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建筑业增加值  (万元)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5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681104 </w:t>
            </w:r>
          </w:p>
        </w:tc>
        <w:tc>
          <w:tcPr>
            <w:tcW w:w="107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0.7 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391132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2.1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204664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5.1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260944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-4.1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372815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5.2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633532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6.8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392276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5.2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255797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1.8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395673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605511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305631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3.8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624510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0.4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550910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546000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161846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8.6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308967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1.7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363611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3.9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278901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1.7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455683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5.3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210942 </w:t>
            </w:r>
          </w:p>
        </w:tc>
        <w:tc>
          <w:tcPr>
            <w:tcW w:w="1079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106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5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386951 </w:t>
            </w:r>
          </w:p>
        </w:tc>
        <w:tc>
          <w:tcPr>
            <w:tcW w:w="1079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1065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2020年2季度区县第三产业情况（一）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488"/>
        <w:gridCol w:w="790"/>
        <w:gridCol w:w="979"/>
        <w:gridCol w:w="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34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第三产业增加值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渝东南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621564 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-0.1 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521193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-1.3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446649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0.3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650940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579491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-1.8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582232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2.9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2851789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1139516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890309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1.2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166468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687979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1.7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867859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1.8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871187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1110418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659759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468661 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-0.5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C0C0C" w:themeColor="text1" w:themeTint="F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300467 </w:t>
            </w:r>
          </w:p>
        </w:tc>
        <w:tc>
          <w:tcPr>
            <w:tcW w:w="712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1.6 </w:t>
            </w:r>
          </w:p>
        </w:tc>
        <w:tc>
          <w:tcPr>
            <w:tcW w:w="883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2020年2季度区县第三产业情况（二）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1"/>
        <w:gridCol w:w="1559"/>
        <w:gridCol w:w="11"/>
        <w:gridCol w:w="1186"/>
        <w:gridCol w:w="11"/>
        <w:gridCol w:w="1170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第三产业增加值  (万元)</w:t>
            </w: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2242135 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-1.4 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5996895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765087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-1.5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4931647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2.3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3254041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-2.8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4674617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-0.9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2290165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-2.1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1423592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-0.3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6116549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-2.1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2396658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-0.1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1238110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0.4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1760342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2.7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1951564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1883040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2.7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824617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1469622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-0.8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1185645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1481136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1113122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-0.9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929193 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2.1 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6" w:type="pct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1296413 </w:t>
            </w:r>
          </w:p>
        </w:tc>
        <w:tc>
          <w:tcPr>
            <w:tcW w:w="1079" w:type="pct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1.6 </w:t>
            </w:r>
          </w:p>
        </w:tc>
        <w:tc>
          <w:tcPr>
            <w:tcW w:w="1065" w:type="pct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2020年2季度区县注册地建筑业总产值情况（一）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488"/>
        <w:gridCol w:w="790"/>
        <w:gridCol w:w="979"/>
        <w:gridCol w:w="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34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建筑业总产值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渝东南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121040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-16.5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69809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10.0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67801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15.0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341270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1.2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146077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1.1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129211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8.8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1063592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-8.8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1623812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4.2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518083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5.6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6359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-46.1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1222514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1.0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1352648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11.0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471235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6.1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1432812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10.5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1612232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8.8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227442</w:t>
            </w:r>
          </w:p>
        </w:tc>
        <w:tc>
          <w:tcPr>
            <w:tcW w:w="712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11.9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C0C0C" w:themeColor="text1" w:themeTint="F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149796</w:t>
            </w:r>
          </w:p>
        </w:tc>
        <w:tc>
          <w:tcPr>
            <w:tcW w:w="712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-0.4</w:t>
            </w:r>
          </w:p>
        </w:tc>
        <w:tc>
          <w:tcPr>
            <w:tcW w:w="883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87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2020年2季度区县注册地建筑业总产值情况（二）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1"/>
        <w:gridCol w:w="1559"/>
        <w:gridCol w:w="11"/>
        <w:gridCol w:w="1186"/>
        <w:gridCol w:w="11"/>
        <w:gridCol w:w="1170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建筑业总产值  (万元)</w:t>
            </w: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2192884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5.2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2388349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6.7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1117953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9.8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670803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0.2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1290312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9.9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1287385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11.6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1221868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9.9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767103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6.4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3634931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10.5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1585873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4.5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908715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8.5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1780616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4.9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1523097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5.1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1731823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5.1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192743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13.5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684260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7.5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1183731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8.6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871441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6.3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1303178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10.0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1324487</w:t>
            </w:r>
          </w:p>
        </w:tc>
        <w:tc>
          <w:tcPr>
            <w:tcW w:w="1079" w:type="pct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10.9</w:t>
            </w:r>
          </w:p>
        </w:tc>
        <w:tc>
          <w:tcPr>
            <w:tcW w:w="1065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  <w:trHeight w:val="393" w:hRule="exact"/>
        </w:trPr>
        <w:tc>
          <w:tcPr>
            <w:tcW w:w="14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6" w:type="pct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787733</w:t>
            </w:r>
          </w:p>
        </w:tc>
        <w:tc>
          <w:tcPr>
            <w:tcW w:w="1079" w:type="pct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12.3</w:t>
            </w:r>
          </w:p>
        </w:tc>
        <w:tc>
          <w:tcPr>
            <w:tcW w:w="1065" w:type="pct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2020年2季度区县固定资产投资增速（一）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259"/>
        <w:gridCol w:w="979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全社会固投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增速渝东南位次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-64.0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-12.8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35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-5.4</w:t>
            </w:r>
          </w:p>
        </w:tc>
        <w:tc>
          <w:tcPr>
            <w:tcW w:w="883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19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2020年2季度区县固定资产投资增速（二）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882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全社会固投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-0.4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-6.2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-6.2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-2.9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1395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2020年2季度区县工业投资增速（一）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259"/>
        <w:gridCol w:w="979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工业投资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增速渝东南位次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-77.9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33.4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-33.1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27.9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41.0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-40.5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39.3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26.9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33.3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-20.0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-47.4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35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-9.1</w:t>
            </w:r>
          </w:p>
        </w:tc>
        <w:tc>
          <w:tcPr>
            <w:tcW w:w="883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19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2020年2季度区县工业投资增速（二）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882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工业投资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-52.8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-2.7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-35.4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44.6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-0.6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-9.8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49.9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-6.7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-6.7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28.1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-3.9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395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2020年2季度区县社零总额增速（一）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259"/>
        <w:gridCol w:w="979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社零总额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增速渝东南位次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-24.6 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-24.4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 xml:space="preserve">-15.6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-16.3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-27.1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-6.6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-13.9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-8.1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-5.1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-13.3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-9.2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-9.6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-6.1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-5.0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-13.2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35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-9.8 </w:t>
            </w:r>
          </w:p>
        </w:tc>
        <w:tc>
          <w:tcPr>
            <w:tcW w:w="883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11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35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-12.9 </w:t>
            </w:r>
          </w:p>
        </w:tc>
        <w:tc>
          <w:tcPr>
            <w:tcW w:w="883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119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2020年2季度区县社零总额增速（二）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882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社零总额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-7.1 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-5.5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-13.9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3.5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-16.1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-9.2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-5.8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-9.8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-12.2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-10.2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-5.9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-7.7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-7.0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1.4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-5.1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-1.9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-4.0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0.7 </w:t>
            </w:r>
          </w:p>
        </w:tc>
        <w:tc>
          <w:tcPr>
            <w:tcW w:w="13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9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-5.8 </w:t>
            </w:r>
          </w:p>
        </w:tc>
        <w:tc>
          <w:tcPr>
            <w:tcW w:w="1395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2020年2季度区县全体常住居民人均可支配收入（一）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97"/>
        <w:gridCol w:w="688"/>
        <w:gridCol w:w="864"/>
        <w:gridCol w:w="761"/>
        <w:gridCol w:w="610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绝对额</w:t>
            </w:r>
          </w:p>
        </w:tc>
        <w:tc>
          <w:tcPr>
            <w:tcW w:w="6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同比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增长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渝东南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渝东南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13919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13890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13246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 xml:space="preserve">5.6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12799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6.4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9981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11181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6.8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18662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13732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6.4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15298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6.6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9695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13757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忠 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15069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6.6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11751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6.4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11774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11377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9361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79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2020年2季度区县全体常住居民人均可支配收入（二）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47"/>
        <w:gridCol w:w="1047"/>
        <w:gridCol w:w="968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人均可支配收入（元）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绝对额  全市位次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同比增长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18957</w:t>
            </w:r>
          </w:p>
        </w:tc>
        <w:tc>
          <w:tcPr>
            <w:tcW w:w="944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24419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4.2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22233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24123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4.9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22719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23317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4.9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22914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21664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4.9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15463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4.6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16740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4.9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21935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5.3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21856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5.2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17367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19293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4.8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18092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5.3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19549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5.5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15870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5.8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19726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17878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5.9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15297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17039</w:t>
            </w:r>
          </w:p>
        </w:tc>
        <w:tc>
          <w:tcPr>
            <w:tcW w:w="9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5.8 </w:t>
            </w:r>
          </w:p>
        </w:tc>
        <w:tc>
          <w:tcPr>
            <w:tcW w:w="962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2020年2季度区县城镇常住居民人均可支配收入（一）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97"/>
        <w:gridCol w:w="688"/>
        <w:gridCol w:w="864"/>
        <w:gridCol w:w="761"/>
        <w:gridCol w:w="610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绝对额</w:t>
            </w:r>
          </w:p>
        </w:tc>
        <w:tc>
          <w:tcPr>
            <w:tcW w:w="6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同比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增长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渝东南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渝东南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19786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3.6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21036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3.9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19592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 xml:space="preserve">3.3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20288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3.9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16077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3.1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17779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22973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4.2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19113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4.2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20985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4.5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15837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3.4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19115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21293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忠 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21946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16908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17260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17770</w:t>
            </w:r>
          </w:p>
        </w:tc>
        <w:tc>
          <w:tcPr>
            <w:tcW w:w="62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7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550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4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14913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79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3.5 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2020年2季度区县城镇常住居民人均可支配收入（二）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47"/>
        <w:gridCol w:w="1047"/>
        <w:gridCol w:w="968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人均可支配收入（元）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绝对额  全市位次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同比增长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22698</w:t>
            </w:r>
          </w:p>
        </w:tc>
        <w:tc>
          <w:tcPr>
            <w:tcW w:w="944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4.6 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24419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4.2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22438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24502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4.7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23108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23899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4.5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23254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3.9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23226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18535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20694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3.4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23693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23758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4.4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20686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3.4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22434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3.6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21031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3.8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22582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4.2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19909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24358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4.5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22250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4.2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20114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3.8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21383</w:t>
            </w:r>
          </w:p>
        </w:tc>
        <w:tc>
          <w:tcPr>
            <w:tcW w:w="9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962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2020年2季度区县农村常住居民人均可支配收入（一）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805"/>
        <w:gridCol w:w="689"/>
        <w:gridCol w:w="875"/>
        <w:gridCol w:w="753"/>
        <w:gridCol w:w="611"/>
        <w:gridCol w:w="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4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绝对额</w:t>
            </w:r>
          </w:p>
        </w:tc>
        <w:tc>
          <w:tcPr>
            <w:tcW w:w="6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18"/>
                <w:szCs w:val="18"/>
              </w:rPr>
              <w:t>同比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18"/>
                <w:szCs w:val="18"/>
              </w:rPr>
              <w:t>增长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渝东南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渝东南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7520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7912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6.6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7973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7043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6476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7065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6.5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9723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6.6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8441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6.9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10073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7.2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5973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8834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6.9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10357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7.0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忠 县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9122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7.3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7453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6.9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7178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6.5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9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26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6583</w:t>
            </w:r>
          </w:p>
        </w:tc>
        <w:tc>
          <w:tcPr>
            <w:tcW w:w="62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89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55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3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5930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89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6.4 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2020年2季度区县农村常住居民人均可支配收入（二）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47"/>
        <w:gridCol w:w="1047"/>
        <w:gridCol w:w="968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人均可支配收入（元）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绝对额  全市位次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同比增长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增速全市位次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10322</w:t>
            </w:r>
          </w:p>
        </w:tc>
        <w:tc>
          <w:tcPr>
            <w:tcW w:w="944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6.8 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13528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5.6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13665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13451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13955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6.6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14679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13153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9983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5.9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10796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12555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6.4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12758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6.5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10373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12050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11037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12025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6.4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9181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6.7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12721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5.8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11751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9274</w:t>
            </w:r>
          </w:p>
        </w:tc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962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9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10951</w:t>
            </w:r>
          </w:p>
        </w:tc>
        <w:tc>
          <w:tcPr>
            <w:tcW w:w="9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962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sectPr>
      <w:footerReference r:id="rId3" w:type="default"/>
      <w:pgSz w:w="7031" w:h="10773"/>
      <w:pgMar w:top="680" w:right="851" w:bottom="244" w:left="851" w:header="567" w:footer="34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DF"/>
    <w:rsid w:val="000000FC"/>
    <w:rsid w:val="00000268"/>
    <w:rsid w:val="00000526"/>
    <w:rsid w:val="0000066B"/>
    <w:rsid w:val="0000078D"/>
    <w:rsid w:val="0000087F"/>
    <w:rsid w:val="000009B3"/>
    <w:rsid w:val="00000A8E"/>
    <w:rsid w:val="00000D1D"/>
    <w:rsid w:val="000012CC"/>
    <w:rsid w:val="00001372"/>
    <w:rsid w:val="000016E6"/>
    <w:rsid w:val="00001C69"/>
    <w:rsid w:val="00001C83"/>
    <w:rsid w:val="00002114"/>
    <w:rsid w:val="0000214D"/>
    <w:rsid w:val="000022EA"/>
    <w:rsid w:val="000023A9"/>
    <w:rsid w:val="00002B72"/>
    <w:rsid w:val="00003380"/>
    <w:rsid w:val="0000364D"/>
    <w:rsid w:val="0000397D"/>
    <w:rsid w:val="00004275"/>
    <w:rsid w:val="00004567"/>
    <w:rsid w:val="00004698"/>
    <w:rsid w:val="00004839"/>
    <w:rsid w:val="00004C38"/>
    <w:rsid w:val="00004FC9"/>
    <w:rsid w:val="00005252"/>
    <w:rsid w:val="00005E89"/>
    <w:rsid w:val="00005FD6"/>
    <w:rsid w:val="0000616C"/>
    <w:rsid w:val="000062AF"/>
    <w:rsid w:val="000063E8"/>
    <w:rsid w:val="00006732"/>
    <w:rsid w:val="000067E8"/>
    <w:rsid w:val="000069C3"/>
    <w:rsid w:val="000069E8"/>
    <w:rsid w:val="00006E07"/>
    <w:rsid w:val="00007051"/>
    <w:rsid w:val="000070CA"/>
    <w:rsid w:val="00007589"/>
    <w:rsid w:val="00007981"/>
    <w:rsid w:val="00007AE7"/>
    <w:rsid w:val="00007C19"/>
    <w:rsid w:val="00007D87"/>
    <w:rsid w:val="0001007D"/>
    <w:rsid w:val="000103C2"/>
    <w:rsid w:val="000104E5"/>
    <w:rsid w:val="00010609"/>
    <w:rsid w:val="000107EA"/>
    <w:rsid w:val="000108D6"/>
    <w:rsid w:val="00010A61"/>
    <w:rsid w:val="00010F1B"/>
    <w:rsid w:val="000110B8"/>
    <w:rsid w:val="000114B7"/>
    <w:rsid w:val="000117A7"/>
    <w:rsid w:val="00011A54"/>
    <w:rsid w:val="0001230A"/>
    <w:rsid w:val="00013087"/>
    <w:rsid w:val="0001345A"/>
    <w:rsid w:val="00013475"/>
    <w:rsid w:val="00013735"/>
    <w:rsid w:val="00013E1B"/>
    <w:rsid w:val="000144EE"/>
    <w:rsid w:val="0001493F"/>
    <w:rsid w:val="00014AE6"/>
    <w:rsid w:val="00014F47"/>
    <w:rsid w:val="0001526A"/>
    <w:rsid w:val="00015370"/>
    <w:rsid w:val="00015613"/>
    <w:rsid w:val="00016010"/>
    <w:rsid w:val="0001636E"/>
    <w:rsid w:val="0001648F"/>
    <w:rsid w:val="00016C49"/>
    <w:rsid w:val="00017672"/>
    <w:rsid w:val="0001771B"/>
    <w:rsid w:val="00017A3C"/>
    <w:rsid w:val="00017C9D"/>
    <w:rsid w:val="00017E7F"/>
    <w:rsid w:val="0002039A"/>
    <w:rsid w:val="00020940"/>
    <w:rsid w:val="00021044"/>
    <w:rsid w:val="00021445"/>
    <w:rsid w:val="000215DC"/>
    <w:rsid w:val="00021C2B"/>
    <w:rsid w:val="00022205"/>
    <w:rsid w:val="000230E7"/>
    <w:rsid w:val="00023283"/>
    <w:rsid w:val="00023498"/>
    <w:rsid w:val="00023F32"/>
    <w:rsid w:val="00024227"/>
    <w:rsid w:val="00024249"/>
    <w:rsid w:val="00024330"/>
    <w:rsid w:val="00024708"/>
    <w:rsid w:val="0002489B"/>
    <w:rsid w:val="00024E51"/>
    <w:rsid w:val="0002579C"/>
    <w:rsid w:val="00025C11"/>
    <w:rsid w:val="00025EAC"/>
    <w:rsid w:val="00026BDF"/>
    <w:rsid w:val="00026F7C"/>
    <w:rsid w:val="00027112"/>
    <w:rsid w:val="00027C5A"/>
    <w:rsid w:val="00030667"/>
    <w:rsid w:val="00030FB1"/>
    <w:rsid w:val="0003119B"/>
    <w:rsid w:val="000311E2"/>
    <w:rsid w:val="00031496"/>
    <w:rsid w:val="00031BBD"/>
    <w:rsid w:val="00032A49"/>
    <w:rsid w:val="00032B45"/>
    <w:rsid w:val="000333ED"/>
    <w:rsid w:val="00033771"/>
    <w:rsid w:val="00033929"/>
    <w:rsid w:val="00033999"/>
    <w:rsid w:val="000339BE"/>
    <w:rsid w:val="000343A6"/>
    <w:rsid w:val="000343F8"/>
    <w:rsid w:val="00034E00"/>
    <w:rsid w:val="00034ECB"/>
    <w:rsid w:val="0003519A"/>
    <w:rsid w:val="00035B16"/>
    <w:rsid w:val="00035DD4"/>
    <w:rsid w:val="000360A3"/>
    <w:rsid w:val="00036128"/>
    <w:rsid w:val="00036724"/>
    <w:rsid w:val="00036BDC"/>
    <w:rsid w:val="00037638"/>
    <w:rsid w:val="00037A43"/>
    <w:rsid w:val="00037E44"/>
    <w:rsid w:val="00037F3A"/>
    <w:rsid w:val="000402DF"/>
    <w:rsid w:val="0004035D"/>
    <w:rsid w:val="00041179"/>
    <w:rsid w:val="00041193"/>
    <w:rsid w:val="00041EF9"/>
    <w:rsid w:val="000421BA"/>
    <w:rsid w:val="0004255E"/>
    <w:rsid w:val="000425C9"/>
    <w:rsid w:val="000429EE"/>
    <w:rsid w:val="000435E3"/>
    <w:rsid w:val="00043AD1"/>
    <w:rsid w:val="0004456E"/>
    <w:rsid w:val="00044CC9"/>
    <w:rsid w:val="000452A3"/>
    <w:rsid w:val="0004566B"/>
    <w:rsid w:val="000458AF"/>
    <w:rsid w:val="000462FC"/>
    <w:rsid w:val="00046F92"/>
    <w:rsid w:val="00047056"/>
    <w:rsid w:val="0004748C"/>
    <w:rsid w:val="00047B92"/>
    <w:rsid w:val="0005093A"/>
    <w:rsid w:val="000512A5"/>
    <w:rsid w:val="000514C0"/>
    <w:rsid w:val="000519F3"/>
    <w:rsid w:val="0005223F"/>
    <w:rsid w:val="00052615"/>
    <w:rsid w:val="0005273E"/>
    <w:rsid w:val="00052A52"/>
    <w:rsid w:val="00052C3E"/>
    <w:rsid w:val="00052E43"/>
    <w:rsid w:val="00052F25"/>
    <w:rsid w:val="00053663"/>
    <w:rsid w:val="0005397B"/>
    <w:rsid w:val="00053B35"/>
    <w:rsid w:val="00053BCF"/>
    <w:rsid w:val="000540D7"/>
    <w:rsid w:val="00054477"/>
    <w:rsid w:val="0005461B"/>
    <w:rsid w:val="0005467B"/>
    <w:rsid w:val="000547BB"/>
    <w:rsid w:val="00055B14"/>
    <w:rsid w:val="00055C12"/>
    <w:rsid w:val="00055CD1"/>
    <w:rsid w:val="00055D74"/>
    <w:rsid w:val="00056128"/>
    <w:rsid w:val="0005630B"/>
    <w:rsid w:val="00056D96"/>
    <w:rsid w:val="00056F41"/>
    <w:rsid w:val="000575A3"/>
    <w:rsid w:val="00057965"/>
    <w:rsid w:val="000600FA"/>
    <w:rsid w:val="00060264"/>
    <w:rsid w:val="00060819"/>
    <w:rsid w:val="00060957"/>
    <w:rsid w:val="000609D8"/>
    <w:rsid w:val="00060F13"/>
    <w:rsid w:val="000629C2"/>
    <w:rsid w:val="000632E1"/>
    <w:rsid w:val="000637CE"/>
    <w:rsid w:val="000658DE"/>
    <w:rsid w:val="00065BD5"/>
    <w:rsid w:val="00065C5D"/>
    <w:rsid w:val="00065CB0"/>
    <w:rsid w:val="00065E00"/>
    <w:rsid w:val="00066720"/>
    <w:rsid w:val="000667B0"/>
    <w:rsid w:val="00067143"/>
    <w:rsid w:val="000672D9"/>
    <w:rsid w:val="0007036A"/>
    <w:rsid w:val="00070893"/>
    <w:rsid w:val="00070904"/>
    <w:rsid w:val="00070A26"/>
    <w:rsid w:val="00070B46"/>
    <w:rsid w:val="000716BE"/>
    <w:rsid w:val="000726BE"/>
    <w:rsid w:val="00072849"/>
    <w:rsid w:val="00072A19"/>
    <w:rsid w:val="00072A2C"/>
    <w:rsid w:val="00072D6F"/>
    <w:rsid w:val="000733CD"/>
    <w:rsid w:val="00073676"/>
    <w:rsid w:val="00073F80"/>
    <w:rsid w:val="00074065"/>
    <w:rsid w:val="000742C2"/>
    <w:rsid w:val="00074421"/>
    <w:rsid w:val="00074C1A"/>
    <w:rsid w:val="00075B01"/>
    <w:rsid w:val="00075BD0"/>
    <w:rsid w:val="00076110"/>
    <w:rsid w:val="000768FB"/>
    <w:rsid w:val="00076B0E"/>
    <w:rsid w:val="00077083"/>
    <w:rsid w:val="000770E2"/>
    <w:rsid w:val="000777C2"/>
    <w:rsid w:val="00077861"/>
    <w:rsid w:val="00077BEA"/>
    <w:rsid w:val="00077CCF"/>
    <w:rsid w:val="00077D0C"/>
    <w:rsid w:val="00080767"/>
    <w:rsid w:val="00080790"/>
    <w:rsid w:val="00080AA5"/>
    <w:rsid w:val="00080D27"/>
    <w:rsid w:val="0008129C"/>
    <w:rsid w:val="0008153B"/>
    <w:rsid w:val="000822D4"/>
    <w:rsid w:val="000828D0"/>
    <w:rsid w:val="00083111"/>
    <w:rsid w:val="00083BA5"/>
    <w:rsid w:val="000843B8"/>
    <w:rsid w:val="0008498E"/>
    <w:rsid w:val="000849FE"/>
    <w:rsid w:val="000858FF"/>
    <w:rsid w:val="00085D05"/>
    <w:rsid w:val="0008602C"/>
    <w:rsid w:val="0008611E"/>
    <w:rsid w:val="000862FD"/>
    <w:rsid w:val="00086323"/>
    <w:rsid w:val="000864B4"/>
    <w:rsid w:val="00086CB0"/>
    <w:rsid w:val="00087500"/>
    <w:rsid w:val="00090661"/>
    <w:rsid w:val="0009152D"/>
    <w:rsid w:val="00091E7C"/>
    <w:rsid w:val="00091FA6"/>
    <w:rsid w:val="00092B44"/>
    <w:rsid w:val="00092C6F"/>
    <w:rsid w:val="00093694"/>
    <w:rsid w:val="00093D76"/>
    <w:rsid w:val="00094E3A"/>
    <w:rsid w:val="00094E60"/>
    <w:rsid w:val="0009506A"/>
    <w:rsid w:val="00095772"/>
    <w:rsid w:val="0009588A"/>
    <w:rsid w:val="00095BAC"/>
    <w:rsid w:val="00095FCE"/>
    <w:rsid w:val="000961FF"/>
    <w:rsid w:val="00096354"/>
    <w:rsid w:val="000964C5"/>
    <w:rsid w:val="00096A16"/>
    <w:rsid w:val="00096B41"/>
    <w:rsid w:val="00097C07"/>
    <w:rsid w:val="00097CD2"/>
    <w:rsid w:val="000A06FB"/>
    <w:rsid w:val="000A077F"/>
    <w:rsid w:val="000A0882"/>
    <w:rsid w:val="000A0A5F"/>
    <w:rsid w:val="000A1097"/>
    <w:rsid w:val="000A1626"/>
    <w:rsid w:val="000A183B"/>
    <w:rsid w:val="000A18F9"/>
    <w:rsid w:val="000A1D79"/>
    <w:rsid w:val="000A1EE8"/>
    <w:rsid w:val="000A2104"/>
    <w:rsid w:val="000A21E2"/>
    <w:rsid w:val="000A2983"/>
    <w:rsid w:val="000A2A20"/>
    <w:rsid w:val="000A2A9D"/>
    <w:rsid w:val="000A2B88"/>
    <w:rsid w:val="000A2D6A"/>
    <w:rsid w:val="000A2F8A"/>
    <w:rsid w:val="000A3D2D"/>
    <w:rsid w:val="000A3EFB"/>
    <w:rsid w:val="000A4A92"/>
    <w:rsid w:val="000A4EFD"/>
    <w:rsid w:val="000A51B9"/>
    <w:rsid w:val="000A6889"/>
    <w:rsid w:val="000A6A9D"/>
    <w:rsid w:val="000A6E33"/>
    <w:rsid w:val="000A7320"/>
    <w:rsid w:val="000A743C"/>
    <w:rsid w:val="000A7BED"/>
    <w:rsid w:val="000A7EB7"/>
    <w:rsid w:val="000A7ED0"/>
    <w:rsid w:val="000B02F0"/>
    <w:rsid w:val="000B0318"/>
    <w:rsid w:val="000B0C1C"/>
    <w:rsid w:val="000B0E18"/>
    <w:rsid w:val="000B1403"/>
    <w:rsid w:val="000B2019"/>
    <w:rsid w:val="000B2C65"/>
    <w:rsid w:val="000B3843"/>
    <w:rsid w:val="000B3DB6"/>
    <w:rsid w:val="000B3E96"/>
    <w:rsid w:val="000B40B5"/>
    <w:rsid w:val="000B4246"/>
    <w:rsid w:val="000B44A5"/>
    <w:rsid w:val="000B47BF"/>
    <w:rsid w:val="000B4A47"/>
    <w:rsid w:val="000B507E"/>
    <w:rsid w:val="000B5208"/>
    <w:rsid w:val="000B52AA"/>
    <w:rsid w:val="000B5452"/>
    <w:rsid w:val="000B6414"/>
    <w:rsid w:val="000B775C"/>
    <w:rsid w:val="000C0987"/>
    <w:rsid w:val="000C1420"/>
    <w:rsid w:val="000C1953"/>
    <w:rsid w:val="000C1EDF"/>
    <w:rsid w:val="000C2247"/>
    <w:rsid w:val="000C2876"/>
    <w:rsid w:val="000C2A68"/>
    <w:rsid w:val="000C2DBF"/>
    <w:rsid w:val="000C2F9E"/>
    <w:rsid w:val="000C31E5"/>
    <w:rsid w:val="000C368F"/>
    <w:rsid w:val="000C36E8"/>
    <w:rsid w:val="000C41BA"/>
    <w:rsid w:val="000C46DE"/>
    <w:rsid w:val="000C49C0"/>
    <w:rsid w:val="000C5138"/>
    <w:rsid w:val="000C51B0"/>
    <w:rsid w:val="000C57F9"/>
    <w:rsid w:val="000C6506"/>
    <w:rsid w:val="000C66E0"/>
    <w:rsid w:val="000C7136"/>
    <w:rsid w:val="000C77BF"/>
    <w:rsid w:val="000C7CE0"/>
    <w:rsid w:val="000C7F42"/>
    <w:rsid w:val="000D0E1B"/>
    <w:rsid w:val="000D141B"/>
    <w:rsid w:val="000D1631"/>
    <w:rsid w:val="000D19D4"/>
    <w:rsid w:val="000D1A92"/>
    <w:rsid w:val="000D1EF2"/>
    <w:rsid w:val="000D1EF3"/>
    <w:rsid w:val="000D20AE"/>
    <w:rsid w:val="000D22DF"/>
    <w:rsid w:val="000D242D"/>
    <w:rsid w:val="000D2FEF"/>
    <w:rsid w:val="000D306A"/>
    <w:rsid w:val="000D30EE"/>
    <w:rsid w:val="000D34D8"/>
    <w:rsid w:val="000D3707"/>
    <w:rsid w:val="000D3AA0"/>
    <w:rsid w:val="000D3D09"/>
    <w:rsid w:val="000D42DA"/>
    <w:rsid w:val="000D4A47"/>
    <w:rsid w:val="000D5411"/>
    <w:rsid w:val="000D5EBA"/>
    <w:rsid w:val="000D6186"/>
    <w:rsid w:val="000D685A"/>
    <w:rsid w:val="000D6B41"/>
    <w:rsid w:val="000D6EDF"/>
    <w:rsid w:val="000D6FA6"/>
    <w:rsid w:val="000D7260"/>
    <w:rsid w:val="000D7502"/>
    <w:rsid w:val="000D7BD2"/>
    <w:rsid w:val="000D7C22"/>
    <w:rsid w:val="000D7D94"/>
    <w:rsid w:val="000D7FA8"/>
    <w:rsid w:val="000E10F3"/>
    <w:rsid w:val="000E1370"/>
    <w:rsid w:val="000E1B06"/>
    <w:rsid w:val="000E2074"/>
    <w:rsid w:val="000E29C1"/>
    <w:rsid w:val="000E2B47"/>
    <w:rsid w:val="000E3190"/>
    <w:rsid w:val="000E3593"/>
    <w:rsid w:val="000E3724"/>
    <w:rsid w:val="000E412C"/>
    <w:rsid w:val="000E4239"/>
    <w:rsid w:val="000E42B1"/>
    <w:rsid w:val="000E45C4"/>
    <w:rsid w:val="000E5BC7"/>
    <w:rsid w:val="000E6574"/>
    <w:rsid w:val="000E6C8C"/>
    <w:rsid w:val="000E7480"/>
    <w:rsid w:val="000E7FC2"/>
    <w:rsid w:val="000F063D"/>
    <w:rsid w:val="000F094A"/>
    <w:rsid w:val="000F1526"/>
    <w:rsid w:val="000F23CC"/>
    <w:rsid w:val="000F2538"/>
    <w:rsid w:val="000F25D4"/>
    <w:rsid w:val="000F2B39"/>
    <w:rsid w:val="000F2C28"/>
    <w:rsid w:val="000F2FD0"/>
    <w:rsid w:val="000F3305"/>
    <w:rsid w:val="000F3766"/>
    <w:rsid w:val="000F384B"/>
    <w:rsid w:val="000F3B15"/>
    <w:rsid w:val="000F42F7"/>
    <w:rsid w:val="000F465E"/>
    <w:rsid w:val="000F4D7E"/>
    <w:rsid w:val="000F50DC"/>
    <w:rsid w:val="000F531F"/>
    <w:rsid w:val="000F5DB4"/>
    <w:rsid w:val="000F6135"/>
    <w:rsid w:val="000F672F"/>
    <w:rsid w:val="000F6C86"/>
    <w:rsid w:val="000F7449"/>
    <w:rsid w:val="000F74D7"/>
    <w:rsid w:val="0010002C"/>
    <w:rsid w:val="001000AC"/>
    <w:rsid w:val="00100127"/>
    <w:rsid w:val="00100571"/>
    <w:rsid w:val="00100F57"/>
    <w:rsid w:val="00101DB3"/>
    <w:rsid w:val="00102068"/>
    <w:rsid w:val="001020C6"/>
    <w:rsid w:val="00102C2A"/>
    <w:rsid w:val="00102FA6"/>
    <w:rsid w:val="001046F0"/>
    <w:rsid w:val="001054B4"/>
    <w:rsid w:val="0010590F"/>
    <w:rsid w:val="00105EC7"/>
    <w:rsid w:val="00105F2F"/>
    <w:rsid w:val="001068CC"/>
    <w:rsid w:val="00106B4D"/>
    <w:rsid w:val="00107362"/>
    <w:rsid w:val="001100D5"/>
    <w:rsid w:val="001103A0"/>
    <w:rsid w:val="00110B4E"/>
    <w:rsid w:val="0011168C"/>
    <w:rsid w:val="001118AE"/>
    <w:rsid w:val="00111BCF"/>
    <w:rsid w:val="00111C0B"/>
    <w:rsid w:val="00112531"/>
    <w:rsid w:val="00112941"/>
    <w:rsid w:val="00112AA9"/>
    <w:rsid w:val="00112CAB"/>
    <w:rsid w:val="001131E7"/>
    <w:rsid w:val="00113FF7"/>
    <w:rsid w:val="00114E30"/>
    <w:rsid w:val="00114F91"/>
    <w:rsid w:val="001153A1"/>
    <w:rsid w:val="001155FF"/>
    <w:rsid w:val="0011575F"/>
    <w:rsid w:val="001157D0"/>
    <w:rsid w:val="001157EF"/>
    <w:rsid w:val="00115C5C"/>
    <w:rsid w:val="00116377"/>
    <w:rsid w:val="00116746"/>
    <w:rsid w:val="00116A10"/>
    <w:rsid w:val="00116E47"/>
    <w:rsid w:val="00117851"/>
    <w:rsid w:val="00117C1A"/>
    <w:rsid w:val="00120025"/>
    <w:rsid w:val="00120612"/>
    <w:rsid w:val="0012076A"/>
    <w:rsid w:val="00120D51"/>
    <w:rsid w:val="001211BA"/>
    <w:rsid w:val="0012149D"/>
    <w:rsid w:val="001214B2"/>
    <w:rsid w:val="001217FD"/>
    <w:rsid w:val="001220C0"/>
    <w:rsid w:val="00122290"/>
    <w:rsid w:val="00122C0C"/>
    <w:rsid w:val="00122E2D"/>
    <w:rsid w:val="00122FCC"/>
    <w:rsid w:val="00123728"/>
    <w:rsid w:val="001244E2"/>
    <w:rsid w:val="0012479D"/>
    <w:rsid w:val="00124F36"/>
    <w:rsid w:val="00125375"/>
    <w:rsid w:val="00125525"/>
    <w:rsid w:val="001257CA"/>
    <w:rsid w:val="00125970"/>
    <w:rsid w:val="001269B2"/>
    <w:rsid w:val="0012705C"/>
    <w:rsid w:val="001270E7"/>
    <w:rsid w:val="00127679"/>
    <w:rsid w:val="001301C8"/>
    <w:rsid w:val="0013073C"/>
    <w:rsid w:val="00130A34"/>
    <w:rsid w:val="00130BF7"/>
    <w:rsid w:val="00130F28"/>
    <w:rsid w:val="00131298"/>
    <w:rsid w:val="001316F2"/>
    <w:rsid w:val="00131821"/>
    <w:rsid w:val="00131A2B"/>
    <w:rsid w:val="00131A7B"/>
    <w:rsid w:val="00131C2D"/>
    <w:rsid w:val="00131C52"/>
    <w:rsid w:val="00131C59"/>
    <w:rsid w:val="0013251A"/>
    <w:rsid w:val="00132A0C"/>
    <w:rsid w:val="00132A18"/>
    <w:rsid w:val="00132FA8"/>
    <w:rsid w:val="00133178"/>
    <w:rsid w:val="00133570"/>
    <w:rsid w:val="001335B4"/>
    <w:rsid w:val="00133F57"/>
    <w:rsid w:val="00134000"/>
    <w:rsid w:val="001342D9"/>
    <w:rsid w:val="00134339"/>
    <w:rsid w:val="00134617"/>
    <w:rsid w:val="00134A67"/>
    <w:rsid w:val="00134F82"/>
    <w:rsid w:val="0013572F"/>
    <w:rsid w:val="001363F6"/>
    <w:rsid w:val="00136613"/>
    <w:rsid w:val="001369F1"/>
    <w:rsid w:val="00137733"/>
    <w:rsid w:val="00137A0F"/>
    <w:rsid w:val="00137A72"/>
    <w:rsid w:val="001402D6"/>
    <w:rsid w:val="00140403"/>
    <w:rsid w:val="00140F5A"/>
    <w:rsid w:val="0014112E"/>
    <w:rsid w:val="00141501"/>
    <w:rsid w:val="00142013"/>
    <w:rsid w:val="00142034"/>
    <w:rsid w:val="0014263F"/>
    <w:rsid w:val="00142B8A"/>
    <w:rsid w:val="00142FB1"/>
    <w:rsid w:val="00143253"/>
    <w:rsid w:val="00143878"/>
    <w:rsid w:val="001439E6"/>
    <w:rsid w:val="00143A47"/>
    <w:rsid w:val="00143A74"/>
    <w:rsid w:val="00143CE5"/>
    <w:rsid w:val="00145389"/>
    <w:rsid w:val="001458D8"/>
    <w:rsid w:val="00146266"/>
    <w:rsid w:val="0014660D"/>
    <w:rsid w:val="00146F17"/>
    <w:rsid w:val="00147073"/>
    <w:rsid w:val="00147346"/>
    <w:rsid w:val="001475C5"/>
    <w:rsid w:val="0014794E"/>
    <w:rsid w:val="00147D46"/>
    <w:rsid w:val="001500F0"/>
    <w:rsid w:val="0015049C"/>
    <w:rsid w:val="00150934"/>
    <w:rsid w:val="0015102A"/>
    <w:rsid w:val="0015191F"/>
    <w:rsid w:val="00151FEB"/>
    <w:rsid w:val="0015281E"/>
    <w:rsid w:val="00152B3F"/>
    <w:rsid w:val="00152CC6"/>
    <w:rsid w:val="00153491"/>
    <w:rsid w:val="0015399A"/>
    <w:rsid w:val="00154820"/>
    <w:rsid w:val="00154AF2"/>
    <w:rsid w:val="00155208"/>
    <w:rsid w:val="00155B4C"/>
    <w:rsid w:val="00155C4B"/>
    <w:rsid w:val="0015638E"/>
    <w:rsid w:val="001568E0"/>
    <w:rsid w:val="00156937"/>
    <w:rsid w:val="0015729A"/>
    <w:rsid w:val="00157756"/>
    <w:rsid w:val="00157E23"/>
    <w:rsid w:val="0016071B"/>
    <w:rsid w:val="001608D3"/>
    <w:rsid w:val="00160A1B"/>
    <w:rsid w:val="00161316"/>
    <w:rsid w:val="0016168C"/>
    <w:rsid w:val="00161882"/>
    <w:rsid w:val="00161F65"/>
    <w:rsid w:val="00162527"/>
    <w:rsid w:val="001625BA"/>
    <w:rsid w:val="00162732"/>
    <w:rsid w:val="00163204"/>
    <w:rsid w:val="0016346F"/>
    <w:rsid w:val="00164169"/>
    <w:rsid w:val="0016432A"/>
    <w:rsid w:val="00164CF8"/>
    <w:rsid w:val="00165512"/>
    <w:rsid w:val="001661EF"/>
    <w:rsid w:val="001663C7"/>
    <w:rsid w:val="00166555"/>
    <w:rsid w:val="00166595"/>
    <w:rsid w:val="00166B18"/>
    <w:rsid w:val="00166B4E"/>
    <w:rsid w:val="00166F65"/>
    <w:rsid w:val="00167080"/>
    <w:rsid w:val="001678AC"/>
    <w:rsid w:val="00170139"/>
    <w:rsid w:val="0017032E"/>
    <w:rsid w:val="001703AC"/>
    <w:rsid w:val="0017074E"/>
    <w:rsid w:val="0017083B"/>
    <w:rsid w:val="00170D28"/>
    <w:rsid w:val="00170D88"/>
    <w:rsid w:val="001719CD"/>
    <w:rsid w:val="00171BA1"/>
    <w:rsid w:val="00171CB8"/>
    <w:rsid w:val="001722C3"/>
    <w:rsid w:val="00172998"/>
    <w:rsid w:val="00172A49"/>
    <w:rsid w:val="00172C61"/>
    <w:rsid w:val="00172FAA"/>
    <w:rsid w:val="00173303"/>
    <w:rsid w:val="00173DD5"/>
    <w:rsid w:val="00173E6C"/>
    <w:rsid w:val="00173FFE"/>
    <w:rsid w:val="00174883"/>
    <w:rsid w:val="00174A0B"/>
    <w:rsid w:val="00175060"/>
    <w:rsid w:val="001750CC"/>
    <w:rsid w:val="001761C7"/>
    <w:rsid w:val="001761CD"/>
    <w:rsid w:val="001764F8"/>
    <w:rsid w:val="001767FF"/>
    <w:rsid w:val="00176881"/>
    <w:rsid w:val="00177721"/>
    <w:rsid w:val="0017784A"/>
    <w:rsid w:val="00177855"/>
    <w:rsid w:val="00180709"/>
    <w:rsid w:val="0018077D"/>
    <w:rsid w:val="00180796"/>
    <w:rsid w:val="00180D2D"/>
    <w:rsid w:val="00180D6E"/>
    <w:rsid w:val="00181290"/>
    <w:rsid w:val="0018150E"/>
    <w:rsid w:val="00182609"/>
    <w:rsid w:val="0018268F"/>
    <w:rsid w:val="00182989"/>
    <w:rsid w:val="00182FD1"/>
    <w:rsid w:val="001833A8"/>
    <w:rsid w:val="001837A7"/>
    <w:rsid w:val="001838BC"/>
    <w:rsid w:val="001839E2"/>
    <w:rsid w:val="00183A07"/>
    <w:rsid w:val="00183AA5"/>
    <w:rsid w:val="001840C2"/>
    <w:rsid w:val="001840DD"/>
    <w:rsid w:val="00184B2C"/>
    <w:rsid w:val="00185293"/>
    <w:rsid w:val="00185B53"/>
    <w:rsid w:val="00185DA5"/>
    <w:rsid w:val="0018603D"/>
    <w:rsid w:val="00186148"/>
    <w:rsid w:val="001861CB"/>
    <w:rsid w:val="001864AD"/>
    <w:rsid w:val="0018686D"/>
    <w:rsid w:val="001869D6"/>
    <w:rsid w:val="00186E07"/>
    <w:rsid w:val="00187619"/>
    <w:rsid w:val="00187DA0"/>
    <w:rsid w:val="001903EE"/>
    <w:rsid w:val="001904F5"/>
    <w:rsid w:val="00190CA6"/>
    <w:rsid w:val="00190DAF"/>
    <w:rsid w:val="00191038"/>
    <w:rsid w:val="00191A2A"/>
    <w:rsid w:val="00191CC0"/>
    <w:rsid w:val="00191CFE"/>
    <w:rsid w:val="00191D73"/>
    <w:rsid w:val="00192A06"/>
    <w:rsid w:val="00192BF9"/>
    <w:rsid w:val="00192C01"/>
    <w:rsid w:val="00192E43"/>
    <w:rsid w:val="00192FF2"/>
    <w:rsid w:val="001932E3"/>
    <w:rsid w:val="00193FC3"/>
    <w:rsid w:val="0019442A"/>
    <w:rsid w:val="00194881"/>
    <w:rsid w:val="00194C3C"/>
    <w:rsid w:val="00194CF8"/>
    <w:rsid w:val="001950DD"/>
    <w:rsid w:val="00195545"/>
    <w:rsid w:val="00195AA5"/>
    <w:rsid w:val="00195E0F"/>
    <w:rsid w:val="00195EF3"/>
    <w:rsid w:val="0019618E"/>
    <w:rsid w:val="00196264"/>
    <w:rsid w:val="00196C73"/>
    <w:rsid w:val="00196E77"/>
    <w:rsid w:val="00197159"/>
    <w:rsid w:val="001974B2"/>
    <w:rsid w:val="0019760D"/>
    <w:rsid w:val="00197BE8"/>
    <w:rsid w:val="001A040E"/>
    <w:rsid w:val="001A07B0"/>
    <w:rsid w:val="001A0D8D"/>
    <w:rsid w:val="001A18B3"/>
    <w:rsid w:val="001A1BB8"/>
    <w:rsid w:val="001A1EE0"/>
    <w:rsid w:val="001A22E6"/>
    <w:rsid w:val="001A26C6"/>
    <w:rsid w:val="001A2870"/>
    <w:rsid w:val="001A2DE6"/>
    <w:rsid w:val="001A30D9"/>
    <w:rsid w:val="001A3522"/>
    <w:rsid w:val="001A3617"/>
    <w:rsid w:val="001A385D"/>
    <w:rsid w:val="001A413D"/>
    <w:rsid w:val="001A455B"/>
    <w:rsid w:val="001A47B2"/>
    <w:rsid w:val="001A52EE"/>
    <w:rsid w:val="001A52FC"/>
    <w:rsid w:val="001A5744"/>
    <w:rsid w:val="001A58C7"/>
    <w:rsid w:val="001A5A4C"/>
    <w:rsid w:val="001A611D"/>
    <w:rsid w:val="001A63E0"/>
    <w:rsid w:val="001A6E94"/>
    <w:rsid w:val="001A720F"/>
    <w:rsid w:val="001A7351"/>
    <w:rsid w:val="001A7788"/>
    <w:rsid w:val="001A7B22"/>
    <w:rsid w:val="001B0042"/>
    <w:rsid w:val="001B00E9"/>
    <w:rsid w:val="001B05E5"/>
    <w:rsid w:val="001B061E"/>
    <w:rsid w:val="001B0875"/>
    <w:rsid w:val="001B097F"/>
    <w:rsid w:val="001B110A"/>
    <w:rsid w:val="001B15C3"/>
    <w:rsid w:val="001B1657"/>
    <w:rsid w:val="001B171E"/>
    <w:rsid w:val="001B266C"/>
    <w:rsid w:val="001B2AB7"/>
    <w:rsid w:val="001B3147"/>
    <w:rsid w:val="001B3951"/>
    <w:rsid w:val="001B3E99"/>
    <w:rsid w:val="001B40D8"/>
    <w:rsid w:val="001B469C"/>
    <w:rsid w:val="001B4D42"/>
    <w:rsid w:val="001B4E15"/>
    <w:rsid w:val="001B522B"/>
    <w:rsid w:val="001B592F"/>
    <w:rsid w:val="001B5EBF"/>
    <w:rsid w:val="001B6D2C"/>
    <w:rsid w:val="001B6FF7"/>
    <w:rsid w:val="001B7541"/>
    <w:rsid w:val="001C0134"/>
    <w:rsid w:val="001C03D2"/>
    <w:rsid w:val="001C0957"/>
    <w:rsid w:val="001C095D"/>
    <w:rsid w:val="001C0BB2"/>
    <w:rsid w:val="001C0E31"/>
    <w:rsid w:val="001C0F79"/>
    <w:rsid w:val="001C0F96"/>
    <w:rsid w:val="001C11B5"/>
    <w:rsid w:val="001C135C"/>
    <w:rsid w:val="001C21B4"/>
    <w:rsid w:val="001C2373"/>
    <w:rsid w:val="001C27D3"/>
    <w:rsid w:val="001C3C61"/>
    <w:rsid w:val="001C3E69"/>
    <w:rsid w:val="001C41D7"/>
    <w:rsid w:val="001C4834"/>
    <w:rsid w:val="001C4B72"/>
    <w:rsid w:val="001C4E61"/>
    <w:rsid w:val="001C51FE"/>
    <w:rsid w:val="001C535B"/>
    <w:rsid w:val="001C549B"/>
    <w:rsid w:val="001C5704"/>
    <w:rsid w:val="001C57F9"/>
    <w:rsid w:val="001C5AE2"/>
    <w:rsid w:val="001C5C25"/>
    <w:rsid w:val="001C6831"/>
    <w:rsid w:val="001C6898"/>
    <w:rsid w:val="001C6E6A"/>
    <w:rsid w:val="001C6EC4"/>
    <w:rsid w:val="001C6FAD"/>
    <w:rsid w:val="001C701C"/>
    <w:rsid w:val="001D0C28"/>
    <w:rsid w:val="001D0CDD"/>
    <w:rsid w:val="001D1386"/>
    <w:rsid w:val="001D16EE"/>
    <w:rsid w:val="001D1B1B"/>
    <w:rsid w:val="001D1C06"/>
    <w:rsid w:val="001D2F8E"/>
    <w:rsid w:val="001D3114"/>
    <w:rsid w:val="001D3288"/>
    <w:rsid w:val="001D333A"/>
    <w:rsid w:val="001D3592"/>
    <w:rsid w:val="001D3ACA"/>
    <w:rsid w:val="001D3DA1"/>
    <w:rsid w:val="001D4163"/>
    <w:rsid w:val="001D4177"/>
    <w:rsid w:val="001D4731"/>
    <w:rsid w:val="001D4EF1"/>
    <w:rsid w:val="001D501D"/>
    <w:rsid w:val="001D53EE"/>
    <w:rsid w:val="001D5743"/>
    <w:rsid w:val="001D6CDC"/>
    <w:rsid w:val="001D799F"/>
    <w:rsid w:val="001D7B8A"/>
    <w:rsid w:val="001D7D97"/>
    <w:rsid w:val="001E0E06"/>
    <w:rsid w:val="001E0E43"/>
    <w:rsid w:val="001E120F"/>
    <w:rsid w:val="001E169F"/>
    <w:rsid w:val="001E18A8"/>
    <w:rsid w:val="001E1AC4"/>
    <w:rsid w:val="001E1CF0"/>
    <w:rsid w:val="001E2D62"/>
    <w:rsid w:val="001E30CE"/>
    <w:rsid w:val="001E3C1D"/>
    <w:rsid w:val="001E3D9E"/>
    <w:rsid w:val="001E3F4E"/>
    <w:rsid w:val="001E3F68"/>
    <w:rsid w:val="001E4A3D"/>
    <w:rsid w:val="001E50BF"/>
    <w:rsid w:val="001E5367"/>
    <w:rsid w:val="001E5380"/>
    <w:rsid w:val="001E53F7"/>
    <w:rsid w:val="001E5894"/>
    <w:rsid w:val="001E6672"/>
    <w:rsid w:val="001E68DF"/>
    <w:rsid w:val="001E6E25"/>
    <w:rsid w:val="001E7185"/>
    <w:rsid w:val="001E7BD5"/>
    <w:rsid w:val="001F0324"/>
    <w:rsid w:val="001F080A"/>
    <w:rsid w:val="001F0B33"/>
    <w:rsid w:val="001F0C29"/>
    <w:rsid w:val="001F0E89"/>
    <w:rsid w:val="001F12A6"/>
    <w:rsid w:val="001F1310"/>
    <w:rsid w:val="001F1457"/>
    <w:rsid w:val="001F14F6"/>
    <w:rsid w:val="001F161D"/>
    <w:rsid w:val="001F179D"/>
    <w:rsid w:val="001F17F3"/>
    <w:rsid w:val="001F1967"/>
    <w:rsid w:val="001F2499"/>
    <w:rsid w:val="001F25AF"/>
    <w:rsid w:val="001F25C2"/>
    <w:rsid w:val="001F2ED9"/>
    <w:rsid w:val="001F31D2"/>
    <w:rsid w:val="001F340B"/>
    <w:rsid w:val="001F345E"/>
    <w:rsid w:val="001F3A68"/>
    <w:rsid w:val="001F448D"/>
    <w:rsid w:val="001F45C9"/>
    <w:rsid w:val="001F4906"/>
    <w:rsid w:val="001F4A02"/>
    <w:rsid w:val="001F4B4A"/>
    <w:rsid w:val="001F4B8D"/>
    <w:rsid w:val="001F4D2F"/>
    <w:rsid w:val="001F4F57"/>
    <w:rsid w:val="001F520F"/>
    <w:rsid w:val="001F5415"/>
    <w:rsid w:val="001F54AC"/>
    <w:rsid w:val="001F5995"/>
    <w:rsid w:val="001F5D69"/>
    <w:rsid w:val="001F66C0"/>
    <w:rsid w:val="001F6C8B"/>
    <w:rsid w:val="001F74F6"/>
    <w:rsid w:val="001F7974"/>
    <w:rsid w:val="001F7AFB"/>
    <w:rsid w:val="001F7CBB"/>
    <w:rsid w:val="001F7D69"/>
    <w:rsid w:val="002002C0"/>
    <w:rsid w:val="00200CEE"/>
    <w:rsid w:val="002014AA"/>
    <w:rsid w:val="0020174B"/>
    <w:rsid w:val="00201AFC"/>
    <w:rsid w:val="00202246"/>
    <w:rsid w:val="00202881"/>
    <w:rsid w:val="002028C4"/>
    <w:rsid w:val="00202C08"/>
    <w:rsid w:val="0020311C"/>
    <w:rsid w:val="002035D5"/>
    <w:rsid w:val="00203805"/>
    <w:rsid w:val="002040DE"/>
    <w:rsid w:val="002040E4"/>
    <w:rsid w:val="002046CD"/>
    <w:rsid w:val="0020489C"/>
    <w:rsid w:val="00204D03"/>
    <w:rsid w:val="00204DDC"/>
    <w:rsid w:val="002052F1"/>
    <w:rsid w:val="002055BA"/>
    <w:rsid w:val="00205C64"/>
    <w:rsid w:val="00205DA8"/>
    <w:rsid w:val="00206178"/>
    <w:rsid w:val="00206A59"/>
    <w:rsid w:val="002074F6"/>
    <w:rsid w:val="00207914"/>
    <w:rsid w:val="002100AE"/>
    <w:rsid w:val="00210DA4"/>
    <w:rsid w:val="00211AC9"/>
    <w:rsid w:val="00211B89"/>
    <w:rsid w:val="00211FAD"/>
    <w:rsid w:val="002126BD"/>
    <w:rsid w:val="002129AA"/>
    <w:rsid w:val="00212F30"/>
    <w:rsid w:val="002135AE"/>
    <w:rsid w:val="00213DFF"/>
    <w:rsid w:val="0021409C"/>
    <w:rsid w:val="002140ED"/>
    <w:rsid w:val="00214438"/>
    <w:rsid w:val="00214631"/>
    <w:rsid w:val="0021475C"/>
    <w:rsid w:val="00214778"/>
    <w:rsid w:val="00214EEF"/>
    <w:rsid w:val="0021530A"/>
    <w:rsid w:val="002153E0"/>
    <w:rsid w:val="002158D4"/>
    <w:rsid w:val="00215C87"/>
    <w:rsid w:val="002167B1"/>
    <w:rsid w:val="00217015"/>
    <w:rsid w:val="002176AA"/>
    <w:rsid w:val="0021797E"/>
    <w:rsid w:val="00220618"/>
    <w:rsid w:val="00220ACD"/>
    <w:rsid w:val="00220ECB"/>
    <w:rsid w:val="0022164D"/>
    <w:rsid w:val="002216E0"/>
    <w:rsid w:val="00221A76"/>
    <w:rsid w:val="00221FAD"/>
    <w:rsid w:val="0022201A"/>
    <w:rsid w:val="00222414"/>
    <w:rsid w:val="0022251D"/>
    <w:rsid w:val="002225DD"/>
    <w:rsid w:val="0022262C"/>
    <w:rsid w:val="0022270A"/>
    <w:rsid w:val="00222DF0"/>
    <w:rsid w:val="00223072"/>
    <w:rsid w:val="00223138"/>
    <w:rsid w:val="0022324D"/>
    <w:rsid w:val="002235FC"/>
    <w:rsid w:val="00223860"/>
    <w:rsid w:val="00224390"/>
    <w:rsid w:val="00224656"/>
    <w:rsid w:val="002247F1"/>
    <w:rsid w:val="002248E7"/>
    <w:rsid w:val="00224B1D"/>
    <w:rsid w:val="00224C79"/>
    <w:rsid w:val="00224D16"/>
    <w:rsid w:val="00224DEA"/>
    <w:rsid w:val="00224E93"/>
    <w:rsid w:val="00225076"/>
    <w:rsid w:val="00225406"/>
    <w:rsid w:val="00225B90"/>
    <w:rsid w:val="00226045"/>
    <w:rsid w:val="002263E1"/>
    <w:rsid w:val="002264F9"/>
    <w:rsid w:val="002276E0"/>
    <w:rsid w:val="00227775"/>
    <w:rsid w:val="00227CB2"/>
    <w:rsid w:val="00227F65"/>
    <w:rsid w:val="00230089"/>
    <w:rsid w:val="00230681"/>
    <w:rsid w:val="00230C37"/>
    <w:rsid w:val="00230FAD"/>
    <w:rsid w:val="002314E7"/>
    <w:rsid w:val="00231BD1"/>
    <w:rsid w:val="00231E4B"/>
    <w:rsid w:val="00231F96"/>
    <w:rsid w:val="00231FF9"/>
    <w:rsid w:val="00232C5A"/>
    <w:rsid w:val="00232CEC"/>
    <w:rsid w:val="00232D15"/>
    <w:rsid w:val="00233628"/>
    <w:rsid w:val="00233C25"/>
    <w:rsid w:val="00233C7A"/>
    <w:rsid w:val="0023462B"/>
    <w:rsid w:val="00234659"/>
    <w:rsid w:val="0023466B"/>
    <w:rsid w:val="00234747"/>
    <w:rsid w:val="00234821"/>
    <w:rsid w:val="00234A06"/>
    <w:rsid w:val="00234DB8"/>
    <w:rsid w:val="00234F2A"/>
    <w:rsid w:val="00235496"/>
    <w:rsid w:val="00235668"/>
    <w:rsid w:val="00235759"/>
    <w:rsid w:val="00235AE9"/>
    <w:rsid w:val="00235B3D"/>
    <w:rsid w:val="00235B3E"/>
    <w:rsid w:val="00235BF9"/>
    <w:rsid w:val="00236182"/>
    <w:rsid w:val="002361F1"/>
    <w:rsid w:val="002365F3"/>
    <w:rsid w:val="00236623"/>
    <w:rsid w:val="0023666B"/>
    <w:rsid w:val="00236743"/>
    <w:rsid w:val="002368E1"/>
    <w:rsid w:val="00236D15"/>
    <w:rsid w:val="00236D1E"/>
    <w:rsid w:val="00237280"/>
    <w:rsid w:val="00237430"/>
    <w:rsid w:val="00237C18"/>
    <w:rsid w:val="0024080D"/>
    <w:rsid w:val="00240822"/>
    <w:rsid w:val="00241456"/>
    <w:rsid w:val="0024168E"/>
    <w:rsid w:val="00241A95"/>
    <w:rsid w:val="00241B0F"/>
    <w:rsid w:val="00241D02"/>
    <w:rsid w:val="00242287"/>
    <w:rsid w:val="002425D1"/>
    <w:rsid w:val="0024299A"/>
    <w:rsid w:val="00242C6C"/>
    <w:rsid w:val="00242D54"/>
    <w:rsid w:val="0024330F"/>
    <w:rsid w:val="00243726"/>
    <w:rsid w:val="00244937"/>
    <w:rsid w:val="00244AD9"/>
    <w:rsid w:val="00244B79"/>
    <w:rsid w:val="00244D8F"/>
    <w:rsid w:val="00245F71"/>
    <w:rsid w:val="00245FCA"/>
    <w:rsid w:val="00246187"/>
    <w:rsid w:val="002472AB"/>
    <w:rsid w:val="002476ED"/>
    <w:rsid w:val="00247D1D"/>
    <w:rsid w:val="00247F00"/>
    <w:rsid w:val="002512F0"/>
    <w:rsid w:val="0025192D"/>
    <w:rsid w:val="00251A53"/>
    <w:rsid w:val="0025240E"/>
    <w:rsid w:val="002525D9"/>
    <w:rsid w:val="00252BEC"/>
    <w:rsid w:val="00253592"/>
    <w:rsid w:val="002537F7"/>
    <w:rsid w:val="002538ED"/>
    <w:rsid w:val="0025395C"/>
    <w:rsid w:val="002542B3"/>
    <w:rsid w:val="002544BA"/>
    <w:rsid w:val="00254772"/>
    <w:rsid w:val="00254AAB"/>
    <w:rsid w:val="00254F5D"/>
    <w:rsid w:val="00255482"/>
    <w:rsid w:val="002554D6"/>
    <w:rsid w:val="002558A0"/>
    <w:rsid w:val="00255B0B"/>
    <w:rsid w:val="00255C09"/>
    <w:rsid w:val="00256F8B"/>
    <w:rsid w:val="00257578"/>
    <w:rsid w:val="00257AF9"/>
    <w:rsid w:val="00257E8E"/>
    <w:rsid w:val="00260C47"/>
    <w:rsid w:val="00260CB9"/>
    <w:rsid w:val="00260F2F"/>
    <w:rsid w:val="00261154"/>
    <w:rsid w:val="0026185C"/>
    <w:rsid w:val="00261AF4"/>
    <w:rsid w:val="00261E1F"/>
    <w:rsid w:val="00262113"/>
    <w:rsid w:val="00262632"/>
    <w:rsid w:val="00262D11"/>
    <w:rsid w:val="00262E15"/>
    <w:rsid w:val="00262FB4"/>
    <w:rsid w:val="00263486"/>
    <w:rsid w:val="002635DB"/>
    <w:rsid w:val="0026384A"/>
    <w:rsid w:val="002638D7"/>
    <w:rsid w:val="00264100"/>
    <w:rsid w:val="00264109"/>
    <w:rsid w:val="00264DDB"/>
    <w:rsid w:val="00264EDB"/>
    <w:rsid w:val="0026578C"/>
    <w:rsid w:val="00266318"/>
    <w:rsid w:val="002665F3"/>
    <w:rsid w:val="00267208"/>
    <w:rsid w:val="00267227"/>
    <w:rsid w:val="00267877"/>
    <w:rsid w:val="00267E2E"/>
    <w:rsid w:val="00270387"/>
    <w:rsid w:val="002710DF"/>
    <w:rsid w:val="0027197E"/>
    <w:rsid w:val="00271AAC"/>
    <w:rsid w:val="00271D3B"/>
    <w:rsid w:val="00272060"/>
    <w:rsid w:val="00272FD4"/>
    <w:rsid w:val="00273054"/>
    <w:rsid w:val="0027339F"/>
    <w:rsid w:val="002734E3"/>
    <w:rsid w:val="0027354B"/>
    <w:rsid w:val="00273681"/>
    <w:rsid w:val="00273B6F"/>
    <w:rsid w:val="00273DBA"/>
    <w:rsid w:val="00274321"/>
    <w:rsid w:val="00274394"/>
    <w:rsid w:val="00274CEA"/>
    <w:rsid w:val="0027555D"/>
    <w:rsid w:val="00275E01"/>
    <w:rsid w:val="00275E50"/>
    <w:rsid w:val="00275F8E"/>
    <w:rsid w:val="0027644D"/>
    <w:rsid w:val="002766E8"/>
    <w:rsid w:val="002767DC"/>
    <w:rsid w:val="002768CC"/>
    <w:rsid w:val="00276B72"/>
    <w:rsid w:val="00277010"/>
    <w:rsid w:val="00277786"/>
    <w:rsid w:val="00277E6E"/>
    <w:rsid w:val="0028009B"/>
    <w:rsid w:val="002806EB"/>
    <w:rsid w:val="0028099B"/>
    <w:rsid w:val="0028148F"/>
    <w:rsid w:val="0028196D"/>
    <w:rsid w:val="00281CF8"/>
    <w:rsid w:val="00281D74"/>
    <w:rsid w:val="00282422"/>
    <w:rsid w:val="002826CD"/>
    <w:rsid w:val="00282C08"/>
    <w:rsid w:val="00282E31"/>
    <w:rsid w:val="002830FA"/>
    <w:rsid w:val="00283269"/>
    <w:rsid w:val="002832F0"/>
    <w:rsid w:val="0028349F"/>
    <w:rsid w:val="00283C5C"/>
    <w:rsid w:val="00283EFF"/>
    <w:rsid w:val="00284B24"/>
    <w:rsid w:val="0028536C"/>
    <w:rsid w:val="002865DF"/>
    <w:rsid w:val="00286651"/>
    <w:rsid w:val="0028674A"/>
    <w:rsid w:val="002867FB"/>
    <w:rsid w:val="00286A29"/>
    <w:rsid w:val="00286BDC"/>
    <w:rsid w:val="00286EC1"/>
    <w:rsid w:val="00287318"/>
    <w:rsid w:val="002900D7"/>
    <w:rsid w:val="002900FC"/>
    <w:rsid w:val="00290A12"/>
    <w:rsid w:val="00290B56"/>
    <w:rsid w:val="00290C72"/>
    <w:rsid w:val="00291005"/>
    <w:rsid w:val="002910C6"/>
    <w:rsid w:val="00291436"/>
    <w:rsid w:val="00291AD0"/>
    <w:rsid w:val="002927B9"/>
    <w:rsid w:val="002928F3"/>
    <w:rsid w:val="00292D36"/>
    <w:rsid w:val="002932B4"/>
    <w:rsid w:val="00293C98"/>
    <w:rsid w:val="0029401A"/>
    <w:rsid w:val="00294136"/>
    <w:rsid w:val="00294230"/>
    <w:rsid w:val="002943FD"/>
    <w:rsid w:val="00294641"/>
    <w:rsid w:val="0029464D"/>
    <w:rsid w:val="002950FC"/>
    <w:rsid w:val="00295448"/>
    <w:rsid w:val="0029590D"/>
    <w:rsid w:val="002959E4"/>
    <w:rsid w:val="00295F99"/>
    <w:rsid w:val="00296CB6"/>
    <w:rsid w:val="0029732B"/>
    <w:rsid w:val="00297552"/>
    <w:rsid w:val="0029767B"/>
    <w:rsid w:val="00297786"/>
    <w:rsid w:val="002A00D5"/>
    <w:rsid w:val="002A03F1"/>
    <w:rsid w:val="002A08C2"/>
    <w:rsid w:val="002A096B"/>
    <w:rsid w:val="002A1748"/>
    <w:rsid w:val="002A24C0"/>
    <w:rsid w:val="002A2B1E"/>
    <w:rsid w:val="002A2F1B"/>
    <w:rsid w:val="002A3319"/>
    <w:rsid w:val="002A3592"/>
    <w:rsid w:val="002A3A3B"/>
    <w:rsid w:val="002A3AAD"/>
    <w:rsid w:val="002A3D91"/>
    <w:rsid w:val="002A3E44"/>
    <w:rsid w:val="002A4496"/>
    <w:rsid w:val="002A4BA6"/>
    <w:rsid w:val="002A4F1A"/>
    <w:rsid w:val="002A4F33"/>
    <w:rsid w:val="002A5CA4"/>
    <w:rsid w:val="002A5EBB"/>
    <w:rsid w:val="002A6673"/>
    <w:rsid w:val="002A68E5"/>
    <w:rsid w:val="002A68EE"/>
    <w:rsid w:val="002A6CE1"/>
    <w:rsid w:val="002A6F75"/>
    <w:rsid w:val="002A7114"/>
    <w:rsid w:val="002A7702"/>
    <w:rsid w:val="002A7780"/>
    <w:rsid w:val="002B01AA"/>
    <w:rsid w:val="002B029D"/>
    <w:rsid w:val="002B0CB9"/>
    <w:rsid w:val="002B1035"/>
    <w:rsid w:val="002B17A4"/>
    <w:rsid w:val="002B2071"/>
    <w:rsid w:val="002B23F6"/>
    <w:rsid w:val="002B242F"/>
    <w:rsid w:val="002B251E"/>
    <w:rsid w:val="002B2B43"/>
    <w:rsid w:val="002B2BA2"/>
    <w:rsid w:val="002B2C85"/>
    <w:rsid w:val="002B317B"/>
    <w:rsid w:val="002B34DB"/>
    <w:rsid w:val="002B3668"/>
    <w:rsid w:val="002B38E7"/>
    <w:rsid w:val="002B39B1"/>
    <w:rsid w:val="002B3FB8"/>
    <w:rsid w:val="002B415B"/>
    <w:rsid w:val="002B4194"/>
    <w:rsid w:val="002B44A3"/>
    <w:rsid w:val="002B45E2"/>
    <w:rsid w:val="002B46C8"/>
    <w:rsid w:val="002B485B"/>
    <w:rsid w:val="002B593A"/>
    <w:rsid w:val="002B5C3D"/>
    <w:rsid w:val="002B6550"/>
    <w:rsid w:val="002B6601"/>
    <w:rsid w:val="002B665B"/>
    <w:rsid w:val="002B66D1"/>
    <w:rsid w:val="002B66D3"/>
    <w:rsid w:val="002B68DD"/>
    <w:rsid w:val="002B77BC"/>
    <w:rsid w:val="002B7963"/>
    <w:rsid w:val="002B7C82"/>
    <w:rsid w:val="002C0433"/>
    <w:rsid w:val="002C046B"/>
    <w:rsid w:val="002C065E"/>
    <w:rsid w:val="002C08B1"/>
    <w:rsid w:val="002C097F"/>
    <w:rsid w:val="002C0E61"/>
    <w:rsid w:val="002C132D"/>
    <w:rsid w:val="002C1364"/>
    <w:rsid w:val="002C13EE"/>
    <w:rsid w:val="002C15F5"/>
    <w:rsid w:val="002C1689"/>
    <w:rsid w:val="002C19DC"/>
    <w:rsid w:val="002C2651"/>
    <w:rsid w:val="002C26C4"/>
    <w:rsid w:val="002C2AB3"/>
    <w:rsid w:val="002C315B"/>
    <w:rsid w:val="002C3236"/>
    <w:rsid w:val="002C3B09"/>
    <w:rsid w:val="002C41C4"/>
    <w:rsid w:val="002C42BC"/>
    <w:rsid w:val="002C4426"/>
    <w:rsid w:val="002C46C3"/>
    <w:rsid w:val="002C488E"/>
    <w:rsid w:val="002C49C3"/>
    <w:rsid w:val="002C4AC2"/>
    <w:rsid w:val="002C50FB"/>
    <w:rsid w:val="002C5C9D"/>
    <w:rsid w:val="002C61B1"/>
    <w:rsid w:val="002C6435"/>
    <w:rsid w:val="002C72F1"/>
    <w:rsid w:val="002C7B00"/>
    <w:rsid w:val="002D02FC"/>
    <w:rsid w:val="002D0892"/>
    <w:rsid w:val="002D118B"/>
    <w:rsid w:val="002D1234"/>
    <w:rsid w:val="002D1528"/>
    <w:rsid w:val="002D156B"/>
    <w:rsid w:val="002D1E0E"/>
    <w:rsid w:val="002D212B"/>
    <w:rsid w:val="002D21EB"/>
    <w:rsid w:val="002D2271"/>
    <w:rsid w:val="002D2279"/>
    <w:rsid w:val="002D25FB"/>
    <w:rsid w:val="002D27BC"/>
    <w:rsid w:val="002D2808"/>
    <w:rsid w:val="002D296A"/>
    <w:rsid w:val="002D2BFC"/>
    <w:rsid w:val="002D355D"/>
    <w:rsid w:val="002D3AFF"/>
    <w:rsid w:val="002D4825"/>
    <w:rsid w:val="002D4CB1"/>
    <w:rsid w:val="002D4CCB"/>
    <w:rsid w:val="002D4ED4"/>
    <w:rsid w:val="002D5676"/>
    <w:rsid w:val="002D58C2"/>
    <w:rsid w:val="002D5968"/>
    <w:rsid w:val="002D59B6"/>
    <w:rsid w:val="002D5B9D"/>
    <w:rsid w:val="002D5EDC"/>
    <w:rsid w:val="002D5F7C"/>
    <w:rsid w:val="002D6119"/>
    <w:rsid w:val="002D66D4"/>
    <w:rsid w:val="002D68B0"/>
    <w:rsid w:val="002D6D81"/>
    <w:rsid w:val="002D7203"/>
    <w:rsid w:val="002D726A"/>
    <w:rsid w:val="002D73B8"/>
    <w:rsid w:val="002D77C7"/>
    <w:rsid w:val="002D7823"/>
    <w:rsid w:val="002E0148"/>
    <w:rsid w:val="002E0889"/>
    <w:rsid w:val="002E12D5"/>
    <w:rsid w:val="002E132B"/>
    <w:rsid w:val="002E17A3"/>
    <w:rsid w:val="002E2043"/>
    <w:rsid w:val="002E2093"/>
    <w:rsid w:val="002E21EB"/>
    <w:rsid w:val="002E2485"/>
    <w:rsid w:val="002E2526"/>
    <w:rsid w:val="002E2567"/>
    <w:rsid w:val="002E2886"/>
    <w:rsid w:val="002E2B1D"/>
    <w:rsid w:val="002E37FB"/>
    <w:rsid w:val="002E381B"/>
    <w:rsid w:val="002E3822"/>
    <w:rsid w:val="002E414B"/>
    <w:rsid w:val="002E4255"/>
    <w:rsid w:val="002E4686"/>
    <w:rsid w:val="002E5037"/>
    <w:rsid w:val="002E5242"/>
    <w:rsid w:val="002E5592"/>
    <w:rsid w:val="002E568F"/>
    <w:rsid w:val="002E57C0"/>
    <w:rsid w:val="002E5C75"/>
    <w:rsid w:val="002E5D76"/>
    <w:rsid w:val="002E5FE0"/>
    <w:rsid w:val="002E6106"/>
    <w:rsid w:val="002E6742"/>
    <w:rsid w:val="002E6AF5"/>
    <w:rsid w:val="002E6B1E"/>
    <w:rsid w:val="002E76F2"/>
    <w:rsid w:val="002E771B"/>
    <w:rsid w:val="002E7A56"/>
    <w:rsid w:val="002E7DE6"/>
    <w:rsid w:val="002F06A1"/>
    <w:rsid w:val="002F0BB5"/>
    <w:rsid w:val="002F0D80"/>
    <w:rsid w:val="002F159E"/>
    <w:rsid w:val="002F1CD7"/>
    <w:rsid w:val="002F206E"/>
    <w:rsid w:val="002F2302"/>
    <w:rsid w:val="002F2C95"/>
    <w:rsid w:val="002F2E68"/>
    <w:rsid w:val="002F2EB6"/>
    <w:rsid w:val="002F3A50"/>
    <w:rsid w:val="002F3B0F"/>
    <w:rsid w:val="002F3F7E"/>
    <w:rsid w:val="002F4174"/>
    <w:rsid w:val="002F4218"/>
    <w:rsid w:val="002F4671"/>
    <w:rsid w:val="002F4A79"/>
    <w:rsid w:val="002F4C9C"/>
    <w:rsid w:val="002F5392"/>
    <w:rsid w:val="002F54E5"/>
    <w:rsid w:val="002F5E8A"/>
    <w:rsid w:val="002F637E"/>
    <w:rsid w:val="002F650C"/>
    <w:rsid w:val="002F6956"/>
    <w:rsid w:val="002F6994"/>
    <w:rsid w:val="002F6BA5"/>
    <w:rsid w:val="002F6E78"/>
    <w:rsid w:val="002F7197"/>
    <w:rsid w:val="002F7871"/>
    <w:rsid w:val="00300044"/>
    <w:rsid w:val="00300638"/>
    <w:rsid w:val="00300AF5"/>
    <w:rsid w:val="00301213"/>
    <w:rsid w:val="003017B6"/>
    <w:rsid w:val="0030187F"/>
    <w:rsid w:val="003018E8"/>
    <w:rsid w:val="003022E2"/>
    <w:rsid w:val="0030292F"/>
    <w:rsid w:val="00302EDE"/>
    <w:rsid w:val="00303353"/>
    <w:rsid w:val="00303385"/>
    <w:rsid w:val="0030350E"/>
    <w:rsid w:val="00303D7F"/>
    <w:rsid w:val="00303F92"/>
    <w:rsid w:val="003041D5"/>
    <w:rsid w:val="003044C2"/>
    <w:rsid w:val="00304D2D"/>
    <w:rsid w:val="00304D38"/>
    <w:rsid w:val="00304FED"/>
    <w:rsid w:val="00305C8B"/>
    <w:rsid w:val="00305D59"/>
    <w:rsid w:val="003060DA"/>
    <w:rsid w:val="00306160"/>
    <w:rsid w:val="003061BB"/>
    <w:rsid w:val="0030629D"/>
    <w:rsid w:val="003067B0"/>
    <w:rsid w:val="00306878"/>
    <w:rsid w:val="00306FEE"/>
    <w:rsid w:val="0031002F"/>
    <w:rsid w:val="0031035C"/>
    <w:rsid w:val="00310589"/>
    <w:rsid w:val="00310BD1"/>
    <w:rsid w:val="00311004"/>
    <w:rsid w:val="00311380"/>
    <w:rsid w:val="003119FF"/>
    <w:rsid w:val="00311FAD"/>
    <w:rsid w:val="00312094"/>
    <w:rsid w:val="00312ADA"/>
    <w:rsid w:val="00312CA1"/>
    <w:rsid w:val="00312DEE"/>
    <w:rsid w:val="0031323F"/>
    <w:rsid w:val="00313632"/>
    <w:rsid w:val="00313DA4"/>
    <w:rsid w:val="00313DC6"/>
    <w:rsid w:val="003144BB"/>
    <w:rsid w:val="00314902"/>
    <w:rsid w:val="00314B85"/>
    <w:rsid w:val="00315240"/>
    <w:rsid w:val="003153FC"/>
    <w:rsid w:val="00315F6D"/>
    <w:rsid w:val="00316CFF"/>
    <w:rsid w:val="003171C0"/>
    <w:rsid w:val="003175FB"/>
    <w:rsid w:val="0031773D"/>
    <w:rsid w:val="00317D00"/>
    <w:rsid w:val="00317D15"/>
    <w:rsid w:val="00317E53"/>
    <w:rsid w:val="00320282"/>
    <w:rsid w:val="0032058E"/>
    <w:rsid w:val="003206DD"/>
    <w:rsid w:val="00320853"/>
    <w:rsid w:val="00320EA8"/>
    <w:rsid w:val="00321094"/>
    <w:rsid w:val="0032116B"/>
    <w:rsid w:val="003213AD"/>
    <w:rsid w:val="00321583"/>
    <w:rsid w:val="00321A55"/>
    <w:rsid w:val="00321AF4"/>
    <w:rsid w:val="00321B7A"/>
    <w:rsid w:val="00321F0A"/>
    <w:rsid w:val="00322009"/>
    <w:rsid w:val="003221ED"/>
    <w:rsid w:val="00322248"/>
    <w:rsid w:val="003226E9"/>
    <w:rsid w:val="00322932"/>
    <w:rsid w:val="00322A3B"/>
    <w:rsid w:val="003231BF"/>
    <w:rsid w:val="0032356F"/>
    <w:rsid w:val="003236EA"/>
    <w:rsid w:val="003246C8"/>
    <w:rsid w:val="00324A02"/>
    <w:rsid w:val="00324EDD"/>
    <w:rsid w:val="003256D4"/>
    <w:rsid w:val="00325743"/>
    <w:rsid w:val="00325930"/>
    <w:rsid w:val="0032603E"/>
    <w:rsid w:val="003273F6"/>
    <w:rsid w:val="003278D6"/>
    <w:rsid w:val="00327CB2"/>
    <w:rsid w:val="00330822"/>
    <w:rsid w:val="0033148D"/>
    <w:rsid w:val="0033224C"/>
    <w:rsid w:val="00332604"/>
    <w:rsid w:val="00333C72"/>
    <w:rsid w:val="00333F2A"/>
    <w:rsid w:val="00334429"/>
    <w:rsid w:val="003346FF"/>
    <w:rsid w:val="003348D2"/>
    <w:rsid w:val="00334DA1"/>
    <w:rsid w:val="00335D91"/>
    <w:rsid w:val="003363C2"/>
    <w:rsid w:val="003366B4"/>
    <w:rsid w:val="00337545"/>
    <w:rsid w:val="003376A6"/>
    <w:rsid w:val="003379CC"/>
    <w:rsid w:val="00337B1B"/>
    <w:rsid w:val="00340570"/>
    <w:rsid w:val="0034078D"/>
    <w:rsid w:val="00340A8C"/>
    <w:rsid w:val="00340D26"/>
    <w:rsid w:val="003412A5"/>
    <w:rsid w:val="00341560"/>
    <w:rsid w:val="00341805"/>
    <w:rsid w:val="00341BF4"/>
    <w:rsid w:val="00341D5C"/>
    <w:rsid w:val="00341F20"/>
    <w:rsid w:val="0034252B"/>
    <w:rsid w:val="003431E9"/>
    <w:rsid w:val="0034320F"/>
    <w:rsid w:val="003436D1"/>
    <w:rsid w:val="00343B0F"/>
    <w:rsid w:val="00343B89"/>
    <w:rsid w:val="00343D63"/>
    <w:rsid w:val="00344201"/>
    <w:rsid w:val="00344324"/>
    <w:rsid w:val="00344335"/>
    <w:rsid w:val="00344375"/>
    <w:rsid w:val="00344785"/>
    <w:rsid w:val="00345804"/>
    <w:rsid w:val="003459B5"/>
    <w:rsid w:val="00345D94"/>
    <w:rsid w:val="003460ED"/>
    <w:rsid w:val="003463F6"/>
    <w:rsid w:val="00346B1C"/>
    <w:rsid w:val="00346D5B"/>
    <w:rsid w:val="00347035"/>
    <w:rsid w:val="00347115"/>
    <w:rsid w:val="003478B2"/>
    <w:rsid w:val="00347A1E"/>
    <w:rsid w:val="00347B77"/>
    <w:rsid w:val="00350D07"/>
    <w:rsid w:val="00351545"/>
    <w:rsid w:val="0035274D"/>
    <w:rsid w:val="003532F7"/>
    <w:rsid w:val="003534EB"/>
    <w:rsid w:val="0035417F"/>
    <w:rsid w:val="00354181"/>
    <w:rsid w:val="003541F5"/>
    <w:rsid w:val="0035428C"/>
    <w:rsid w:val="00354FF5"/>
    <w:rsid w:val="003557B5"/>
    <w:rsid w:val="00355D64"/>
    <w:rsid w:val="00355F2D"/>
    <w:rsid w:val="0035600A"/>
    <w:rsid w:val="0035664E"/>
    <w:rsid w:val="00356D6F"/>
    <w:rsid w:val="003570B4"/>
    <w:rsid w:val="003571B8"/>
    <w:rsid w:val="00357B3E"/>
    <w:rsid w:val="00357C04"/>
    <w:rsid w:val="00357FB4"/>
    <w:rsid w:val="00360804"/>
    <w:rsid w:val="0036132B"/>
    <w:rsid w:val="003614DD"/>
    <w:rsid w:val="0036194B"/>
    <w:rsid w:val="00361CC7"/>
    <w:rsid w:val="00361E17"/>
    <w:rsid w:val="00361E86"/>
    <w:rsid w:val="003627EA"/>
    <w:rsid w:val="00362978"/>
    <w:rsid w:val="003629EC"/>
    <w:rsid w:val="00363143"/>
    <w:rsid w:val="00363D56"/>
    <w:rsid w:val="00364911"/>
    <w:rsid w:val="00365000"/>
    <w:rsid w:val="0036510C"/>
    <w:rsid w:val="00365889"/>
    <w:rsid w:val="00365B4D"/>
    <w:rsid w:val="003661A4"/>
    <w:rsid w:val="003661C5"/>
    <w:rsid w:val="00366204"/>
    <w:rsid w:val="003662AE"/>
    <w:rsid w:val="003662C9"/>
    <w:rsid w:val="003663E9"/>
    <w:rsid w:val="0036658D"/>
    <w:rsid w:val="00366BD9"/>
    <w:rsid w:val="00366EC0"/>
    <w:rsid w:val="003670CB"/>
    <w:rsid w:val="0036750E"/>
    <w:rsid w:val="003675FD"/>
    <w:rsid w:val="003679AD"/>
    <w:rsid w:val="0037144C"/>
    <w:rsid w:val="0037231C"/>
    <w:rsid w:val="00372C27"/>
    <w:rsid w:val="00372DE3"/>
    <w:rsid w:val="00373318"/>
    <w:rsid w:val="003734AE"/>
    <w:rsid w:val="0037387F"/>
    <w:rsid w:val="00373A3E"/>
    <w:rsid w:val="00373EAD"/>
    <w:rsid w:val="00373ED3"/>
    <w:rsid w:val="00374305"/>
    <w:rsid w:val="00374356"/>
    <w:rsid w:val="00374DF1"/>
    <w:rsid w:val="0037596B"/>
    <w:rsid w:val="00375B3D"/>
    <w:rsid w:val="00376760"/>
    <w:rsid w:val="00376814"/>
    <w:rsid w:val="00376ECD"/>
    <w:rsid w:val="003772D7"/>
    <w:rsid w:val="0037738A"/>
    <w:rsid w:val="003775C6"/>
    <w:rsid w:val="003775E5"/>
    <w:rsid w:val="00377B9C"/>
    <w:rsid w:val="00377C4D"/>
    <w:rsid w:val="00380186"/>
    <w:rsid w:val="00380388"/>
    <w:rsid w:val="003805D5"/>
    <w:rsid w:val="00380635"/>
    <w:rsid w:val="0038078D"/>
    <w:rsid w:val="00380889"/>
    <w:rsid w:val="00380A19"/>
    <w:rsid w:val="00381022"/>
    <w:rsid w:val="00381180"/>
    <w:rsid w:val="00381299"/>
    <w:rsid w:val="00381451"/>
    <w:rsid w:val="003816FE"/>
    <w:rsid w:val="00381926"/>
    <w:rsid w:val="003825FC"/>
    <w:rsid w:val="00382A04"/>
    <w:rsid w:val="00382C17"/>
    <w:rsid w:val="00382DD6"/>
    <w:rsid w:val="0038309B"/>
    <w:rsid w:val="00383256"/>
    <w:rsid w:val="0038363E"/>
    <w:rsid w:val="003837D7"/>
    <w:rsid w:val="0038416A"/>
    <w:rsid w:val="003842A9"/>
    <w:rsid w:val="003844BE"/>
    <w:rsid w:val="00384C03"/>
    <w:rsid w:val="00384ED0"/>
    <w:rsid w:val="00384F55"/>
    <w:rsid w:val="00384F67"/>
    <w:rsid w:val="00385350"/>
    <w:rsid w:val="003854C8"/>
    <w:rsid w:val="00385D3E"/>
    <w:rsid w:val="00385D54"/>
    <w:rsid w:val="00385E22"/>
    <w:rsid w:val="00385EF9"/>
    <w:rsid w:val="0038644A"/>
    <w:rsid w:val="00387E37"/>
    <w:rsid w:val="00387EB9"/>
    <w:rsid w:val="0039035B"/>
    <w:rsid w:val="00390401"/>
    <w:rsid w:val="00390CD4"/>
    <w:rsid w:val="00390FA3"/>
    <w:rsid w:val="00391021"/>
    <w:rsid w:val="003913CB"/>
    <w:rsid w:val="0039187A"/>
    <w:rsid w:val="00391986"/>
    <w:rsid w:val="00392415"/>
    <w:rsid w:val="003925AD"/>
    <w:rsid w:val="00392989"/>
    <w:rsid w:val="003936FE"/>
    <w:rsid w:val="00394DA4"/>
    <w:rsid w:val="00395E82"/>
    <w:rsid w:val="003963FF"/>
    <w:rsid w:val="003967E5"/>
    <w:rsid w:val="0039690E"/>
    <w:rsid w:val="003969FF"/>
    <w:rsid w:val="00396C5B"/>
    <w:rsid w:val="00397345"/>
    <w:rsid w:val="00397A96"/>
    <w:rsid w:val="00397E6A"/>
    <w:rsid w:val="00397E9E"/>
    <w:rsid w:val="003A003E"/>
    <w:rsid w:val="003A0924"/>
    <w:rsid w:val="003A0A63"/>
    <w:rsid w:val="003A0B31"/>
    <w:rsid w:val="003A0D52"/>
    <w:rsid w:val="003A0EC6"/>
    <w:rsid w:val="003A0FAA"/>
    <w:rsid w:val="003A122B"/>
    <w:rsid w:val="003A156C"/>
    <w:rsid w:val="003A17BD"/>
    <w:rsid w:val="003A21AC"/>
    <w:rsid w:val="003A235E"/>
    <w:rsid w:val="003A2365"/>
    <w:rsid w:val="003A2F80"/>
    <w:rsid w:val="003A34A6"/>
    <w:rsid w:val="003A3533"/>
    <w:rsid w:val="003A36B4"/>
    <w:rsid w:val="003A3C52"/>
    <w:rsid w:val="003A41FF"/>
    <w:rsid w:val="003A485E"/>
    <w:rsid w:val="003A4A3A"/>
    <w:rsid w:val="003A4CB2"/>
    <w:rsid w:val="003A4E06"/>
    <w:rsid w:val="003A553A"/>
    <w:rsid w:val="003A5A48"/>
    <w:rsid w:val="003A6224"/>
    <w:rsid w:val="003A6380"/>
    <w:rsid w:val="003A64A8"/>
    <w:rsid w:val="003A670C"/>
    <w:rsid w:val="003A69FE"/>
    <w:rsid w:val="003A6CA7"/>
    <w:rsid w:val="003A6E3A"/>
    <w:rsid w:val="003A6E69"/>
    <w:rsid w:val="003A79EF"/>
    <w:rsid w:val="003A7EC0"/>
    <w:rsid w:val="003B001D"/>
    <w:rsid w:val="003B0420"/>
    <w:rsid w:val="003B1270"/>
    <w:rsid w:val="003B153F"/>
    <w:rsid w:val="003B16AA"/>
    <w:rsid w:val="003B1C8B"/>
    <w:rsid w:val="003B20C2"/>
    <w:rsid w:val="003B2419"/>
    <w:rsid w:val="003B24A1"/>
    <w:rsid w:val="003B2610"/>
    <w:rsid w:val="003B2962"/>
    <w:rsid w:val="003B3133"/>
    <w:rsid w:val="003B36A8"/>
    <w:rsid w:val="003B378C"/>
    <w:rsid w:val="003B3C39"/>
    <w:rsid w:val="003B3E87"/>
    <w:rsid w:val="003B4FD0"/>
    <w:rsid w:val="003B5484"/>
    <w:rsid w:val="003B5CB9"/>
    <w:rsid w:val="003B6A9D"/>
    <w:rsid w:val="003B6FB4"/>
    <w:rsid w:val="003B7753"/>
    <w:rsid w:val="003B7A48"/>
    <w:rsid w:val="003B7C1C"/>
    <w:rsid w:val="003B7F00"/>
    <w:rsid w:val="003C06B5"/>
    <w:rsid w:val="003C0833"/>
    <w:rsid w:val="003C09D6"/>
    <w:rsid w:val="003C0FBD"/>
    <w:rsid w:val="003C1854"/>
    <w:rsid w:val="003C1EB7"/>
    <w:rsid w:val="003C2405"/>
    <w:rsid w:val="003C2540"/>
    <w:rsid w:val="003C2B5B"/>
    <w:rsid w:val="003C302C"/>
    <w:rsid w:val="003C31A1"/>
    <w:rsid w:val="003C334B"/>
    <w:rsid w:val="003C3C80"/>
    <w:rsid w:val="003C3C85"/>
    <w:rsid w:val="003C3DF4"/>
    <w:rsid w:val="003C4457"/>
    <w:rsid w:val="003C4E41"/>
    <w:rsid w:val="003C5024"/>
    <w:rsid w:val="003C568B"/>
    <w:rsid w:val="003C56A2"/>
    <w:rsid w:val="003C5784"/>
    <w:rsid w:val="003C5D11"/>
    <w:rsid w:val="003C5D87"/>
    <w:rsid w:val="003C6147"/>
    <w:rsid w:val="003C6822"/>
    <w:rsid w:val="003C6DF0"/>
    <w:rsid w:val="003C6E3B"/>
    <w:rsid w:val="003C6E68"/>
    <w:rsid w:val="003C6F38"/>
    <w:rsid w:val="003C7306"/>
    <w:rsid w:val="003C7943"/>
    <w:rsid w:val="003C7AF2"/>
    <w:rsid w:val="003C7B74"/>
    <w:rsid w:val="003C7F28"/>
    <w:rsid w:val="003D0159"/>
    <w:rsid w:val="003D0D49"/>
    <w:rsid w:val="003D188F"/>
    <w:rsid w:val="003D266E"/>
    <w:rsid w:val="003D29B8"/>
    <w:rsid w:val="003D2CCC"/>
    <w:rsid w:val="003D2D79"/>
    <w:rsid w:val="003D317B"/>
    <w:rsid w:val="003D3212"/>
    <w:rsid w:val="003D34FA"/>
    <w:rsid w:val="003D360C"/>
    <w:rsid w:val="003D39C8"/>
    <w:rsid w:val="003D440A"/>
    <w:rsid w:val="003D448F"/>
    <w:rsid w:val="003D46E0"/>
    <w:rsid w:val="003D494E"/>
    <w:rsid w:val="003D49F9"/>
    <w:rsid w:val="003D4B1B"/>
    <w:rsid w:val="003D520F"/>
    <w:rsid w:val="003D5261"/>
    <w:rsid w:val="003D53AF"/>
    <w:rsid w:val="003D596F"/>
    <w:rsid w:val="003D5CC3"/>
    <w:rsid w:val="003D5CCB"/>
    <w:rsid w:val="003D5DF6"/>
    <w:rsid w:val="003D5EE4"/>
    <w:rsid w:val="003D5FD5"/>
    <w:rsid w:val="003D62E4"/>
    <w:rsid w:val="003D6304"/>
    <w:rsid w:val="003D6666"/>
    <w:rsid w:val="003D6751"/>
    <w:rsid w:val="003D70BD"/>
    <w:rsid w:val="003D7275"/>
    <w:rsid w:val="003D753F"/>
    <w:rsid w:val="003D78A2"/>
    <w:rsid w:val="003D7D73"/>
    <w:rsid w:val="003E0228"/>
    <w:rsid w:val="003E06BB"/>
    <w:rsid w:val="003E0A6F"/>
    <w:rsid w:val="003E0F43"/>
    <w:rsid w:val="003E1248"/>
    <w:rsid w:val="003E2107"/>
    <w:rsid w:val="003E219E"/>
    <w:rsid w:val="003E23FA"/>
    <w:rsid w:val="003E256B"/>
    <w:rsid w:val="003E25CE"/>
    <w:rsid w:val="003E263F"/>
    <w:rsid w:val="003E2662"/>
    <w:rsid w:val="003E2965"/>
    <w:rsid w:val="003E29CD"/>
    <w:rsid w:val="003E2B44"/>
    <w:rsid w:val="003E3075"/>
    <w:rsid w:val="003E315C"/>
    <w:rsid w:val="003E3345"/>
    <w:rsid w:val="003E3400"/>
    <w:rsid w:val="003E3444"/>
    <w:rsid w:val="003E369E"/>
    <w:rsid w:val="003E3874"/>
    <w:rsid w:val="003E3E5E"/>
    <w:rsid w:val="003E48D1"/>
    <w:rsid w:val="003E48FD"/>
    <w:rsid w:val="003E49A5"/>
    <w:rsid w:val="003E4CFA"/>
    <w:rsid w:val="003E5787"/>
    <w:rsid w:val="003E5791"/>
    <w:rsid w:val="003E5CB8"/>
    <w:rsid w:val="003E5D92"/>
    <w:rsid w:val="003E5F16"/>
    <w:rsid w:val="003E5F3B"/>
    <w:rsid w:val="003E611F"/>
    <w:rsid w:val="003E780A"/>
    <w:rsid w:val="003E79C2"/>
    <w:rsid w:val="003F0528"/>
    <w:rsid w:val="003F069B"/>
    <w:rsid w:val="003F088B"/>
    <w:rsid w:val="003F0B49"/>
    <w:rsid w:val="003F0C2F"/>
    <w:rsid w:val="003F0EDF"/>
    <w:rsid w:val="003F0F80"/>
    <w:rsid w:val="003F111B"/>
    <w:rsid w:val="003F1233"/>
    <w:rsid w:val="003F13DE"/>
    <w:rsid w:val="003F192E"/>
    <w:rsid w:val="003F198D"/>
    <w:rsid w:val="003F19D5"/>
    <w:rsid w:val="003F1B90"/>
    <w:rsid w:val="003F1BDE"/>
    <w:rsid w:val="003F1BFB"/>
    <w:rsid w:val="003F1F69"/>
    <w:rsid w:val="003F2559"/>
    <w:rsid w:val="003F2948"/>
    <w:rsid w:val="003F2EA1"/>
    <w:rsid w:val="003F3507"/>
    <w:rsid w:val="003F38CD"/>
    <w:rsid w:val="003F3D33"/>
    <w:rsid w:val="003F3DA7"/>
    <w:rsid w:val="003F4034"/>
    <w:rsid w:val="003F41A2"/>
    <w:rsid w:val="003F41D5"/>
    <w:rsid w:val="003F4456"/>
    <w:rsid w:val="003F46F6"/>
    <w:rsid w:val="003F4C05"/>
    <w:rsid w:val="003F50BF"/>
    <w:rsid w:val="003F5116"/>
    <w:rsid w:val="003F530B"/>
    <w:rsid w:val="003F59F3"/>
    <w:rsid w:val="003F5DAC"/>
    <w:rsid w:val="003F5E6E"/>
    <w:rsid w:val="003F61BD"/>
    <w:rsid w:val="003F6C8D"/>
    <w:rsid w:val="003F77E4"/>
    <w:rsid w:val="003F77F9"/>
    <w:rsid w:val="004001F1"/>
    <w:rsid w:val="004004AA"/>
    <w:rsid w:val="00400859"/>
    <w:rsid w:val="004008CA"/>
    <w:rsid w:val="00400BEB"/>
    <w:rsid w:val="00400D21"/>
    <w:rsid w:val="0040155D"/>
    <w:rsid w:val="004017C7"/>
    <w:rsid w:val="00401858"/>
    <w:rsid w:val="0040217D"/>
    <w:rsid w:val="00402992"/>
    <w:rsid w:val="00402C4D"/>
    <w:rsid w:val="00402CD1"/>
    <w:rsid w:val="00403370"/>
    <w:rsid w:val="00403424"/>
    <w:rsid w:val="00403DB0"/>
    <w:rsid w:val="00403E55"/>
    <w:rsid w:val="0040413A"/>
    <w:rsid w:val="00404773"/>
    <w:rsid w:val="00404D58"/>
    <w:rsid w:val="00404DDE"/>
    <w:rsid w:val="004050CE"/>
    <w:rsid w:val="00405141"/>
    <w:rsid w:val="00405EF3"/>
    <w:rsid w:val="00405F01"/>
    <w:rsid w:val="004064A4"/>
    <w:rsid w:val="0040650B"/>
    <w:rsid w:val="0040653D"/>
    <w:rsid w:val="0040679E"/>
    <w:rsid w:val="00406AFD"/>
    <w:rsid w:val="00406B91"/>
    <w:rsid w:val="00406FF2"/>
    <w:rsid w:val="00407004"/>
    <w:rsid w:val="00407759"/>
    <w:rsid w:val="004077B2"/>
    <w:rsid w:val="004078A3"/>
    <w:rsid w:val="00407A9F"/>
    <w:rsid w:val="00407C68"/>
    <w:rsid w:val="00407F23"/>
    <w:rsid w:val="00407FA2"/>
    <w:rsid w:val="0041000B"/>
    <w:rsid w:val="004107B7"/>
    <w:rsid w:val="00410A57"/>
    <w:rsid w:val="00410D56"/>
    <w:rsid w:val="00411A90"/>
    <w:rsid w:val="0041215A"/>
    <w:rsid w:val="004121A4"/>
    <w:rsid w:val="004121B0"/>
    <w:rsid w:val="00412B23"/>
    <w:rsid w:val="0041373D"/>
    <w:rsid w:val="00413B7C"/>
    <w:rsid w:val="00413E59"/>
    <w:rsid w:val="00414F44"/>
    <w:rsid w:val="0041502B"/>
    <w:rsid w:val="00415430"/>
    <w:rsid w:val="00415940"/>
    <w:rsid w:val="0041596E"/>
    <w:rsid w:val="004159D3"/>
    <w:rsid w:val="00416066"/>
    <w:rsid w:val="00416246"/>
    <w:rsid w:val="004162F2"/>
    <w:rsid w:val="00416634"/>
    <w:rsid w:val="00416891"/>
    <w:rsid w:val="00416A50"/>
    <w:rsid w:val="00417971"/>
    <w:rsid w:val="00420109"/>
    <w:rsid w:val="00420B16"/>
    <w:rsid w:val="00420CB4"/>
    <w:rsid w:val="004212F3"/>
    <w:rsid w:val="00421430"/>
    <w:rsid w:val="00421764"/>
    <w:rsid w:val="00421926"/>
    <w:rsid w:val="0042199E"/>
    <w:rsid w:val="00421ED6"/>
    <w:rsid w:val="00422042"/>
    <w:rsid w:val="004223AC"/>
    <w:rsid w:val="00422769"/>
    <w:rsid w:val="00422B7A"/>
    <w:rsid w:val="00423682"/>
    <w:rsid w:val="00423C29"/>
    <w:rsid w:val="00425C24"/>
    <w:rsid w:val="00425DC4"/>
    <w:rsid w:val="00426301"/>
    <w:rsid w:val="00426583"/>
    <w:rsid w:val="004267C3"/>
    <w:rsid w:val="0042715E"/>
    <w:rsid w:val="00427BBA"/>
    <w:rsid w:val="0043087A"/>
    <w:rsid w:val="00430A44"/>
    <w:rsid w:val="0043144B"/>
    <w:rsid w:val="00431465"/>
    <w:rsid w:val="0043180F"/>
    <w:rsid w:val="00431CB4"/>
    <w:rsid w:val="00432730"/>
    <w:rsid w:val="00432B4C"/>
    <w:rsid w:val="00432F02"/>
    <w:rsid w:val="0043353E"/>
    <w:rsid w:val="004335B4"/>
    <w:rsid w:val="00433664"/>
    <w:rsid w:val="00433B8D"/>
    <w:rsid w:val="00434D18"/>
    <w:rsid w:val="00434DCD"/>
    <w:rsid w:val="00434F2D"/>
    <w:rsid w:val="0043518A"/>
    <w:rsid w:val="00435550"/>
    <w:rsid w:val="0043619E"/>
    <w:rsid w:val="00436446"/>
    <w:rsid w:val="00436691"/>
    <w:rsid w:val="00436B3A"/>
    <w:rsid w:val="004370D5"/>
    <w:rsid w:val="004371B2"/>
    <w:rsid w:val="004373CB"/>
    <w:rsid w:val="004373D1"/>
    <w:rsid w:val="0043760A"/>
    <w:rsid w:val="00437ABC"/>
    <w:rsid w:val="00437E35"/>
    <w:rsid w:val="00440900"/>
    <w:rsid w:val="00441249"/>
    <w:rsid w:val="00441969"/>
    <w:rsid w:val="00441BEC"/>
    <w:rsid w:val="0044217D"/>
    <w:rsid w:val="004424F8"/>
    <w:rsid w:val="00442642"/>
    <w:rsid w:val="00442814"/>
    <w:rsid w:val="00443157"/>
    <w:rsid w:val="0044369B"/>
    <w:rsid w:val="004438A6"/>
    <w:rsid w:val="00443A25"/>
    <w:rsid w:val="00443AEB"/>
    <w:rsid w:val="00443CB7"/>
    <w:rsid w:val="004440DD"/>
    <w:rsid w:val="00444365"/>
    <w:rsid w:val="0044455D"/>
    <w:rsid w:val="004449D0"/>
    <w:rsid w:val="00444C11"/>
    <w:rsid w:val="0044543D"/>
    <w:rsid w:val="00445629"/>
    <w:rsid w:val="004457D7"/>
    <w:rsid w:val="00445BF2"/>
    <w:rsid w:val="00445C15"/>
    <w:rsid w:val="004466A3"/>
    <w:rsid w:val="00446739"/>
    <w:rsid w:val="00446F2C"/>
    <w:rsid w:val="00446F9C"/>
    <w:rsid w:val="00447369"/>
    <w:rsid w:val="0044745C"/>
    <w:rsid w:val="0044785E"/>
    <w:rsid w:val="0045053F"/>
    <w:rsid w:val="004505B0"/>
    <w:rsid w:val="00450C9F"/>
    <w:rsid w:val="00451291"/>
    <w:rsid w:val="004512C7"/>
    <w:rsid w:val="004515A1"/>
    <w:rsid w:val="004521E0"/>
    <w:rsid w:val="00452361"/>
    <w:rsid w:val="00452A0D"/>
    <w:rsid w:val="004533DD"/>
    <w:rsid w:val="00453A02"/>
    <w:rsid w:val="00453A63"/>
    <w:rsid w:val="00453EBC"/>
    <w:rsid w:val="004542ED"/>
    <w:rsid w:val="00454667"/>
    <w:rsid w:val="00454F13"/>
    <w:rsid w:val="00454F38"/>
    <w:rsid w:val="00454F75"/>
    <w:rsid w:val="004551BD"/>
    <w:rsid w:val="00455868"/>
    <w:rsid w:val="00455F2C"/>
    <w:rsid w:val="00456690"/>
    <w:rsid w:val="00456A5B"/>
    <w:rsid w:val="004575A4"/>
    <w:rsid w:val="0046031A"/>
    <w:rsid w:val="00460E72"/>
    <w:rsid w:val="00460FCE"/>
    <w:rsid w:val="00461284"/>
    <w:rsid w:val="004615EF"/>
    <w:rsid w:val="00461F44"/>
    <w:rsid w:val="0046206C"/>
    <w:rsid w:val="004624D7"/>
    <w:rsid w:val="004632EE"/>
    <w:rsid w:val="00465BAE"/>
    <w:rsid w:val="00466047"/>
    <w:rsid w:val="00466350"/>
    <w:rsid w:val="004668ED"/>
    <w:rsid w:val="004669D3"/>
    <w:rsid w:val="00466CB3"/>
    <w:rsid w:val="004673CB"/>
    <w:rsid w:val="004674BA"/>
    <w:rsid w:val="00467637"/>
    <w:rsid w:val="0046768E"/>
    <w:rsid w:val="00467904"/>
    <w:rsid w:val="004679B0"/>
    <w:rsid w:val="004700F0"/>
    <w:rsid w:val="00470181"/>
    <w:rsid w:val="004706B8"/>
    <w:rsid w:val="004707DE"/>
    <w:rsid w:val="00470A5C"/>
    <w:rsid w:val="00470C3A"/>
    <w:rsid w:val="004711E1"/>
    <w:rsid w:val="004718DC"/>
    <w:rsid w:val="00471CB7"/>
    <w:rsid w:val="00471DC6"/>
    <w:rsid w:val="00471DD9"/>
    <w:rsid w:val="00472F6D"/>
    <w:rsid w:val="0047313A"/>
    <w:rsid w:val="00473533"/>
    <w:rsid w:val="00473576"/>
    <w:rsid w:val="00473A81"/>
    <w:rsid w:val="004750CD"/>
    <w:rsid w:val="00475EA6"/>
    <w:rsid w:val="00476503"/>
    <w:rsid w:val="00476E85"/>
    <w:rsid w:val="004774C2"/>
    <w:rsid w:val="00477C9C"/>
    <w:rsid w:val="00480BF8"/>
    <w:rsid w:val="004810C0"/>
    <w:rsid w:val="004810E4"/>
    <w:rsid w:val="004817A4"/>
    <w:rsid w:val="00481811"/>
    <w:rsid w:val="00482668"/>
    <w:rsid w:val="0048278C"/>
    <w:rsid w:val="004834DD"/>
    <w:rsid w:val="00483728"/>
    <w:rsid w:val="00483EF0"/>
    <w:rsid w:val="00484700"/>
    <w:rsid w:val="00484725"/>
    <w:rsid w:val="0048478A"/>
    <w:rsid w:val="00484CA6"/>
    <w:rsid w:val="00484F65"/>
    <w:rsid w:val="004854F4"/>
    <w:rsid w:val="0048574B"/>
    <w:rsid w:val="00485A0B"/>
    <w:rsid w:val="00485A9D"/>
    <w:rsid w:val="004866DB"/>
    <w:rsid w:val="0048683A"/>
    <w:rsid w:val="00487166"/>
    <w:rsid w:val="004873A4"/>
    <w:rsid w:val="00490D84"/>
    <w:rsid w:val="00490F1D"/>
    <w:rsid w:val="00490F51"/>
    <w:rsid w:val="00491347"/>
    <w:rsid w:val="0049194A"/>
    <w:rsid w:val="004919D0"/>
    <w:rsid w:val="00491ED9"/>
    <w:rsid w:val="004920EE"/>
    <w:rsid w:val="004924CB"/>
    <w:rsid w:val="00492A0E"/>
    <w:rsid w:val="00494015"/>
    <w:rsid w:val="00494076"/>
    <w:rsid w:val="004943CE"/>
    <w:rsid w:val="00494705"/>
    <w:rsid w:val="00494718"/>
    <w:rsid w:val="0049475C"/>
    <w:rsid w:val="00494801"/>
    <w:rsid w:val="00494A47"/>
    <w:rsid w:val="00494B4E"/>
    <w:rsid w:val="00494B71"/>
    <w:rsid w:val="00494E26"/>
    <w:rsid w:val="004952D5"/>
    <w:rsid w:val="00495432"/>
    <w:rsid w:val="00495F67"/>
    <w:rsid w:val="004963B4"/>
    <w:rsid w:val="00496852"/>
    <w:rsid w:val="004968CE"/>
    <w:rsid w:val="00497194"/>
    <w:rsid w:val="004A00B2"/>
    <w:rsid w:val="004A038C"/>
    <w:rsid w:val="004A07C4"/>
    <w:rsid w:val="004A0AB3"/>
    <w:rsid w:val="004A0CC3"/>
    <w:rsid w:val="004A127D"/>
    <w:rsid w:val="004A1385"/>
    <w:rsid w:val="004A15DA"/>
    <w:rsid w:val="004A15F8"/>
    <w:rsid w:val="004A1A12"/>
    <w:rsid w:val="004A1DC6"/>
    <w:rsid w:val="004A240B"/>
    <w:rsid w:val="004A26BD"/>
    <w:rsid w:val="004A2960"/>
    <w:rsid w:val="004A29FA"/>
    <w:rsid w:val="004A35BD"/>
    <w:rsid w:val="004A39D1"/>
    <w:rsid w:val="004A3E46"/>
    <w:rsid w:val="004A400D"/>
    <w:rsid w:val="004A4061"/>
    <w:rsid w:val="004A4583"/>
    <w:rsid w:val="004A45BF"/>
    <w:rsid w:val="004A46BB"/>
    <w:rsid w:val="004A50DE"/>
    <w:rsid w:val="004A567D"/>
    <w:rsid w:val="004A5ADD"/>
    <w:rsid w:val="004A5DCE"/>
    <w:rsid w:val="004A6079"/>
    <w:rsid w:val="004A67D4"/>
    <w:rsid w:val="004A7408"/>
    <w:rsid w:val="004A7ADD"/>
    <w:rsid w:val="004A7F16"/>
    <w:rsid w:val="004B03ED"/>
    <w:rsid w:val="004B061A"/>
    <w:rsid w:val="004B0A83"/>
    <w:rsid w:val="004B0C9F"/>
    <w:rsid w:val="004B0D83"/>
    <w:rsid w:val="004B11CA"/>
    <w:rsid w:val="004B11F7"/>
    <w:rsid w:val="004B1246"/>
    <w:rsid w:val="004B14AE"/>
    <w:rsid w:val="004B194F"/>
    <w:rsid w:val="004B2233"/>
    <w:rsid w:val="004B22E4"/>
    <w:rsid w:val="004B239D"/>
    <w:rsid w:val="004B2411"/>
    <w:rsid w:val="004B25DC"/>
    <w:rsid w:val="004B296E"/>
    <w:rsid w:val="004B2A74"/>
    <w:rsid w:val="004B3289"/>
    <w:rsid w:val="004B3384"/>
    <w:rsid w:val="004B35F1"/>
    <w:rsid w:val="004B3E24"/>
    <w:rsid w:val="004B52E0"/>
    <w:rsid w:val="004B5588"/>
    <w:rsid w:val="004B58AA"/>
    <w:rsid w:val="004B5FB2"/>
    <w:rsid w:val="004B5FBB"/>
    <w:rsid w:val="004B61D7"/>
    <w:rsid w:val="004B65FD"/>
    <w:rsid w:val="004B67AE"/>
    <w:rsid w:val="004B7369"/>
    <w:rsid w:val="004B7658"/>
    <w:rsid w:val="004B7BFB"/>
    <w:rsid w:val="004C0501"/>
    <w:rsid w:val="004C0A61"/>
    <w:rsid w:val="004C0D4D"/>
    <w:rsid w:val="004C0D79"/>
    <w:rsid w:val="004C1716"/>
    <w:rsid w:val="004C1D53"/>
    <w:rsid w:val="004C1FCA"/>
    <w:rsid w:val="004C1FD4"/>
    <w:rsid w:val="004C20FE"/>
    <w:rsid w:val="004C221F"/>
    <w:rsid w:val="004C27FE"/>
    <w:rsid w:val="004C2C20"/>
    <w:rsid w:val="004C3287"/>
    <w:rsid w:val="004C3B21"/>
    <w:rsid w:val="004C3C83"/>
    <w:rsid w:val="004C4105"/>
    <w:rsid w:val="004C4420"/>
    <w:rsid w:val="004C4664"/>
    <w:rsid w:val="004C503B"/>
    <w:rsid w:val="004C5258"/>
    <w:rsid w:val="004C5357"/>
    <w:rsid w:val="004C54D4"/>
    <w:rsid w:val="004C54F0"/>
    <w:rsid w:val="004C5520"/>
    <w:rsid w:val="004C5709"/>
    <w:rsid w:val="004C5A89"/>
    <w:rsid w:val="004C5D8F"/>
    <w:rsid w:val="004C5DAD"/>
    <w:rsid w:val="004C60B1"/>
    <w:rsid w:val="004C67AF"/>
    <w:rsid w:val="004C6A49"/>
    <w:rsid w:val="004C75EC"/>
    <w:rsid w:val="004D01DA"/>
    <w:rsid w:val="004D01F4"/>
    <w:rsid w:val="004D032B"/>
    <w:rsid w:val="004D0908"/>
    <w:rsid w:val="004D0CB1"/>
    <w:rsid w:val="004D1058"/>
    <w:rsid w:val="004D13CB"/>
    <w:rsid w:val="004D1717"/>
    <w:rsid w:val="004D1A0C"/>
    <w:rsid w:val="004D23E1"/>
    <w:rsid w:val="004D263A"/>
    <w:rsid w:val="004D29D8"/>
    <w:rsid w:val="004D3A0A"/>
    <w:rsid w:val="004D3D3A"/>
    <w:rsid w:val="004D3D40"/>
    <w:rsid w:val="004D3EFE"/>
    <w:rsid w:val="004D4059"/>
    <w:rsid w:val="004D420A"/>
    <w:rsid w:val="004D46B8"/>
    <w:rsid w:val="004D496A"/>
    <w:rsid w:val="004D5699"/>
    <w:rsid w:val="004D570B"/>
    <w:rsid w:val="004D58CC"/>
    <w:rsid w:val="004D5BBC"/>
    <w:rsid w:val="004D6303"/>
    <w:rsid w:val="004D67E1"/>
    <w:rsid w:val="004D6BD7"/>
    <w:rsid w:val="004D6C5F"/>
    <w:rsid w:val="004D6DD9"/>
    <w:rsid w:val="004D6F29"/>
    <w:rsid w:val="004D7924"/>
    <w:rsid w:val="004D7A4A"/>
    <w:rsid w:val="004D7B2B"/>
    <w:rsid w:val="004E017D"/>
    <w:rsid w:val="004E0B0B"/>
    <w:rsid w:val="004E1669"/>
    <w:rsid w:val="004E185F"/>
    <w:rsid w:val="004E18F6"/>
    <w:rsid w:val="004E18FD"/>
    <w:rsid w:val="004E1C1F"/>
    <w:rsid w:val="004E1F18"/>
    <w:rsid w:val="004E1FF6"/>
    <w:rsid w:val="004E21B1"/>
    <w:rsid w:val="004E21DD"/>
    <w:rsid w:val="004E23F0"/>
    <w:rsid w:val="004E2817"/>
    <w:rsid w:val="004E2AD2"/>
    <w:rsid w:val="004E2EB0"/>
    <w:rsid w:val="004E3292"/>
    <w:rsid w:val="004E36D9"/>
    <w:rsid w:val="004E4326"/>
    <w:rsid w:val="004E44E5"/>
    <w:rsid w:val="004E4815"/>
    <w:rsid w:val="004E4D1F"/>
    <w:rsid w:val="004E5E62"/>
    <w:rsid w:val="004E6987"/>
    <w:rsid w:val="004E69A9"/>
    <w:rsid w:val="004E6E7A"/>
    <w:rsid w:val="004E73E0"/>
    <w:rsid w:val="004E7896"/>
    <w:rsid w:val="004F0093"/>
    <w:rsid w:val="004F0423"/>
    <w:rsid w:val="004F0812"/>
    <w:rsid w:val="004F1251"/>
    <w:rsid w:val="004F131F"/>
    <w:rsid w:val="004F188C"/>
    <w:rsid w:val="004F1AA4"/>
    <w:rsid w:val="004F2958"/>
    <w:rsid w:val="004F295A"/>
    <w:rsid w:val="004F3A0B"/>
    <w:rsid w:val="004F49C5"/>
    <w:rsid w:val="004F4EEF"/>
    <w:rsid w:val="004F52D2"/>
    <w:rsid w:val="004F596C"/>
    <w:rsid w:val="004F65EE"/>
    <w:rsid w:val="004F6795"/>
    <w:rsid w:val="004F692E"/>
    <w:rsid w:val="004F6A91"/>
    <w:rsid w:val="004F755A"/>
    <w:rsid w:val="004F7C4C"/>
    <w:rsid w:val="004F7F5A"/>
    <w:rsid w:val="005008E6"/>
    <w:rsid w:val="00500E2D"/>
    <w:rsid w:val="00501203"/>
    <w:rsid w:val="00501398"/>
    <w:rsid w:val="005014EE"/>
    <w:rsid w:val="00502265"/>
    <w:rsid w:val="00502C31"/>
    <w:rsid w:val="00503103"/>
    <w:rsid w:val="00503436"/>
    <w:rsid w:val="00503593"/>
    <w:rsid w:val="005038DA"/>
    <w:rsid w:val="00503B10"/>
    <w:rsid w:val="00503F69"/>
    <w:rsid w:val="00504456"/>
    <w:rsid w:val="0050457B"/>
    <w:rsid w:val="0050480F"/>
    <w:rsid w:val="00504A55"/>
    <w:rsid w:val="00504BBA"/>
    <w:rsid w:val="00505611"/>
    <w:rsid w:val="0050569A"/>
    <w:rsid w:val="005056A7"/>
    <w:rsid w:val="005056FD"/>
    <w:rsid w:val="00505AE6"/>
    <w:rsid w:val="00506281"/>
    <w:rsid w:val="005063B2"/>
    <w:rsid w:val="005067BA"/>
    <w:rsid w:val="00506C16"/>
    <w:rsid w:val="005073FF"/>
    <w:rsid w:val="00507767"/>
    <w:rsid w:val="00507D04"/>
    <w:rsid w:val="00507F67"/>
    <w:rsid w:val="00510234"/>
    <w:rsid w:val="00510469"/>
    <w:rsid w:val="00510795"/>
    <w:rsid w:val="00510B20"/>
    <w:rsid w:val="00510E5B"/>
    <w:rsid w:val="00511337"/>
    <w:rsid w:val="00511369"/>
    <w:rsid w:val="005113A6"/>
    <w:rsid w:val="005116B9"/>
    <w:rsid w:val="005118AF"/>
    <w:rsid w:val="00511A81"/>
    <w:rsid w:val="00513414"/>
    <w:rsid w:val="00513564"/>
    <w:rsid w:val="005136EB"/>
    <w:rsid w:val="005137A4"/>
    <w:rsid w:val="00513BA2"/>
    <w:rsid w:val="00513F3C"/>
    <w:rsid w:val="00513FC9"/>
    <w:rsid w:val="00514720"/>
    <w:rsid w:val="005147EA"/>
    <w:rsid w:val="00514FAC"/>
    <w:rsid w:val="005152A2"/>
    <w:rsid w:val="005161CF"/>
    <w:rsid w:val="005163F4"/>
    <w:rsid w:val="00517456"/>
    <w:rsid w:val="00517E1D"/>
    <w:rsid w:val="00517F1D"/>
    <w:rsid w:val="00520C1B"/>
    <w:rsid w:val="00521258"/>
    <w:rsid w:val="005219E2"/>
    <w:rsid w:val="00521A22"/>
    <w:rsid w:val="00521F20"/>
    <w:rsid w:val="00521FE6"/>
    <w:rsid w:val="005220EE"/>
    <w:rsid w:val="00522335"/>
    <w:rsid w:val="0052275E"/>
    <w:rsid w:val="00522B7C"/>
    <w:rsid w:val="00522C5B"/>
    <w:rsid w:val="00522F31"/>
    <w:rsid w:val="00522F63"/>
    <w:rsid w:val="00522FEC"/>
    <w:rsid w:val="005230B1"/>
    <w:rsid w:val="005230FA"/>
    <w:rsid w:val="005239FF"/>
    <w:rsid w:val="00523E90"/>
    <w:rsid w:val="005248E4"/>
    <w:rsid w:val="005249F1"/>
    <w:rsid w:val="00525828"/>
    <w:rsid w:val="00525D65"/>
    <w:rsid w:val="00525D7A"/>
    <w:rsid w:val="00525EC6"/>
    <w:rsid w:val="00527362"/>
    <w:rsid w:val="005273B6"/>
    <w:rsid w:val="005279E3"/>
    <w:rsid w:val="00527C09"/>
    <w:rsid w:val="005303ED"/>
    <w:rsid w:val="00530580"/>
    <w:rsid w:val="00530658"/>
    <w:rsid w:val="00530A5A"/>
    <w:rsid w:val="00530B6E"/>
    <w:rsid w:val="00530BDC"/>
    <w:rsid w:val="00530F7D"/>
    <w:rsid w:val="00531138"/>
    <w:rsid w:val="00531448"/>
    <w:rsid w:val="00531749"/>
    <w:rsid w:val="00531D2F"/>
    <w:rsid w:val="00531E88"/>
    <w:rsid w:val="005321FA"/>
    <w:rsid w:val="0053279A"/>
    <w:rsid w:val="00532817"/>
    <w:rsid w:val="00532D2D"/>
    <w:rsid w:val="00532F1D"/>
    <w:rsid w:val="00533101"/>
    <w:rsid w:val="00533CF5"/>
    <w:rsid w:val="00533D5B"/>
    <w:rsid w:val="005341FC"/>
    <w:rsid w:val="00534996"/>
    <w:rsid w:val="00534ABB"/>
    <w:rsid w:val="00534AD9"/>
    <w:rsid w:val="005353E9"/>
    <w:rsid w:val="005354AD"/>
    <w:rsid w:val="005356B0"/>
    <w:rsid w:val="00535B36"/>
    <w:rsid w:val="00535B75"/>
    <w:rsid w:val="00536418"/>
    <w:rsid w:val="00536DFC"/>
    <w:rsid w:val="00537154"/>
    <w:rsid w:val="00537313"/>
    <w:rsid w:val="005374D3"/>
    <w:rsid w:val="00537748"/>
    <w:rsid w:val="0053791D"/>
    <w:rsid w:val="00537C3F"/>
    <w:rsid w:val="00537E10"/>
    <w:rsid w:val="00537EC3"/>
    <w:rsid w:val="005403FB"/>
    <w:rsid w:val="005408C7"/>
    <w:rsid w:val="00540A23"/>
    <w:rsid w:val="00541458"/>
    <w:rsid w:val="00541835"/>
    <w:rsid w:val="00541C7A"/>
    <w:rsid w:val="0054271C"/>
    <w:rsid w:val="005427BC"/>
    <w:rsid w:val="00542AC0"/>
    <w:rsid w:val="00543459"/>
    <w:rsid w:val="0054359C"/>
    <w:rsid w:val="00543A88"/>
    <w:rsid w:val="00543CC2"/>
    <w:rsid w:val="00545274"/>
    <w:rsid w:val="00545498"/>
    <w:rsid w:val="005455F8"/>
    <w:rsid w:val="005461A9"/>
    <w:rsid w:val="00546655"/>
    <w:rsid w:val="0054687F"/>
    <w:rsid w:val="00546949"/>
    <w:rsid w:val="00546DE3"/>
    <w:rsid w:val="00547009"/>
    <w:rsid w:val="005475A9"/>
    <w:rsid w:val="00547B68"/>
    <w:rsid w:val="00547E6B"/>
    <w:rsid w:val="005501C7"/>
    <w:rsid w:val="005510C9"/>
    <w:rsid w:val="005510D2"/>
    <w:rsid w:val="00551457"/>
    <w:rsid w:val="00551FDF"/>
    <w:rsid w:val="005529D6"/>
    <w:rsid w:val="00552A8E"/>
    <w:rsid w:val="00552BAA"/>
    <w:rsid w:val="005530CE"/>
    <w:rsid w:val="00553166"/>
    <w:rsid w:val="00553597"/>
    <w:rsid w:val="00553B97"/>
    <w:rsid w:val="005540C5"/>
    <w:rsid w:val="005547B6"/>
    <w:rsid w:val="005549AE"/>
    <w:rsid w:val="00554DD2"/>
    <w:rsid w:val="00555B10"/>
    <w:rsid w:val="00555F75"/>
    <w:rsid w:val="00555FB9"/>
    <w:rsid w:val="0055621E"/>
    <w:rsid w:val="00556B9A"/>
    <w:rsid w:val="0055730E"/>
    <w:rsid w:val="00557415"/>
    <w:rsid w:val="0055759E"/>
    <w:rsid w:val="00557840"/>
    <w:rsid w:val="00557993"/>
    <w:rsid w:val="00557B1B"/>
    <w:rsid w:val="0056013F"/>
    <w:rsid w:val="0056024D"/>
    <w:rsid w:val="00560690"/>
    <w:rsid w:val="00560D13"/>
    <w:rsid w:val="00560D3D"/>
    <w:rsid w:val="005610AD"/>
    <w:rsid w:val="00561436"/>
    <w:rsid w:val="005617FD"/>
    <w:rsid w:val="005624F0"/>
    <w:rsid w:val="0056258F"/>
    <w:rsid w:val="005645E8"/>
    <w:rsid w:val="005645F2"/>
    <w:rsid w:val="00564824"/>
    <w:rsid w:val="005648BE"/>
    <w:rsid w:val="005657A9"/>
    <w:rsid w:val="00565A2E"/>
    <w:rsid w:val="00565E6F"/>
    <w:rsid w:val="0056731B"/>
    <w:rsid w:val="00567532"/>
    <w:rsid w:val="00567BBC"/>
    <w:rsid w:val="0057099C"/>
    <w:rsid w:val="00570ED2"/>
    <w:rsid w:val="0057110B"/>
    <w:rsid w:val="0057180F"/>
    <w:rsid w:val="00571A41"/>
    <w:rsid w:val="00571FCC"/>
    <w:rsid w:val="005720BF"/>
    <w:rsid w:val="0057255A"/>
    <w:rsid w:val="005725FE"/>
    <w:rsid w:val="00573465"/>
    <w:rsid w:val="005734D4"/>
    <w:rsid w:val="005739A4"/>
    <w:rsid w:val="00573D51"/>
    <w:rsid w:val="0057421B"/>
    <w:rsid w:val="00574335"/>
    <w:rsid w:val="0057484F"/>
    <w:rsid w:val="00574B4D"/>
    <w:rsid w:val="00574FAA"/>
    <w:rsid w:val="00575114"/>
    <w:rsid w:val="005752BC"/>
    <w:rsid w:val="00575843"/>
    <w:rsid w:val="00575ECE"/>
    <w:rsid w:val="00575F33"/>
    <w:rsid w:val="005762DA"/>
    <w:rsid w:val="0057676C"/>
    <w:rsid w:val="00576D49"/>
    <w:rsid w:val="00577556"/>
    <w:rsid w:val="00580269"/>
    <w:rsid w:val="005806F4"/>
    <w:rsid w:val="00580770"/>
    <w:rsid w:val="005813CF"/>
    <w:rsid w:val="00581A59"/>
    <w:rsid w:val="00581CE8"/>
    <w:rsid w:val="00581D72"/>
    <w:rsid w:val="00582093"/>
    <w:rsid w:val="005825DF"/>
    <w:rsid w:val="00582F79"/>
    <w:rsid w:val="0058326E"/>
    <w:rsid w:val="005835D9"/>
    <w:rsid w:val="00583A09"/>
    <w:rsid w:val="00583B44"/>
    <w:rsid w:val="00584600"/>
    <w:rsid w:val="00584811"/>
    <w:rsid w:val="00584AF2"/>
    <w:rsid w:val="00584B25"/>
    <w:rsid w:val="005856A4"/>
    <w:rsid w:val="005857A9"/>
    <w:rsid w:val="00585A00"/>
    <w:rsid w:val="00585E6D"/>
    <w:rsid w:val="00585F62"/>
    <w:rsid w:val="00586094"/>
    <w:rsid w:val="005863E8"/>
    <w:rsid w:val="0058647E"/>
    <w:rsid w:val="00586CCC"/>
    <w:rsid w:val="00587296"/>
    <w:rsid w:val="005872B3"/>
    <w:rsid w:val="00587B8B"/>
    <w:rsid w:val="00587CBF"/>
    <w:rsid w:val="00590741"/>
    <w:rsid w:val="00590BEC"/>
    <w:rsid w:val="00590E4F"/>
    <w:rsid w:val="00590FFE"/>
    <w:rsid w:val="00591571"/>
    <w:rsid w:val="0059178C"/>
    <w:rsid w:val="005919E5"/>
    <w:rsid w:val="00591A47"/>
    <w:rsid w:val="00591B52"/>
    <w:rsid w:val="00591C06"/>
    <w:rsid w:val="005922D5"/>
    <w:rsid w:val="0059259A"/>
    <w:rsid w:val="005928DA"/>
    <w:rsid w:val="0059340E"/>
    <w:rsid w:val="005936FA"/>
    <w:rsid w:val="00593777"/>
    <w:rsid w:val="00593E3A"/>
    <w:rsid w:val="00594B69"/>
    <w:rsid w:val="00594DD3"/>
    <w:rsid w:val="0059523F"/>
    <w:rsid w:val="00595351"/>
    <w:rsid w:val="00595355"/>
    <w:rsid w:val="005958EB"/>
    <w:rsid w:val="00595E42"/>
    <w:rsid w:val="00595FDE"/>
    <w:rsid w:val="00596289"/>
    <w:rsid w:val="00596AC5"/>
    <w:rsid w:val="00596CA1"/>
    <w:rsid w:val="00596CEC"/>
    <w:rsid w:val="00596FD5"/>
    <w:rsid w:val="00597324"/>
    <w:rsid w:val="005974F1"/>
    <w:rsid w:val="00597AC9"/>
    <w:rsid w:val="00597D21"/>
    <w:rsid w:val="005A03A6"/>
    <w:rsid w:val="005A07BB"/>
    <w:rsid w:val="005A0A12"/>
    <w:rsid w:val="005A0DD3"/>
    <w:rsid w:val="005A11B1"/>
    <w:rsid w:val="005A11D8"/>
    <w:rsid w:val="005A1320"/>
    <w:rsid w:val="005A1B27"/>
    <w:rsid w:val="005A1CDD"/>
    <w:rsid w:val="005A1F11"/>
    <w:rsid w:val="005A21A9"/>
    <w:rsid w:val="005A2367"/>
    <w:rsid w:val="005A2B84"/>
    <w:rsid w:val="005A2D19"/>
    <w:rsid w:val="005A2DA3"/>
    <w:rsid w:val="005A30A8"/>
    <w:rsid w:val="005A37EE"/>
    <w:rsid w:val="005A3A2C"/>
    <w:rsid w:val="005A40B1"/>
    <w:rsid w:val="005A42DB"/>
    <w:rsid w:val="005A48BA"/>
    <w:rsid w:val="005A4982"/>
    <w:rsid w:val="005A587E"/>
    <w:rsid w:val="005A5C3D"/>
    <w:rsid w:val="005A5C5A"/>
    <w:rsid w:val="005A5DC7"/>
    <w:rsid w:val="005A6203"/>
    <w:rsid w:val="005A62C1"/>
    <w:rsid w:val="005A6864"/>
    <w:rsid w:val="005A6D74"/>
    <w:rsid w:val="005A70DF"/>
    <w:rsid w:val="005A71FE"/>
    <w:rsid w:val="005A726E"/>
    <w:rsid w:val="005A7712"/>
    <w:rsid w:val="005A795F"/>
    <w:rsid w:val="005A7CB1"/>
    <w:rsid w:val="005B05A1"/>
    <w:rsid w:val="005B0D6D"/>
    <w:rsid w:val="005B0DCE"/>
    <w:rsid w:val="005B123D"/>
    <w:rsid w:val="005B149D"/>
    <w:rsid w:val="005B1650"/>
    <w:rsid w:val="005B1C79"/>
    <w:rsid w:val="005B1CC2"/>
    <w:rsid w:val="005B24A7"/>
    <w:rsid w:val="005B302E"/>
    <w:rsid w:val="005B34D5"/>
    <w:rsid w:val="005B3AC8"/>
    <w:rsid w:val="005B43A8"/>
    <w:rsid w:val="005B43FE"/>
    <w:rsid w:val="005B445A"/>
    <w:rsid w:val="005B4C7E"/>
    <w:rsid w:val="005B5988"/>
    <w:rsid w:val="005B5B28"/>
    <w:rsid w:val="005B6152"/>
    <w:rsid w:val="005B668B"/>
    <w:rsid w:val="005B66E2"/>
    <w:rsid w:val="005B67A8"/>
    <w:rsid w:val="005B6DA4"/>
    <w:rsid w:val="005B7024"/>
    <w:rsid w:val="005B724D"/>
    <w:rsid w:val="005B74DD"/>
    <w:rsid w:val="005B7513"/>
    <w:rsid w:val="005B7A95"/>
    <w:rsid w:val="005B7B4A"/>
    <w:rsid w:val="005C038F"/>
    <w:rsid w:val="005C04B7"/>
    <w:rsid w:val="005C0747"/>
    <w:rsid w:val="005C0B64"/>
    <w:rsid w:val="005C1184"/>
    <w:rsid w:val="005C11DA"/>
    <w:rsid w:val="005C12A3"/>
    <w:rsid w:val="005C1662"/>
    <w:rsid w:val="005C16A3"/>
    <w:rsid w:val="005C20B0"/>
    <w:rsid w:val="005C27B2"/>
    <w:rsid w:val="005C283A"/>
    <w:rsid w:val="005C2B8A"/>
    <w:rsid w:val="005C3258"/>
    <w:rsid w:val="005C37B3"/>
    <w:rsid w:val="005C41F5"/>
    <w:rsid w:val="005C459D"/>
    <w:rsid w:val="005C463B"/>
    <w:rsid w:val="005C4865"/>
    <w:rsid w:val="005C49AF"/>
    <w:rsid w:val="005C4F6C"/>
    <w:rsid w:val="005C52D1"/>
    <w:rsid w:val="005C5307"/>
    <w:rsid w:val="005C5ABD"/>
    <w:rsid w:val="005C5D76"/>
    <w:rsid w:val="005C5DCA"/>
    <w:rsid w:val="005C5E63"/>
    <w:rsid w:val="005C63C3"/>
    <w:rsid w:val="005C6554"/>
    <w:rsid w:val="005C6836"/>
    <w:rsid w:val="005C7018"/>
    <w:rsid w:val="005C78F8"/>
    <w:rsid w:val="005D03E8"/>
    <w:rsid w:val="005D0429"/>
    <w:rsid w:val="005D0BD9"/>
    <w:rsid w:val="005D12FB"/>
    <w:rsid w:val="005D1613"/>
    <w:rsid w:val="005D186F"/>
    <w:rsid w:val="005D1E8A"/>
    <w:rsid w:val="005D1E9E"/>
    <w:rsid w:val="005D22C0"/>
    <w:rsid w:val="005D26B4"/>
    <w:rsid w:val="005D2B3E"/>
    <w:rsid w:val="005D3335"/>
    <w:rsid w:val="005D33AA"/>
    <w:rsid w:val="005D3424"/>
    <w:rsid w:val="005D34E0"/>
    <w:rsid w:val="005D3AC8"/>
    <w:rsid w:val="005D3CAF"/>
    <w:rsid w:val="005D3D68"/>
    <w:rsid w:val="005D4336"/>
    <w:rsid w:val="005D48DA"/>
    <w:rsid w:val="005D50F2"/>
    <w:rsid w:val="005D537E"/>
    <w:rsid w:val="005D5391"/>
    <w:rsid w:val="005D5B55"/>
    <w:rsid w:val="005D60A1"/>
    <w:rsid w:val="005D69A1"/>
    <w:rsid w:val="005E0123"/>
    <w:rsid w:val="005E0273"/>
    <w:rsid w:val="005E05B4"/>
    <w:rsid w:val="005E087C"/>
    <w:rsid w:val="005E0C4F"/>
    <w:rsid w:val="005E1199"/>
    <w:rsid w:val="005E1C0C"/>
    <w:rsid w:val="005E2534"/>
    <w:rsid w:val="005E2DD5"/>
    <w:rsid w:val="005E31E2"/>
    <w:rsid w:val="005E35DE"/>
    <w:rsid w:val="005E3649"/>
    <w:rsid w:val="005E3B13"/>
    <w:rsid w:val="005E3CCA"/>
    <w:rsid w:val="005E422C"/>
    <w:rsid w:val="005E4323"/>
    <w:rsid w:val="005E4456"/>
    <w:rsid w:val="005E46B4"/>
    <w:rsid w:val="005E4B45"/>
    <w:rsid w:val="005E521F"/>
    <w:rsid w:val="005E52C2"/>
    <w:rsid w:val="005E563D"/>
    <w:rsid w:val="005E5BA3"/>
    <w:rsid w:val="005E5FB2"/>
    <w:rsid w:val="005E6486"/>
    <w:rsid w:val="005E6941"/>
    <w:rsid w:val="005E747D"/>
    <w:rsid w:val="005E7613"/>
    <w:rsid w:val="005E7A61"/>
    <w:rsid w:val="005E7F9C"/>
    <w:rsid w:val="005F093D"/>
    <w:rsid w:val="005F1201"/>
    <w:rsid w:val="005F152C"/>
    <w:rsid w:val="005F1C12"/>
    <w:rsid w:val="005F2513"/>
    <w:rsid w:val="005F25FB"/>
    <w:rsid w:val="005F27AC"/>
    <w:rsid w:val="005F2F05"/>
    <w:rsid w:val="005F30BC"/>
    <w:rsid w:val="005F3832"/>
    <w:rsid w:val="005F3CFD"/>
    <w:rsid w:val="005F4054"/>
    <w:rsid w:val="005F4153"/>
    <w:rsid w:val="005F453B"/>
    <w:rsid w:val="005F704A"/>
    <w:rsid w:val="005F7103"/>
    <w:rsid w:val="005F75EA"/>
    <w:rsid w:val="005F76A6"/>
    <w:rsid w:val="005F7A10"/>
    <w:rsid w:val="005F7DCF"/>
    <w:rsid w:val="00600676"/>
    <w:rsid w:val="0060067C"/>
    <w:rsid w:val="00600760"/>
    <w:rsid w:val="006015B0"/>
    <w:rsid w:val="0060230B"/>
    <w:rsid w:val="0060245D"/>
    <w:rsid w:val="00602758"/>
    <w:rsid w:val="00602908"/>
    <w:rsid w:val="00602AF6"/>
    <w:rsid w:val="00602B73"/>
    <w:rsid w:val="00602BB7"/>
    <w:rsid w:val="00602D35"/>
    <w:rsid w:val="00603460"/>
    <w:rsid w:val="00603CBE"/>
    <w:rsid w:val="0060407B"/>
    <w:rsid w:val="0060458B"/>
    <w:rsid w:val="00604BF8"/>
    <w:rsid w:val="00604DA3"/>
    <w:rsid w:val="00605141"/>
    <w:rsid w:val="006055CF"/>
    <w:rsid w:val="00605601"/>
    <w:rsid w:val="00605BED"/>
    <w:rsid w:val="00606798"/>
    <w:rsid w:val="0060696B"/>
    <w:rsid w:val="00606A4C"/>
    <w:rsid w:val="00606BC0"/>
    <w:rsid w:val="00606EB8"/>
    <w:rsid w:val="0060720B"/>
    <w:rsid w:val="006074C7"/>
    <w:rsid w:val="006078BD"/>
    <w:rsid w:val="00607A95"/>
    <w:rsid w:val="00607BA5"/>
    <w:rsid w:val="00607CE2"/>
    <w:rsid w:val="00607E3C"/>
    <w:rsid w:val="00610095"/>
    <w:rsid w:val="006101C3"/>
    <w:rsid w:val="00610219"/>
    <w:rsid w:val="006106EB"/>
    <w:rsid w:val="00610791"/>
    <w:rsid w:val="00611160"/>
    <w:rsid w:val="006117FF"/>
    <w:rsid w:val="00611C93"/>
    <w:rsid w:val="00611E1E"/>
    <w:rsid w:val="00612799"/>
    <w:rsid w:val="0061290D"/>
    <w:rsid w:val="00612A06"/>
    <w:rsid w:val="006132D2"/>
    <w:rsid w:val="006133D2"/>
    <w:rsid w:val="00613441"/>
    <w:rsid w:val="00614718"/>
    <w:rsid w:val="006150B7"/>
    <w:rsid w:val="006164C8"/>
    <w:rsid w:val="0061665A"/>
    <w:rsid w:val="006169FD"/>
    <w:rsid w:val="00616D9E"/>
    <w:rsid w:val="006170FD"/>
    <w:rsid w:val="00617164"/>
    <w:rsid w:val="00617BAC"/>
    <w:rsid w:val="00617E7C"/>
    <w:rsid w:val="006200BC"/>
    <w:rsid w:val="0062074E"/>
    <w:rsid w:val="00620AB8"/>
    <w:rsid w:val="006211CD"/>
    <w:rsid w:val="006215C4"/>
    <w:rsid w:val="0062189C"/>
    <w:rsid w:val="00621BC5"/>
    <w:rsid w:val="00621D03"/>
    <w:rsid w:val="00621E59"/>
    <w:rsid w:val="00621FEB"/>
    <w:rsid w:val="006221C4"/>
    <w:rsid w:val="00622824"/>
    <w:rsid w:val="0062291F"/>
    <w:rsid w:val="00622B3D"/>
    <w:rsid w:val="00623368"/>
    <w:rsid w:val="006233F1"/>
    <w:rsid w:val="0062344D"/>
    <w:rsid w:val="006234A5"/>
    <w:rsid w:val="0062368F"/>
    <w:rsid w:val="006242DD"/>
    <w:rsid w:val="0062462F"/>
    <w:rsid w:val="006246ED"/>
    <w:rsid w:val="0062492F"/>
    <w:rsid w:val="00624C76"/>
    <w:rsid w:val="00624D4C"/>
    <w:rsid w:val="0062519D"/>
    <w:rsid w:val="006254D0"/>
    <w:rsid w:val="00625CE3"/>
    <w:rsid w:val="006261D6"/>
    <w:rsid w:val="00626373"/>
    <w:rsid w:val="00626BD0"/>
    <w:rsid w:val="00626F05"/>
    <w:rsid w:val="0062727F"/>
    <w:rsid w:val="00627B09"/>
    <w:rsid w:val="00627DBB"/>
    <w:rsid w:val="00627EEE"/>
    <w:rsid w:val="00630CA1"/>
    <w:rsid w:val="00631021"/>
    <w:rsid w:val="006315E7"/>
    <w:rsid w:val="0063168C"/>
    <w:rsid w:val="00631CE2"/>
    <w:rsid w:val="00631F67"/>
    <w:rsid w:val="00632408"/>
    <w:rsid w:val="0063260F"/>
    <w:rsid w:val="0063293F"/>
    <w:rsid w:val="0063295A"/>
    <w:rsid w:val="00632CB7"/>
    <w:rsid w:val="00632D82"/>
    <w:rsid w:val="00632F0F"/>
    <w:rsid w:val="00634157"/>
    <w:rsid w:val="0063416E"/>
    <w:rsid w:val="00634351"/>
    <w:rsid w:val="006343E4"/>
    <w:rsid w:val="00634771"/>
    <w:rsid w:val="0063478A"/>
    <w:rsid w:val="0063495A"/>
    <w:rsid w:val="006349FE"/>
    <w:rsid w:val="00634AA1"/>
    <w:rsid w:val="00634B63"/>
    <w:rsid w:val="00634F2C"/>
    <w:rsid w:val="006352A7"/>
    <w:rsid w:val="00635AE0"/>
    <w:rsid w:val="006360DC"/>
    <w:rsid w:val="006363D8"/>
    <w:rsid w:val="006365BD"/>
    <w:rsid w:val="00637352"/>
    <w:rsid w:val="0063769A"/>
    <w:rsid w:val="00637E31"/>
    <w:rsid w:val="00637FF5"/>
    <w:rsid w:val="00640138"/>
    <w:rsid w:val="006402D7"/>
    <w:rsid w:val="006403D6"/>
    <w:rsid w:val="00640803"/>
    <w:rsid w:val="00640B30"/>
    <w:rsid w:val="00640C37"/>
    <w:rsid w:val="006415B0"/>
    <w:rsid w:val="00641A93"/>
    <w:rsid w:val="00642142"/>
    <w:rsid w:val="00642E35"/>
    <w:rsid w:val="0064338A"/>
    <w:rsid w:val="00643650"/>
    <w:rsid w:val="00643873"/>
    <w:rsid w:val="00643EB9"/>
    <w:rsid w:val="0064401E"/>
    <w:rsid w:val="006440DC"/>
    <w:rsid w:val="006440F1"/>
    <w:rsid w:val="006456E1"/>
    <w:rsid w:val="00645D4F"/>
    <w:rsid w:val="00645D60"/>
    <w:rsid w:val="00646128"/>
    <w:rsid w:val="0064625E"/>
    <w:rsid w:val="0064637B"/>
    <w:rsid w:val="00647061"/>
    <w:rsid w:val="006477F4"/>
    <w:rsid w:val="00647C53"/>
    <w:rsid w:val="00647DD1"/>
    <w:rsid w:val="0065003E"/>
    <w:rsid w:val="006503A9"/>
    <w:rsid w:val="006504F3"/>
    <w:rsid w:val="006504FD"/>
    <w:rsid w:val="00650A8D"/>
    <w:rsid w:val="006516CA"/>
    <w:rsid w:val="006516F7"/>
    <w:rsid w:val="00651915"/>
    <w:rsid w:val="0065197F"/>
    <w:rsid w:val="00651AEA"/>
    <w:rsid w:val="00651D63"/>
    <w:rsid w:val="00651F56"/>
    <w:rsid w:val="006520A5"/>
    <w:rsid w:val="0065220A"/>
    <w:rsid w:val="00652A12"/>
    <w:rsid w:val="006531AB"/>
    <w:rsid w:val="006541B5"/>
    <w:rsid w:val="00654568"/>
    <w:rsid w:val="00654861"/>
    <w:rsid w:val="00655741"/>
    <w:rsid w:val="00655B8D"/>
    <w:rsid w:val="00655D48"/>
    <w:rsid w:val="0065636B"/>
    <w:rsid w:val="00657A17"/>
    <w:rsid w:val="00657AC4"/>
    <w:rsid w:val="00657E6F"/>
    <w:rsid w:val="00657FD0"/>
    <w:rsid w:val="00660137"/>
    <w:rsid w:val="00660999"/>
    <w:rsid w:val="00660EED"/>
    <w:rsid w:val="00661B21"/>
    <w:rsid w:val="006620BC"/>
    <w:rsid w:val="006622B0"/>
    <w:rsid w:val="006623AE"/>
    <w:rsid w:val="00662BEA"/>
    <w:rsid w:val="00663219"/>
    <w:rsid w:val="006635B9"/>
    <w:rsid w:val="00663C85"/>
    <w:rsid w:val="00663CA5"/>
    <w:rsid w:val="00663FCA"/>
    <w:rsid w:val="006641EA"/>
    <w:rsid w:val="00664236"/>
    <w:rsid w:val="00664437"/>
    <w:rsid w:val="00664CF0"/>
    <w:rsid w:val="006656A7"/>
    <w:rsid w:val="00665885"/>
    <w:rsid w:val="00666009"/>
    <w:rsid w:val="006660ED"/>
    <w:rsid w:val="0066612B"/>
    <w:rsid w:val="006662FD"/>
    <w:rsid w:val="006663C8"/>
    <w:rsid w:val="00666709"/>
    <w:rsid w:val="00666D83"/>
    <w:rsid w:val="00666EDF"/>
    <w:rsid w:val="00667389"/>
    <w:rsid w:val="006674D7"/>
    <w:rsid w:val="0066756B"/>
    <w:rsid w:val="00670369"/>
    <w:rsid w:val="006704C5"/>
    <w:rsid w:val="00670834"/>
    <w:rsid w:val="00670AE8"/>
    <w:rsid w:val="00670F0A"/>
    <w:rsid w:val="006716A5"/>
    <w:rsid w:val="00671B6A"/>
    <w:rsid w:val="00671BAC"/>
    <w:rsid w:val="00671CDA"/>
    <w:rsid w:val="00671E3C"/>
    <w:rsid w:val="00672025"/>
    <w:rsid w:val="00672060"/>
    <w:rsid w:val="006723C2"/>
    <w:rsid w:val="006724CA"/>
    <w:rsid w:val="0067262F"/>
    <w:rsid w:val="00672C20"/>
    <w:rsid w:val="00672ED4"/>
    <w:rsid w:val="00673311"/>
    <w:rsid w:val="00674ACC"/>
    <w:rsid w:val="0067545C"/>
    <w:rsid w:val="006756E2"/>
    <w:rsid w:val="00675B62"/>
    <w:rsid w:val="00675CC7"/>
    <w:rsid w:val="00675F13"/>
    <w:rsid w:val="00676404"/>
    <w:rsid w:val="0067682F"/>
    <w:rsid w:val="00676FBE"/>
    <w:rsid w:val="00677044"/>
    <w:rsid w:val="0067779C"/>
    <w:rsid w:val="006800EE"/>
    <w:rsid w:val="006802BB"/>
    <w:rsid w:val="006802C9"/>
    <w:rsid w:val="006802DC"/>
    <w:rsid w:val="00680313"/>
    <w:rsid w:val="006803A6"/>
    <w:rsid w:val="006803C5"/>
    <w:rsid w:val="006804A8"/>
    <w:rsid w:val="00680940"/>
    <w:rsid w:val="00680992"/>
    <w:rsid w:val="00680F4D"/>
    <w:rsid w:val="0068104F"/>
    <w:rsid w:val="0068121B"/>
    <w:rsid w:val="006823AE"/>
    <w:rsid w:val="00682A8D"/>
    <w:rsid w:val="00682F09"/>
    <w:rsid w:val="006830C3"/>
    <w:rsid w:val="00683C97"/>
    <w:rsid w:val="00683E77"/>
    <w:rsid w:val="00684054"/>
    <w:rsid w:val="006841DE"/>
    <w:rsid w:val="00684443"/>
    <w:rsid w:val="0068453C"/>
    <w:rsid w:val="00684747"/>
    <w:rsid w:val="0068477D"/>
    <w:rsid w:val="00684C17"/>
    <w:rsid w:val="00684C47"/>
    <w:rsid w:val="00684EEF"/>
    <w:rsid w:val="00685110"/>
    <w:rsid w:val="0068543F"/>
    <w:rsid w:val="00685555"/>
    <w:rsid w:val="0068575C"/>
    <w:rsid w:val="0068593C"/>
    <w:rsid w:val="006860C9"/>
    <w:rsid w:val="006860FD"/>
    <w:rsid w:val="0068635A"/>
    <w:rsid w:val="006872A5"/>
    <w:rsid w:val="0068772F"/>
    <w:rsid w:val="00687D45"/>
    <w:rsid w:val="00687E92"/>
    <w:rsid w:val="00690289"/>
    <w:rsid w:val="00690579"/>
    <w:rsid w:val="006908C1"/>
    <w:rsid w:val="00690BE3"/>
    <w:rsid w:val="00690EBA"/>
    <w:rsid w:val="006914D7"/>
    <w:rsid w:val="0069150E"/>
    <w:rsid w:val="0069186B"/>
    <w:rsid w:val="00693093"/>
    <w:rsid w:val="006930D9"/>
    <w:rsid w:val="0069392B"/>
    <w:rsid w:val="00693A54"/>
    <w:rsid w:val="00694040"/>
    <w:rsid w:val="006942A2"/>
    <w:rsid w:val="0069436A"/>
    <w:rsid w:val="006948A3"/>
    <w:rsid w:val="00694912"/>
    <w:rsid w:val="00694FC6"/>
    <w:rsid w:val="0069506C"/>
    <w:rsid w:val="006953BB"/>
    <w:rsid w:val="00695A09"/>
    <w:rsid w:val="00695B1A"/>
    <w:rsid w:val="00696221"/>
    <w:rsid w:val="00696269"/>
    <w:rsid w:val="006968CC"/>
    <w:rsid w:val="00697041"/>
    <w:rsid w:val="00697D98"/>
    <w:rsid w:val="00697F79"/>
    <w:rsid w:val="006A0211"/>
    <w:rsid w:val="006A0266"/>
    <w:rsid w:val="006A0378"/>
    <w:rsid w:val="006A0427"/>
    <w:rsid w:val="006A0685"/>
    <w:rsid w:val="006A09E6"/>
    <w:rsid w:val="006A0D5E"/>
    <w:rsid w:val="006A0E13"/>
    <w:rsid w:val="006A0E72"/>
    <w:rsid w:val="006A0E8D"/>
    <w:rsid w:val="006A121D"/>
    <w:rsid w:val="006A125C"/>
    <w:rsid w:val="006A1741"/>
    <w:rsid w:val="006A1822"/>
    <w:rsid w:val="006A1A60"/>
    <w:rsid w:val="006A1B16"/>
    <w:rsid w:val="006A1EB8"/>
    <w:rsid w:val="006A2122"/>
    <w:rsid w:val="006A2570"/>
    <w:rsid w:val="006A2B9D"/>
    <w:rsid w:val="006A2C31"/>
    <w:rsid w:val="006A2D33"/>
    <w:rsid w:val="006A36E2"/>
    <w:rsid w:val="006A3CBF"/>
    <w:rsid w:val="006A43CC"/>
    <w:rsid w:val="006A4752"/>
    <w:rsid w:val="006A4A5B"/>
    <w:rsid w:val="006A4F00"/>
    <w:rsid w:val="006A56B9"/>
    <w:rsid w:val="006A5A18"/>
    <w:rsid w:val="006A6662"/>
    <w:rsid w:val="006A6B3A"/>
    <w:rsid w:val="006A6D89"/>
    <w:rsid w:val="006A7562"/>
    <w:rsid w:val="006A7875"/>
    <w:rsid w:val="006A7E1C"/>
    <w:rsid w:val="006A7F5D"/>
    <w:rsid w:val="006B008C"/>
    <w:rsid w:val="006B0714"/>
    <w:rsid w:val="006B0AFE"/>
    <w:rsid w:val="006B0D73"/>
    <w:rsid w:val="006B116A"/>
    <w:rsid w:val="006B1511"/>
    <w:rsid w:val="006B1A08"/>
    <w:rsid w:val="006B1F16"/>
    <w:rsid w:val="006B1FD5"/>
    <w:rsid w:val="006B22CE"/>
    <w:rsid w:val="006B22F1"/>
    <w:rsid w:val="006B2325"/>
    <w:rsid w:val="006B27C2"/>
    <w:rsid w:val="006B29EF"/>
    <w:rsid w:val="006B2A78"/>
    <w:rsid w:val="006B2F7F"/>
    <w:rsid w:val="006B302B"/>
    <w:rsid w:val="006B30DC"/>
    <w:rsid w:val="006B3402"/>
    <w:rsid w:val="006B3472"/>
    <w:rsid w:val="006B3789"/>
    <w:rsid w:val="006B37D0"/>
    <w:rsid w:val="006B39E2"/>
    <w:rsid w:val="006B3E81"/>
    <w:rsid w:val="006B418F"/>
    <w:rsid w:val="006B49C7"/>
    <w:rsid w:val="006B4C62"/>
    <w:rsid w:val="006B5F5C"/>
    <w:rsid w:val="006B6128"/>
    <w:rsid w:val="006B6DC8"/>
    <w:rsid w:val="006B7191"/>
    <w:rsid w:val="006B731F"/>
    <w:rsid w:val="006B79D2"/>
    <w:rsid w:val="006B7A6E"/>
    <w:rsid w:val="006B7E1C"/>
    <w:rsid w:val="006C0027"/>
    <w:rsid w:val="006C0287"/>
    <w:rsid w:val="006C0B04"/>
    <w:rsid w:val="006C0EFF"/>
    <w:rsid w:val="006C11FC"/>
    <w:rsid w:val="006C131E"/>
    <w:rsid w:val="006C13B4"/>
    <w:rsid w:val="006C1C45"/>
    <w:rsid w:val="006C21C7"/>
    <w:rsid w:val="006C271A"/>
    <w:rsid w:val="006C277F"/>
    <w:rsid w:val="006C2AAA"/>
    <w:rsid w:val="006C2BD0"/>
    <w:rsid w:val="006C2FAE"/>
    <w:rsid w:val="006C3592"/>
    <w:rsid w:val="006C3B33"/>
    <w:rsid w:val="006C3C19"/>
    <w:rsid w:val="006C3C7C"/>
    <w:rsid w:val="006C40EB"/>
    <w:rsid w:val="006C4B41"/>
    <w:rsid w:val="006C52EF"/>
    <w:rsid w:val="006C5C6E"/>
    <w:rsid w:val="006C62B9"/>
    <w:rsid w:val="006C62C1"/>
    <w:rsid w:val="006C6350"/>
    <w:rsid w:val="006C6377"/>
    <w:rsid w:val="006C6438"/>
    <w:rsid w:val="006C688D"/>
    <w:rsid w:val="006C6AEA"/>
    <w:rsid w:val="006C7D10"/>
    <w:rsid w:val="006D0D52"/>
    <w:rsid w:val="006D192B"/>
    <w:rsid w:val="006D198B"/>
    <w:rsid w:val="006D2066"/>
    <w:rsid w:val="006D2361"/>
    <w:rsid w:val="006D25B4"/>
    <w:rsid w:val="006D2C63"/>
    <w:rsid w:val="006D2CB2"/>
    <w:rsid w:val="006D2E15"/>
    <w:rsid w:val="006D3090"/>
    <w:rsid w:val="006D34E2"/>
    <w:rsid w:val="006D3E64"/>
    <w:rsid w:val="006D4463"/>
    <w:rsid w:val="006D490F"/>
    <w:rsid w:val="006D4C59"/>
    <w:rsid w:val="006D4D54"/>
    <w:rsid w:val="006D4FD0"/>
    <w:rsid w:val="006D540F"/>
    <w:rsid w:val="006D54B7"/>
    <w:rsid w:val="006D58C8"/>
    <w:rsid w:val="006D64AD"/>
    <w:rsid w:val="006D6997"/>
    <w:rsid w:val="006D6BCE"/>
    <w:rsid w:val="006D6E8F"/>
    <w:rsid w:val="006D7476"/>
    <w:rsid w:val="006D77DA"/>
    <w:rsid w:val="006D7DA1"/>
    <w:rsid w:val="006D7F6D"/>
    <w:rsid w:val="006E0013"/>
    <w:rsid w:val="006E0773"/>
    <w:rsid w:val="006E0AEF"/>
    <w:rsid w:val="006E0BF8"/>
    <w:rsid w:val="006E0C8F"/>
    <w:rsid w:val="006E0DC6"/>
    <w:rsid w:val="006E12E3"/>
    <w:rsid w:val="006E1453"/>
    <w:rsid w:val="006E16F4"/>
    <w:rsid w:val="006E1BA0"/>
    <w:rsid w:val="006E1E0F"/>
    <w:rsid w:val="006E1E86"/>
    <w:rsid w:val="006E2BD4"/>
    <w:rsid w:val="006E2C23"/>
    <w:rsid w:val="006E2C2B"/>
    <w:rsid w:val="006E2D0A"/>
    <w:rsid w:val="006E3262"/>
    <w:rsid w:val="006E3330"/>
    <w:rsid w:val="006E3B73"/>
    <w:rsid w:val="006E3EA2"/>
    <w:rsid w:val="006E4019"/>
    <w:rsid w:val="006E433C"/>
    <w:rsid w:val="006E43D9"/>
    <w:rsid w:val="006E4D76"/>
    <w:rsid w:val="006E4EAB"/>
    <w:rsid w:val="006E5A0A"/>
    <w:rsid w:val="006E5CE0"/>
    <w:rsid w:val="006E6157"/>
    <w:rsid w:val="006E635A"/>
    <w:rsid w:val="006E6397"/>
    <w:rsid w:val="006E67CC"/>
    <w:rsid w:val="006E6C23"/>
    <w:rsid w:val="006E6CB9"/>
    <w:rsid w:val="006E7028"/>
    <w:rsid w:val="006E71B4"/>
    <w:rsid w:val="006E7831"/>
    <w:rsid w:val="006E78C5"/>
    <w:rsid w:val="006E7951"/>
    <w:rsid w:val="006E7A5C"/>
    <w:rsid w:val="006E7A8F"/>
    <w:rsid w:val="006E7C96"/>
    <w:rsid w:val="006E7F9C"/>
    <w:rsid w:val="006F04CC"/>
    <w:rsid w:val="006F0736"/>
    <w:rsid w:val="006F07DF"/>
    <w:rsid w:val="006F14CA"/>
    <w:rsid w:val="006F1811"/>
    <w:rsid w:val="006F1C38"/>
    <w:rsid w:val="006F1CAA"/>
    <w:rsid w:val="006F25EF"/>
    <w:rsid w:val="006F271D"/>
    <w:rsid w:val="006F2A96"/>
    <w:rsid w:val="006F321F"/>
    <w:rsid w:val="006F3337"/>
    <w:rsid w:val="006F39B3"/>
    <w:rsid w:val="006F3EF0"/>
    <w:rsid w:val="006F46AA"/>
    <w:rsid w:val="006F49CE"/>
    <w:rsid w:val="006F4BAF"/>
    <w:rsid w:val="006F4D77"/>
    <w:rsid w:val="006F587B"/>
    <w:rsid w:val="006F5DFE"/>
    <w:rsid w:val="006F6974"/>
    <w:rsid w:val="006F6CB0"/>
    <w:rsid w:val="006F7298"/>
    <w:rsid w:val="006F73F6"/>
    <w:rsid w:val="006F76C3"/>
    <w:rsid w:val="006F79B8"/>
    <w:rsid w:val="006F7E38"/>
    <w:rsid w:val="006F7EEF"/>
    <w:rsid w:val="007004A6"/>
    <w:rsid w:val="00700A6A"/>
    <w:rsid w:val="0070126C"/>
    <w:rsid w:val="00701516"/>
    <w:rsid w:val="007016D1"/>
    <w:rsid w:val="007018E4"/>
    <w:rsid w:val="007026E1"/>
    <w:rsid w:val="00702A34"/>
    <w:rsid w:val="00703471"/>
    <w:rsid w:val="007037A4"/>
    <w:rsid w:val="0070392A"/>
    <w:rsid w:val="007041D7"/>
    <w:rsid w:val="00704452"/>
    <w:rsid w:val="007046A5"/>
    <w:rsid w:val="0070483D"/>
    <w:rsid w:val="00704938"/>
    <w:rsid w:val="007050C0"/>
    <w:rsid w:val="007054D7"/>
    <w:rsid w:val="00705516"/>
    <w:rsid w:val="0070555C"/>
    <w:rsid w:val="00705687"/>
    <w:rsid w:val="0070577C"/>
    <w:rsid w:val="00705A25"/>
    <w:rsid w:val="0070645C"/>
    <w:rsid w:val="00706878"/>
    <w:rsid w:val="00706BEF"/>
    <w:rsid w:val="00706FE3"/>
    <w:rsid w:val="00707532"/>
    <w:rsid w:val="0070791F"/>
    <w:rsid w:val="00710133"/>
    <w:rsid w:val="00710C65"/>
    <w:rsid w:val="00710EC3"/>
    <w:rsid w:val="00710F9D"/>
    <w:rsid w:val="00711222"/>
    <w:rsid w:val="0071158E"/>
    <w:rsid w:val="00711912"/>
    <w:rsid w:val="00711BB1"/>
    <w:rsid w:val="00711D00"/>
    <w:rsid w:val="0071217C"/>
    <w:rsid w:val="0071322E"/>
    <w:rsid w:val="007136CA"/>
    <w:rsid w:val="0071471F"/>
    <w:rsid w:val="00714C6B"/>
    <w:rsid w:val="00714EE3"/>
    <w:rsid w:val="00715DC4"/>
    <w:rsid w:val="00715F8C"/>
    <w:rsid w:val="00715FA3"/>
    <w:rsid w:val="007160ED"/>
    <w:rsid w:val="007162C5"/>
    <w:rsid w:val="00717286"/>
    <w:rsid w:val="00717337"/>
    <w:rsid w:val="00717340"/>
    <w:rsid w:val="00717749"/>
    <w:rsid w:val="0071781C"/>
    <w:rsid w:val="00717D59"/>
    <w:rsid w:val="00720429"/>
    <w:rsid w:val="00720549"/>
    <w:rsid w:val="00721B3D"/>
    <w:rsid w:val="00721E84"/>
    <w:rsid w:val="007226C2"/>
    <w:rsid w:val="00722C07"/>
    <w:rsid w:val="00723433"/>
    <w:rsid w:val="00723C0F"/>
    <w:rsid w:val="007243B6"/>
    <w:rsid w:val="007248FB"/>
    <w:rsid w:val="007253BE"/>
    <w:rsid w:val="00725603"/>
    <w:rsid w:val="007264A5"/>
    <w:rsid w:val="0072681C"/>
    <w:rsid w:val="00726910"/>
    <w:rsid w:val="007300A8"/>
    <w:rsid w:val="0073074C"/>
    <w:rsid w:val="0073075C"/>
    <w:rsid w:val="0073086F"/>
    <w:rsid w:val="00730ECE"/>
    <w:rsid w:val="0073128C"/>
    <w:rsid w:val="007317A3"/>
    <w:rsid w:val="00731B8D"/>
    <w:rsid w:val="00731C02"/>
    <w:rsid w:val="00731D48"/>
    <w:rsid w:val="00732292"/>
    <w:rsid w:val="00732991"/>
    <w:rsid w:val="00732CA5"/>
    <w:rsid w:val="00732F45"/>
    <w:rsid w:val="00733168"/>
    <w:rsid w:val="00733209"/>
    <w:rsid w:val="00733387"/>
    <w:rsid w:val="00733524"/>
    <w:rsid w:val="0073360A"/>
    <w:rsid w:val="00733677"/>
    <w:rsid w:val="007339D1"/>
    <w:rsid w:val="00733C37"/>
    <w:rsid w:val="00733CB3"/>
    <w:rsid w:val="00734155"/>
    <w:rsid w:val="007341AE"/>
    <w:rsid w:val="0073458C"/>
    <w:rsid w:val="007348C7"/>
    <w:rsid w:val="0073495C"/>
    <w:rsid w:val="00734C4B"/>
    <w:rsid w:val="00734CA8"/>
    <w:rsid w:val="007350EC"/>
    <w:rsid w:val="0073515C"/>
    <w:rsid w:val="00735BA8"/>
    <w:rsid w:val="00736184"/>
    <w:rsid w:val="007367F0"/>
    <w:rsid w:val="00737C63"/>
    <w:rsid w:val="00737CA6"/>
    <w:rsid w:val="00740977"/>
    <w:rsid w:val="00740F79"/>
    <w:rsid w:val="00741251"/>
    <w:rsid w:val="007412B0"/>
    <w:rsid w:val="007417B4"/>
    <w:rsid w:val="00742511"/>
    <w:rsid w:val="007426EB"/>
    <w:rsid w:val="00742B36"/>
    <w:rsid w:val="00742E7C"/>
    <w:rsid w:val="00743233"/>
    <w:rsid w:val="007434FA"/>
    <w:rsid w:val="00743B80"/>
    <w:rsid w:val="00743D6E"/>
    <w:rsid w:val="0074407D"/>
    <w:rsid w:val="007440CD"/>
    <w:rsid w:val="0074433A"/>
    <w:rsid w:val="00744592"/>
    <w:rsid w:val="007449BD"/>
    <w:rsid w:val="00744FF3"/>
    <w:rsid w:val="007459AE"/>
    <w:rsid w:val="00745FB9"/>
    <w:rsid w:val="00746329"/>
    <w:rsid w:val="0074715D"/>
    <w:rsid w:val="00747307"/>
    <w:rsid w:val="007476FB"/>
    <w:rsid w:val="0074783C"/>
    <w:rsid w:val="0075016D"/>
    <w:rsid w:val="007501FF"/>
    <w:rsid w:val="007508A0"/>
    <w:rsid w:val="00750B96"/>
    <w:rsid w:val="00750BFC"/>
    <w:rsid w:val="00751030"/>
    <w:rsid w:val="00751840"/>
    <w:rsid w:val="00752138"/>
    <w:rsid w:val="0075261B"/>
    <w:rsid w:val="00752755"/>
    <w:rsid w:val="00752831"/>
    <w:rsid w:val="007528D8"/>
    <w:rsid w:val="00752B8D"/>
    <w:rsid w:val="00752B8F"/>
    <w:rsid w:val="00752E08"/>
    <w:rsid w:val="0075328F"/>
    <w:rsid w:val="007534BE"/>
    <w:rsid w:val="00753763"/>
    <w:rsid w:val="00753824"/>
    <w:rsid w:val="00753B15"/>
    <w:rsid w:val="00753BCB"/>
    <w:rsid w:val="00753ED6"/>
    <w:rsid w:val="007542B3"/>
    <w:rsid w:val="007548D9"/>
    <w:rsid w:val="00754BD9"/>
    <w:rsid w:val="0075540F"/>
    <w:rsid w:val="00755420"/>
    <w:rsid w:val="007556F1"/>
    <w:rsid w:val="0075596F"/>
    <w:rsid w:val="00755AC5"/>
    <w:rsid w:val="00755B17"/>
    <w:rsid w:val="0075607E"/>
    <w:rsid w:val="007563F9"/>
    <w:rsid w:val="00756F0B"/>
    <w:rsid w:val="00756F28"/>
    <w:rsid w:val="00757152"/>
    <w:rsid w:val="00757482"/>
    <w:rsid w:val="00757845"/>
    <w:rsid w:val="00757C40"/>
    <w:rsid w:val="007603C9"/>
    <w:rsid w:val="007611EA"/>
    <w:rsid w:val="0076139E"/>
    <w:rsid w:val="007615EC"/>
    <w:rsid w:val="00761781"/>
    <w:rsid w:val="00761C42"/>
    <w:rsid w:val="00762657"/>
    <w:rsid w:val="00762DD3"/>
    <w:rsid w:val="00762E44"/>
    <w:rsid w:val="00762E90"/>
    <w:rsid w:val="0076304A"/>
    <w:rsid w:val="007635E7"/>
    <w:rsid w:val="00763EAE"/>
    <w:rsid w:val="0076417B"/>
    <w:rsid w:val="007645F1"/>
    <w:rsid w:val="007647A0"/>
    <w:rsid w:val="00764864"/>
    <w:rsid w:val="00764F08"/>
    <w:rsid w:val="00764FC7"/>
    <w:rsid w:val="00766276"/>
    <w:rsid w:val="007663EF"/>
    <w:rsid w:val="00766732"/>
    <w:rsid w:val="00766BEF"/>
    <w:rsid w:val="007670A3"/>
    <w:rsid w:val="00767EFA"/>
    <w:rsid w:val="00770525"/>
    <w:rsid w:val="00770DF4"/>
    <w:rsid w:val="00770E51"/>
    <w:rsid w:val="00771121"/>
    <w:rsid w:val="007713C5"/>
    <w:rsid w:val="00772121"/>
    <w:rsid w:val="007721EF"/>
    <w:rsid w:val="007722AD"/>
    <w:rsid w:val="007727E5"/>
    <w:rsid w:val="00772938"/>
    <w:rsid w:val="00772C45"/>
    <w:rsid w:val="00772E41"/>
    <w:rsid w:val="0077306F"/>
    <w:rsid w:val="0077337F"/>
    <w:rsid w:val="00773CFD"/>
    <w:rsid w:val="00773D76"/>
    <w:rsid w:val="0077407E"/>
    <w:rsid w:val="0077431D"/>
    <w:rsid w:val="00774EC4"/>
    <w:rsid w:val="0077506D"/>
    <w:rsid w:val="007751FB"/>
    <w:rsid w:val="00775314"/>
    <w:rsid w:val="00775A20"/>
    <w:rsid w:val="00775C05"/>
    <w:rsid w:val="0077632E"/>
    <w:rsid w:val="0077644E"/>
    <w:rsid w:val="007767C1"/>
    <w:rsid w:val="007769A8"/>
    <w:rsid w:val="007772C6"/>
    <w:rsid w:val="007775FB"/>
    <w:rsid w:val="00777777"/>
    <w:rsid w:val="0077781C"/>
    <w:rsid w:val="00777E08"/>
    <w:rsid w:val="00780053"/>
    <w:rsid w:val="0078053E"/>
    <w:rsid w:val="00780A64"/>
    <w:rsid w:val="00781275"/>
    <w:rsid w:val="00781754"/>
    <w:rsid w:val="007818CD"/>
    <w:rsid w:val="00781909"/>
    <w:rsid w:val="007819B2"/>
    <w:rsid w:val="00781A4C"/>
    <w:rsid w:val="00781B03"/>
    <w:rsid w:val="00781B58"/>
    <w:rsid w:val="00781C1B"/>
    <w:rsid w:val="0078223E"/>
    <w:rsid w:val="00782C9D"/>
    <w:rsid w:val="00783537"/>
    <w:rsid w:val="00783568"/>
    <w:rsid w:val="00783BD1"/>
    <w:rsid w:val="00784171"/>
    <w:rsid w:val="00784EAD"/>
    <w:rsid w:val="007852D3"/>
    <w:rsid w:val="0078533A"/>
    <w:rsid w:val="00785455"/>
    <w:rsid w:val="007856EB"/>
    <w:rsid w:val="00785A2C"/>
    <w:rsid w:val="00785D37"/>
    <w:rsid w:val="00786573"/>
    <w:rsid w:val="007866E4"/>
    <w:rsid w:val="00786C8C"/>
    <w:rsid w:val="00786DC2"/>
    <w:rsid w:val="007871D1"/>
    <w:rsid w:val="0078746B"/>
    <w:rsid w:val="00787C5E"/>
    <w:rsid w:val="00790581"/>
    <w:rsid w:val="007909A0"/>
    <w:rsid w:val="00790AF3"/>
    <w:rsid w:val="00790F66"/>
    <w:rsid w:val="00790FEE"/>
    <w:rsid w:val="0079100D"/>
    <w:rsid w:val="00791636"/>
    <w:rsid w:val="00791B03"/>
    <w:rsid w:val="00791DF8"/>
    <w:rsid w:val="00792002"/>
    <w:rsid w:val="0079240E"/>
    <w:rsid w:val="007937DD"/>
    <w:rsid w:val="00793EFD"/>
    <w:rsid w:val="00794A0E"/>
    <w:rsid w:val="00794D25"/>
    <w:rsid w:val="00794D7E"/>
    <w:rsid w:val="00795322"/>
    <w:rsid w:val="00795620"/>
    <w:rsid w:val="00795746"/>
    <w:rsid w:val="00795CCF"/>
    <w:rsid w:val="00795D8F"/>
    <w:rsid w:val="007963D3"/>
    <w:rsid w:val="0079659E"/>
    <w:rsid w:val="0079660F"/>
    <w:rsid w:val="00796A7B"/>
    <w:rsid w:val="00796CD4"/>
    <w:rsid w:val="007972D9"/>
    <w:rsid w:val="00797690"/>
    <w:rsid w:val="00797AC9"/>
    <w:rsid w:val="00797F49"/>
    <w:rsid w:val="007A14F7"/>
    <w:rsid w:val="007A15AC"/>
    <w:rsid w:val="007A182C"/>
    <w:rsid w:val="007A188E"/>
    <w:rsid w:val="007A1DF0"/>
    <w:rsid w:val="007A2CD5"/>
    <w:rsid w:val="007A2EDA"/>
    <w:rsid w:val="007A2F3F"/>
    <w:rsid w:val="007A309C"/>
    <w:rsid w:val="007A3615"/>
    <w:rsid w:val="007A3716"/>
    <w:rsid w:val="007A46A7"/>
    <w:rsid w:val="007A491B"/>
    <w:rsid w:val="007A4E17"/>
    <w:rsid w:val="007A4EF5"/>
    <w:rsid w:val="007A5313"/>
    <w:rsid w:val="007A559A"/>
    <w:rsid w:val="007A59B1"/>
    <w:rsid w:val="007A621D"/>
    <w:rsid w:val="007A64DC"/>
    <w:rsid w:val="007A69F7"/>
    <w:rsid w:val="007A6EFF"/>
    <w:rsid w:val="007A7560"/>
    <w:rsid w:val="007A77FF"/>
    <w:rsid w:val="007A7CF6"/>
    <w:rsid w:val="007B0FD5"/>
    <w:rsid w:val="007B146A"/>
    <w:rsid w:val="007B173B"/>
    <w:rsid w:val="007B174F"/>
    <w:rsid w:val="007B18D5"/>
    <w:rsid w:val="007B1D8E"/>
    <w:rsid w:val="007B2077"/>
    <w:rsid w:val="007B224B"/>
    <w:rsid w:val="007B2443"/>
    <w:rsid w:val="007B2F87"/>
    <w:rsid w:val="007B38D5"/>
    <w:rsid w:val="007B38D8"/>
    <w:rsid w:val="007B3BE6"/>
    <w:rsid w:val="007B407B"/>
    <w:rsid w:val="007B42A9"/>
    <w:rsid w:val="007B47BE"/>
    <w:rsid w:val="007B4D3A"/>
    <w:rsid w:val="007B5130"/>
    <w:rsid w:val="007B5367"/>
    <w:rsid w:val="007B5573"/>
    <w:rsid w:val="007B589C"/>
    <w:rsid w:val="007B657F"/>
    <w:rsid w:val="007B6D3D"/>
    <w:rsid w:val="007B725D"/>
    <w:rsid w:val="007B757A"/>
    <w:rsid w:val="007B7679"/>
    <w:rsid w:val="007B7EE0"/>
    <w:rsid w:val="007C003C"/>
    <w:rsid w:val="007C0FE1"/>
    <w:rsid w:val="007C2367"/>
    <w:rsid w:val="007C2749"/>
    <w:rsid w:val="007C29A2"/>
    <w:rsid w:val="007C2FCE"/>
    <w:rsid w:val="007C3781"/>
    <w:rsid w:val="007C3C05"/>
    <w:rsid w:val="007C3C42"/>
    <w:rsid w:val="007C3F62"/>
    <w:rsid w:val="007C4041"/>
    <w:rsid w:val="007C4486"/>
    <w:rsid w:val="007C45B1"/>
    <w:rsid w:val="007C4A52"/>
    <w:rsid w:val="007C4F71"/>
    <w:rsid w:val="007C5009"/>
    <w:rsid w:val="007C505D"/>
    <w:rsid w:val="007C5266"/>
    <w:rsid w:val="007C55E0"/>
    <w:rsid w:val="007C5B12"/>
    <w:rsid w:val="007C618E"/>
    <w:rsid w:val="007C653F"/>
    <w:rsid w:val="007C685F"/>
    <w:rsid w:val="007C68C0"/>
    <w:rsid w:val="007C696B"/>
    <w:rsid w:val="007C698D"/>
    <w:rsid w:val="007C6E0F"/>
    <w:rsid w:val="007C7651"/>
    <w:rsid w:val="007C79B9"/>
    <w:rsid w:val="007C79C1"/>
    <w:rsid w:val="007C7D3A"/>
    <w:rsid w:val="007D000F"/>
    <w:rsid w:val="007D08C0"/>
    <w:rsid w:val="007D1026"/>
    <w:rsid w:val="007D1AB2"/>
    <w:rsid w:val="007D1B49"/>
    <w:rsid w:val="007D26DE"/>
    <w:rsid w:val="007D2C12"/>
    <w:rsid w:val="007D2F00"/>
    <w:rsid w:val="007D3B22"/>
    <w:rsid w:val="007D3D4E"/>
    <w:rsid w:val="007D4753"/>
    <w:rsid w:val="007D47C2"/>
    <w:rsid w:val="007D4CCB"/>
    <w:rsid w:val="007D5343"/>
    <w:rsid w:val="007D5931"/>
    <w:rsid w:val="007D5F19"/>
    <w:rsid w:val="007D6AE7"/>
    <w:rsid w:val="007D6BBF"/>
    <w:rsid w:val="007D6D7C"/>
    <w:rsid w:val="007D705F"/>
    <w:rsid w:val="007D738A"/>
    <w:rsid w:val="007D7699"/>
    <w:rsid w:val="007D78D2"/>
    <w:rsid w:val="007D7B4D"/>
    <w:rsid w:val="007D7E2C"/>
    <w:rsid w:val="007D7EAF"/>
    <w:rsid w:val="007E0011"/>
    <w:rsid w:val="007E01A2"/>
    <w:rsid w:val="007E0E5A"/>
    <w:rsid w:val="007E0E6F"/>
    <w:rsid w:val="007E1030"/>
    <w:rsid w:val="007E132B"/>
    <w:rsid w:val="007E14F6"/>
    <w:rsid w:val="007E183F"/>
    <w:rsid w:val="007E1A82"/>
    <w:rsid w:val="007E1E0A"/>
    <w:rsid w:val="007E243B"/>
    <w:rsid w:val="007E28C4"/>
    <w:rsid w:val="007E2BF2"/>
    <w:rsid w:val="007E3374"/>
    <w:rsid w:val="007E341A"/>
    <w:rsid w:val="007E3C5E"/>
    <w:rsid w:val="007E464F"/>
    <w:rsid w:val="007E490F"/>
    <w:rsid w:val="007E4BAA"/>
    <w:rsid w:val="007E4CAC"/>
    <w:rsid w:val="007E51B5"/>
    <w:rsid w:val="007E563E"/>
    <w:rsid w:val="007E5A8D"/>
    <w:rsid w:val="007E5EA9"/>
    <w:rsid w:val="007E6944"/>
    <w:rsid w:val="007E6D20"/>
    <w:rsid w:val="007E6D83"/>
    <w:rsid w:val="007E7258"/>
    <w:rsid w:val="007E73CA"/>
    <w:rsid w:val="007E73E9"/>
    <w:rsid w:val="007E7704"/>
    <w:rsid w:val="007E7AC9"/>
    <w:rsid w:val="007E7B99"/>
    <w:rsid w:val="007E7D8D"/>
    <w:rsid w:val="007F0170"/>
    <w:rsid w:val="007F0323"/>
    <w:rsid w:val="007F05EC"/>
    <w:rsid w:val="007F0D7B"/>
    <w:rsid w:val="007F0E2C"/>
    <w:rsid w:val="007F1387"/>
    <w:rsid w:val="007F147C"/>
    <w:rsid w:val="007F18C2"/>
    <w:rsid w:val="007F1CEF"/>
    <w:rsid w:val="007F23A4"/>
    <w:rsid w:val="007F28BB"/>
    <w:rsid w:val="007F2C00"/>
    <w:rsid w:val="007F2D33"/>
    <w:rsid w:val="007F2E49"/>
    <w:rsid w:val="007F2FD6"/>
    <w:rsid w:val="007F2FF4"/>
    <w:rsid w:val="007F323D"/>
    <w:rsid w:val="007F35B5"/>
    <w:rsid w:val="007F3751"/>
    <w:rsid w:val="007F3868"/>
    <w:rsid w:val="007F3B16"/>
    <w:rsid w:val="007F3DC0"/>
    <w:rsid w:val="007F460F"/>
    <w:rsid w:val="007F477F"/>
    <w:rsid w:val="007F4DB5"/>
    <w:rsid w:val="007F578B"/>
    <w:rsid w:val="007F5AC0"/>
    <w:rsid w:val="007F5D5A"/>
    <w:rsid w:val="007F6091"/>
    <w:rsid w:val="007F7088"/>
    <w:rsid w:val="007F78EF"/>
    <w:rsid w:val="007F7E48"/>
    <w:rsid w:val="00800BC6"/>
    <w:rsid w:val="00800EB6"/>
    <w:rsid w:val="00800F1F"/>
    <w:rsid w:val="008011DD"/>
    <w:rsid w:val="00801441"/>
    <w:rsid w:val="00801AB4"/>
    <w:rsid w:val="00802182"/>
    <w:rsid w:val="00802244"/>
    <w:rsid w:val="008025D2"/>
    <w:rsid w:val="00802BFD"/>
    <w:rsid w:val="00802F0E"/>
    <w:rsid w:val="00802F87"/>
    <w:rsid w:val="00803B46"/>
    <w:rsid w:val="00803E6F"/>
    <w:rsid w:val="00804529"/>
    <w:rsid w:val="0080499B"/>
    <w:rsid w:val="0080502C"/>
    <w:rsid w:val="008050CE"/>
    <w:rsid w:val="008051E6"/>
    <w:rsid w:val="008057EF"/>
    <w:rsid w:val="00805E3A"/>
    <w:rsid w:val="00805FB3"/>
    <w:rsid w:val="00806214"/>
    <w:rsid w:val="0080651D"/>
    <w:rsid w:val="008068D7"/>
    <w:rsid w:val="00806EEA"/>
    <w:rsid w:val="00806FE4"/>
    <w:rsid w:val="008071A5"/>
    <w:rsid w:val="00810674"/>
    <w:rsid w:val="0081092B"/>
    <w:rsid w:val="008109E0"/>
    <w:rsid w:val="00810A54"/>
    <w:rsid w:val="00810BEF"/>
    <w:rsid w:val="00811255"/>
    <w:rsid w:val="0081138B"/>
    <w:rsid w:val="00811B4E"/>
    <w:rsid w:val="00811B9A"/>
    <w:rsid w:val="00811D5D"/>
    <w:rsid w:val="008127A4"/>
    <w:rsid w:val="00813061"/>
    <w:rsid w:val="00813A2E"/>
    <w:rsid w:val="00814329"/>
    <w:rsid w:val="008143C1"/>
    <w:rsid w:val="00814FE9"/>
    <w:rsid w:val="00815A9D"/>
    <w:rsid w:val="00815B2D"/>
    <w:rsid w:val="00815BB7"/>
    <w:rsid w:val="00815D6B"/>
    <w:rsid w:val="008160DA"/>
    <w:rsid w:val="008162B9"/>
    <w:rsid w:val="00816765"/>
    <w:rsid w:val="00816F87"/>
    <w:rsid w:val="008175EB"/>
    <w:rsid w:val="00817A91"/>
    <w:rsid w:val="00817E4D"/>
    <w:rsid w:val="00821A74"/>
    <w:rsid w:val="00821AAB"/>
    <w:rsid w:val="00821C8D"/>
    <w:rsid w:val="00821CCF"/>
    <w:rsid w:val="00822615"/>
    <w:rsid w:val="0082262C"/>
    <w:rsid w:val="0082277F"/>
    <w:rsid w:val="008229B2"/>
    <w:rsid w:val="00822BD5"/>
    <w:rsid w:val="00823001"/>
    <w:rsid w:val="008233DD"/>
    <w:rsid w:val="008239D1"/>
    <w:rsid w:val="00823B86"/>
    <w:rsid w:val="00823FF0"/>
    <w:rsid w:val="00824344"/>
    <w:rsid w:val="008243EF"/>
    <w:rsid w:val="00824DBA"/>
    <w:rsid w:val="00825AED"/>
    <w:rsid w:val="00825DF8"/>
    <w:rsid w:val="00826090"/>
    <w:rsid w:val="0082692E"/>
    <w:rsid w:val="00827026"/>
    <w:rsid w:val="00830ADA"/>
    <w:rsid w:val="00830BB9"/>
    <w:rsid w:val="00831104"/>
    <w:rsid w:val="0083124A"/>
    <w:rsid w:val="008314F5"/>
    <w:rsid w:val="00831731"/>
    <w:rsid w:val="00831ACE"/>
    <w:rsid w:val="00831D72"/>
    <w:rsid w:val="008337C7"/>
    <w:rsid w:val="00833AD2"/>
    <w:rsid w:val="0083494E"/>
    <w:rsid w:val="00834A38"/>
    <w:rsid w:val="00834AF4"/>
    <w:rsid w:val="00834E71"/>
    <w:rsid w:val="00834F21"/>
    <w:rsid w:val="00835CB3"/>
    <w:rsid w:val="00835F07"/>
    <w:rsid w:val="008363AA"/>
    <w:rsid w:val="00836B74"/>
    <w:rsid w:val="00836E7D"/>
    <w:rsid w:val="00837125"/>
    <w:rsid w:val="00837547"/>
    <w:rsid w:val="00837A66"/>
    <w:rsid w:val="00837B9E"/>
    <w:rsid w:val="00837E14"/>
    <w:rsid w:val="00840198"/>
    <w:rsid w:val="008409A1"/>
    <w:rsid w:val="00840DEA"/>
    <w:rsid w:val="0084102D"/>
    <w:rsid w:val="0084177D"/>
    <w:rsid w:val="00841914"/>
    <w:rsid w:val="008420AA"/>
    <w:rsid w:val="00842DA2"/>
    <w:rsid w:val="008435B0"/>
    <w:rsid w:val="00843682"/>
    <w:rsid w:val="00843AFD"/>
    <w:rsid w:val="008444C8"/>
    <w:rsid w:val="0084491B"/>
    <w:rsid w:val="0084496F"/>
    <w:rsid w:val="008451A3"/>
    <w:rsid w:val="00845288"/>
    <w:rsid w:val="008457CE"/>
    <w:rsid w:val="00846194"/>
    <w:rsid w:val="00846594"/>
    <w:rsid w:val="00847356"/>
    <w:rsid w:val="00850A92"/>
    <w:rsid w:val="00850CEC"/>
    <w:rsid w:val="00850D98"/>
    <w:rsid w:val="0085122B"/>
    <w:rsid w:val="00851F8F"/>
    <w:rsid w:val="008530D4"/>
    <w:rsid w:val="00853962"/>
    <w:rsid w:val="00853B15"/>
    <w:rsid w:val="00853C91"/>
    <w:rsid w:val="00854F84"/>
    <w:rsid w:val="008550C8"/>
    <w:rsid w:val="008556F2"/>
    <w:rsid w:val="00855CC0"/>
    <w:rsid w:val="00855E36"/>
    <w:rsid w:val="00855E8E"/>
    <w:rsid w:val="00856C16"/>
    <w:rsid w:val="008576BB"/>
    <w:rsid w:val="008577C9"/>
    <w:rsid w:val="00857D75"/>
    <w:rsid w:val="00857F39"/>
    <w:rsid w:val="008600F0"/>
    <w:rsid w:val="008606C4"/>
    <w:rsid w:val="008607A8"/>
    <w:rsid w:val="00860E39"/>
    <w:rsid w:val="008612CE"/>
    <w:rsid w:val="008616EF"/>
    <w:rsid w:val="008618F1"/>
    <w:rsid w:val="00862616"/>
    <w:rsid w:val="00862722"/>
    <w:rsid w:val="00862BE7"/>
    <w:rsid w:val="00862EB8"/>
    <w:rsid w:val="0086300D"/>
    <w:rsid w:val="00863367"/>
    <w:rsid w:val="00863475"/>
    <w:rsid w:val="008634FA"/>
    <w:rsid w:val="00863822"/>
    <w:rsid w:val="00863903"/>
    <w:rsid w:val="008639F8"/>
    <w:rsid w:val="00864125"/>
    <w:rsid w:val="008642AE"/>
    <w:rsid w:val="0086457F"/>
    <w:rsid w:val="0086485A"/>
    <w:rsid w:val="00864F93"/>
    <w:rsid w:val="00865240"/>
    <w:rsid w:val="0086577A"/>
    <w:rsid w:val="008658D8"/>
    <w:rsid w:val="0086592D"/>
    <w:rsid w:val="00866079"/>
    <w:rsid w:val="0086610F"/>
    <w:rsid w:val="00866A1D"/>
    <w:rsid w:val="00866C9C"/>
    <w:rsid w:val="0086727A"/>
    <w:rsid w:val="008672EA"/>
    <w:rsid w:val="00867421"/>
    <w:rsid w:val="00867851"/>
    <w:rsid w:val="00867F5D"/>
    <w:rsid w:val="00870057"/>
    <w:rsid w:val="008701E8"/>
    <w:rsid w:val="00870C86"/>
    <w:rsid w:val="008716AA"/>
    <w:rsid w:val="008716D3"/>
    <w:rsid w:val="00871EF3"/>
    <w:rsid w:val="00871F96"/>
    <w:rsid w:val="00872353"/>
    <w:rsid w:val="00872EB2"/>
    <w:rsid w:val="0087335D"/>
    <w:rsid w:val="008733BD"/>
    <w:rsid w:val="00873C1A"/>
    <w:rsid w:val="00874362"/>
    <w:rsid w:val="008745D8"/>
    <w:rsid w:val="00875403"/>
    <w:rsid w:val="00875619"/>
    <w:rsid w:val="00875EEB"/>
    <w:rsid w:val="00876467"/>
    <w:rsid w:val="008769D8"/>
    <w:rsid w:val="008769ED"/>
    <w:rsid w:val="00877627"/>
    <w:rsid w:val="0087787B"/>
    <w:rsid w:val="00880422"/>
    <w:rsid w:val="00880976"/>
    <w:rsid w:val="00880C7A"/>
    <w:rsid w:val="00881328"/>
    <w:rsid w:val="00881680"/>
    <w:rsid w:val="008817A9"/>
    <w:rsid w:val="00881AC2"/>
    <w:rsid w:val="00881DC6"/>
    <w:rsid w:val="0088201C"/>
    <w:rsid w:val="0088255A"/>
    <w:rsid w:val="008827F4"/>
    <w:rsid w:val="008828FB"/>
    <w:rsid w:val="00882E2B"/>
    <w:rsid w:val="0088317C"/>
    <w:rsid w:val="008837D3"/>
    <w:rsid w:val="0088388D"/>
    <w:rsid w:val="0088395D"/>
    <w:rsid w:val="00883FA5"/>
    <w:rsid w:val="0088453A"/>
    <w:rsid w:val="00884C43"/>
    <w:rsid w:val="0088535A"/>
    <w:rsid w:val="0088594F"/>
    <w:rsid w:val="00885A5B"/>
    <w:rsid w:val="00885B12"/>
    <w:rsid w:val="00885BDF"/>
    <w:rsid w:val="008860F8"/>
    <w:rsid w:val="00886468"/>
    <w:rsid w:val="00886620"/>
    <w:rsid w:val="00886ACD"/>
    <w:rsid w:val="00886D99"/>
    <w:rsid w:val="00886FC9"/>
    <w:rsid w:val="00887824"/>
    <w:rsid w:val="00887973"/>
    <w:rsid w:val="00887B34"/>
    <w:rsid w:val="00887BC6"/>
    <w:rsid w:val="00887BDA"/>
    <w:rsid w:val="00887EEE"/>
    <w:rsid w:val="0089061F"/>
    <w:rsid w:val="008911F9"/>
    <w:rsid w:val="00892972"/>
    <w:rsid w:val="00892C8C"/>
    <w:rsid w:val="00893553"/>
    <w:rsid w:val="00893842"/>
    <w:rsid w:val="00893913"/>
    <w:rsid w:val="00893B4B"/>
    <w:rsid w:val="00893C03"/>
    <w:rsid w:val="00894277"/>
    <w:rsid w:val="008948E8"/>
    <w:rsid w:val="00894DC2"/>
    <w:rsid w:val="00894FCB"/>
    <w:rsid w:val="00895226"/>
    <w:rsid w:val="0089563E"/>
    <w:rsid w:val="0089594A"/>
    <w:rsid w:val="00896326"/>
    <w:rsid w:val="0089653B"/>
    <w:rsid w:val="0089666A"/>
    <w:rsid w:val="00896E97"/>
    <w:rsid w:val="00897000"/>
    <w:rsid w:val="0089738B"/>
    <w:rsid w:val="00897747"/>
    <w:rsid w:val="00897AC0"/>
    <w:rsid w:val="00897BCB"/>
    <w:rsid w:val="00897DC3"/>
    <w:rsid w:val="00897ECC"/>
    <w:rsid w:val="008A111C"/>
    <w:rsid w:val="008A143A"/>
    <w:rsid w:val="008A18E0"/>
    <w:rsid w:val="008A1BCB"/>
    <w:rsid w:val="008A222F"/>
    <w:rsid w:val="008A254D"/>
    <w:rsid w:val="008A2836"/>
    <w:rsid w:val="008A2BAC"/>
    <w:rsid w:val="008A2DB3"/>
    <w:rsid w:val="008A2FC0"/>
    <w:rsid w:val="008A3498"/>
    <w:rsid w:val="008A3700"/>
    <w:rsid w:val="008A39C3"/>
    <w:rsid w:val="008A421B"/>
    <w:rsid w:val="008A490B"/>
    <w:rsid w:val="008A4947"/>
    <w:rsid w:val="008A4F1F"/>
    <w:rsid w:val="008A57A1"/>
    <w:rsid w:val="008A5CED"/>
    <w:rsid w:val="008A69E2"/>
    <w:rsid w:val="008A6ACD"/>
    <w:rsid w:val="008A6B8B"/>
    <w:rsid w:val="008A7228"/>
    <w:rsid w:val="008A7AAB"/>
    <w:rsid w:val="008A7BF5"/>
    <w:rsid w:val="008B07B8"/>
    <w:rsid w:val="008B0F5F"/>
    <w:rsid w:val="008B10A4"/>
    <w:rsid w:val="008B11EE"/>
    <w:rsid w:val="008B1553"/>
    <w:rsid w:val="008B184D"/>
    <w:rsid w:val="008B1A99"/>
    <w:rsid w:val="008B22AC"/>
    <w:rsid w:val="008B22FB"/>
    <w:rsid w:val="008B234C"/>
    <w:rsid w:val="008B2446"/>
    <w:rsid w:val="008B263D"/>
    <w:rsid w:val="008B292F"/>
    <w:rsid w:val="008B2FB9"/>
    <w:rsid w:val="008B40BC"/>
    <w:rsid w:val="008B44AA"/>
    <w:rsid w:val="008B4551"/>
    <w:rsid w:val="008B483B"/>
    <w:rsid w:val="008B49CC"/>
    <w:rsid w:val="008B52F4"/>
    <w:rsid w:val="008B59A4"/>
    <w:rsid w:val="008B59C1"/>
    <w:rsid w:val="008B5B6E"/>
    <w:rsid w:val="008B6F92"/>
    <w:rsid w:val="008B7062"/>
    <w:rsid w:val="008B7179"/>
    <w:rsid w:val="008B74A2"/>
    <w:rsid w:val="008C00F5"/>
    <w:rsid w:val="008C02C2"/>
    <w:rsid w:val="008C03B9"/>
    <w:rsid w:val="008C0611"/>
    <w:rsid w:val="008C0D11"/>
    <w:rsid w:val="008C1526"/>
    <w:rsid w:val="008C1D4B"/>
    <w:rsid w:val="008C1DD1"/>
    <w:rsid w:val="008C2669"/>
    <w:rsid w:val="008C2D60"/>
    <w:rsid w:val="008C30F1"/>
    <w:rsid w:val="008C383C"/>
    <w:rsid w:val="008C3AB7"/>
    <w:rsid w:val="008C3B82"/>
    <w:rsid w:val="008C3BB2"/>
    <w:rsid w:val="008C3DDE"/>
    <w:rsid w:val="008C4070"/>
    <w:rsid w:val="008C4336"/>
    <w:rsid w:val="008C4368"/>
    <w:rsid w:val="008C453D"/>
    <w:rsid w:val="008C494E"/>
    <w:rsid w:val="008C52EB"/>
    <w:rsid w:val="008C5394"/>
    <w:rsid w:val="008C541C"/>
    <w:rsid w:val="008C554A"/>
    <w:rsid w:val="008C5D18"/>
    <w:rsid w:val="008C5E30"/>
    <w:rsid w:val="008C6329"/>
    <w:rsid w:val="008C64F4"/>
    <w:rsid w:val="008C660B"/>
    <w:rsid w:val="008C6B02"/>
    <w:rsid w:val="008C6B52"/>
    <w:rsid w:val="008C6F21"/>
    <w:rsid w:val="008C710A"/>
    <w:rsid w:val="008C786A"/>
    <w:rsid w:val="008C7CD5"/>
    <w:rsid w:val="008C7EFA"/>
    <w:rsid w:val="008C7F70"/>
    <w:rsid w:val="008D0423"/>
    <w:rsid w:val="008D08DD"/>
    <w:rsid w:val="008D0B57"/>
    <w:rsid w:val="008D13A3"/>
    <w:rsid w:val="008D1B3C"/>
    <w:rsid w:val="008D1D3D"/>
    <w:rsid w:val="008D1EEC"/>
    <w:rsid w:val="008D2824"/>
    <w:rsid w:val="008D2A03"/>
    <w:rsid w:val="008D2ABC"/>
    <w:rsid w:val="008D33DA"/>
    <w:rsid w:val="008D3FFB"/>
    <w:rsid w:val="008D4308"/>
    <w:rsid w:val="008D4A00"/>
    <w:rsid w:val="008D5609"/>
    <w:rsid w:val="008D57F1"/>
    <w:rsid w:val="008D5896"/>
    <w:rsid w:val="008D646B"/>
    <w:rsid w:val="008D6952"/>
    <w:rsid w:val="008D69D1"/>
    <w:rsid w:val="008D70FF"/>
    <w:rsid w:val="008D726E"/>
    <w:rsid w:val="008D7516"/>
    <w:rsid w:val="008D75ED"/>
    <w:rsid w:val="008D7AEE"/>
    <w:rsid w:val="008E0695"/>
    <w:rsid w:val="008E070B"/>
    <w:rsid w:val="008E0BDD"/>
    <w:rsid w:val="008E0DF8"/>
    <w:rsid w:val="008E138B"/>
    <w:rsid w:val="008E142F"/>
    <w:rsid w:val="008E15B2"/>
    <w:rsid w:val="008E19D9"/>
    <w:rsid w:val="008E1C4F"/>
    <w:rsid w:val="008E1D46"/>
    <w:rsid w:val="008E1F86"/>
    <w:rsid w:val="008E27B6"/>
    <w:rsid w:val="008E2940"/>
    <w:rsid w:val="008E2B71"/>
    <w:rsid w:val="008E2C90"/>
    <w:rsid w:val="008E2ED4"/>
    <w:rsid w:val="008E3C90"/>
    <w:rsid w:val="008E419A"/>
    <w:rsid w:val="008E4234"/>
    <w:rsid w:val="008E4369"/>
    <w:rsid w:val="008E43A0"/>
    <w:rsid w:val="008E4472"/>
    <w:rsid w:val="008E4B27"/>
    <w:rsid w:val="008E5125"/>
    <w:rsid w:val="008E593C"/>
    <w:rsid w:val="008E5BEB"/>
    <w:rsid w:val="008E5D18"/>
    <w:rsid w:val="008E5EBC"/>
    <w:rsid w:val="008E6112"/>
    <w:rsid w:val="008E6CD2"/>
    <w:rsid w:val="008E6DFF"/>
    <w:rsid w:val="008E7F31"/>
    <w:rsid w:val="008F0CFF"/>
    <w:rsid w:val="008F1CDC"/>
    <w:rsid w:val="008F1E35"/>
    <w:rsid w:val="008F210B"/>
    <w:rsid w:val="008F2218"/>
    <w:rsid w:val="008F3301"/>
    <w:rsid w:val="008F3909"/>
    <w:rsid w:val="008F3A29"/>
    <w:rsid w:val="008F3DAB"/>
    <w:rsid w:val="008F43FD"/>
    <w:rsid w:val="008F4ED2"/>
    <w:rsid w:val="008F4F43"/>
    <w:rsid w:val="008F4FFC"/>
    <w:rsid w:val="008F5578"/>
    <w:rsid w:val="008F57A1"/>
    <w:rsid w:val="008F59EC"/>
    <w:rsid w:val="008F5BD1"/>
    <w:rsid w:val="008F6937"/>
    <w:rsid w:val="008F6E70"/>
    <w:rsid w:val="008F6F36"/>
    <w:rsid w:val="008F751E"/>
    <w:rsid w:val="008F763A"/>
    <w:rsid w:val="008F7EA0"/>
    <w:rsid w:val="0090020B"/>
    <w:rsid w:val="00900268"/>
    <w:rsid w:val="009003C3"/>
    <w:rsid w:val="00900400"/>
    <w:rsid w:val="00900475"/>
    <w:rsid w:val="009017C5"/>
    <w:rsid w:val="00901E4B"/>
    <w:rsid w:val="00901FC1"/>
    <w:rsid w:val="009020F1"/>
    <w:rsid w:val="00902608"/>
    <w:rsid w:val="009028A2"/>
    <w:rsid w:val="00902ADD"/>
    <w:rsid w:val="00902B68"/>
    <w:rsid w:val="00902CFE"/>
    <w:rsid w:val="0090322C"/>
    <w:rsid w:val="00903B41"/>
    <w:rsid w:val="00903DBA"/>
    <w:rsid w:val="0090466A"/>
    <w:rsid w:val="00904710"/>
    <w:rsid w:val="009047B5"/>
    <w:rsid w:val="00904915"/>
    <w:rsid w:val="00904CA9"/>
    <w:rsid w:val="009056DD"/>
    <w:rsid w:val="009057BD"/>
    <w:rsid w:val="0090693A"/>
    <w:rsid w:val="00906BAA"/>
    <w:rsid w:val="00907071"/>
    <w:rsid w:val="0090723B"/>
    <w:rsid w:val="00907791"/>
    <w:rsid w:val="009077F5"/>
    <w:rsid w:val="00907A57"/>
    <w:rsid w:val="0091084E"/>
    <w:rsid w:val="009108A7"/>
    <w:rsid w:val="00911092"/>
    <w:rsid w:val="00912027"/>
    <w:rsid w:val="00912975"/>
    <w:rsid w:val="009129A2"/>
    <w:rsid w:val="00912B83"/>
    <w:rsid w:val="00912DEF"/>
    <w:rsid w:val="00912F5F"/>
    <w:rsid w:val="009135FB"/>
    <w:rsid w:val="0091362B"/>
    <w:rsid w:val="00913915"/>
    <w:rsid w:val="00913A40"/>
    <w:rsid w:val="00914256"/>
    <w:rsid w:val="0091437C"/>
    <w:rsid w:val="009143F2"/>
    <w:rsid w:val="00915118"/>
    <w:rsid w:val="009153A9"/>
    <w:rsid w:val="00915561"/>
    <w:rsid w:val="009157E2"/>
    <w:rsid w:val="00915865"/>
    <w:rsid w:val="0091612A"/>
    <w:rsid w:val="009163CD"/>
    <w:rsid w:val="009165FC"/>
    <w:rsid w:val="00916B36"/>
    <w:rsid w:val="00916BA1"/>
    <w:rsid w:val="00916C65"/>
    <w:rsid w:val="00916D56"/>
    <w:rsid w:val="00916E34"/>
    <w:rsid w:val="00917384"/>
    <w:rsid w:val="00917C87"/>
    <w:rsid w:val="00920946"/>
    <w:rsid w:val="009209D7"/>
    <w:rsid w:val="00920D53"/>
    <w:rsid w:val="00920F58"/>
    <w:rsid w:val="00921E90"/>
    <w:rsid w:val="00921F6D"/>
    <w:rsid w:val="0092224B"/>
    <w:rsid w:val="009228B7"/>
    <w:rsid w:val="009228C5"/>
    <w:rsid w:val="00922B21"/>
    <w:rsid w:val="00923591"/>
    <w:rsid w:val="0092374D"/>
    <w:rsid w:val="00923CA7"/>
    <w:rsid w:val="00924718"/>
    <w:rsid w:val="0092482E"/>
    <w:rsid w:val="00924E43"/>
    <w:rsid w:val="009258FD"/>
    <w:rsid w:val="00926D70"/>
    <w:rsid w:val="009273FF"/>
    <w:rsid w:val="00927B11"/>
    <w:rsid w:val="009304CB"/>
    <w:rsid w:val="0093054A"/>
    <w:rsid w:val="0093055E"/>
    <w:rsid w:val="009308F6"/>
    <w:rsid w:val="00930AE4"/>
    <w:rsid w:val="0093146F"/>
    <w:rsid w:val="009317C2"/>
    <w:rsid w:val="00931A57"/>
    <w:rsid w:val="00931AB1"/>
    <w:rsid w:val="00931B65"/>
    <w:rsid w:val="00932369"/>
    <w:rsid w:val="009328D5"/>
    <w:rsid w:val="00932A8C"/>
    <w:rsid w:val="00932F76"/>
    <w:rsid w:val="009336D4"/>
    <w:rsid w:val="00933A09"/>
    <w:rsid w:val="00933CFA"/>
    <w:rsid w:val="00933F9B"/>
    <w:rsid w:val="009349E3"/>
    <w:rsid w:val="0093504E"/>
    <w:rsid w:val="0093534B"/>
    <w:rsid w:val="0093550B"/>
    <w:rsid w:val="00935630"/>
    <w:rsid w:val="0093574F"/>
    <w:rsid w:val="0093590A"/>
    <w:rsid w:val="00936141"/>
    <w:rsid w:val="009362B4"/>
    <w:rsid w:val="0093636B"/>
    <w:rsid w:val="009366AD"/>
    <w:rsid w:val="0093686B"/>
    <w:rsid w:val="00936D5B"/>
    <w:rsid w:val="00936E1B"/>
    <w:rsid w:val="00936FC3"/>
    <w:rsid w:val="00937810"/>
    <w:rsid w:val="00937F23"/>
    <w:rsid w:val="0094048D"/>
    <w:rsid w:val="009405CC"/>
    <w:rsid w:val="00940830"/>
    <w:rsid w:val="00940929"/>
    <w:rsid w:val="00941244"/>
    <w:rsid w:val="00941CA1"/>
    <w:rsid w:val="00941FE6"/>
    <w:rsid w:val="009424F9"/>
    <w:rsid w:val="00942624"/>
    <w:rsid w:val="009427CD"/>
    <w:rsid w:val="009430C4"/>
    <w:rsid w:val="0094322F"/>
    <w:rsid w:val="00943407"/>
    <w:rsid w:val="00943486"/>
    <w:rsid w:val="00943687"/>
    <w:rsid w:val="00943701"/>
    <w:rsid w:val="009438F7"/>
    <w:rsid w:val="00943DA3"/>
    <w:rsid w:val="00944FCF"/>
    <w:rsid w:val="00945466"/>
    <w:rsid w:val="00946843"/>
    <w:rsid w:val="009469CF"/>
    <w:rsid w:val="00947520"/>
    <w:rsid w:val="009476C3"/>
    <w:rsid w:val="00947A21"/>
    <w:rsid w:val="00950110"/>
    <w:rsid w:val="00950753"/>
    <w:rsid w:val="009508C4"/>
    <w:rsid w:val="00950D90"/>
    <w:rsid w:val="00950FF9"/>
    <w:rsid w:val="00951080"/>
    <w:rsid w:val="00951262"/>
    <w:rsid w:val="009515CB"/>
    <w:rsid w:val="009527FE"/>
    <w:rsid w:val="00952A6F"/>
    <w:rsid w:val="00952B16"/>
    <w:rsid w:val="009530AB"/>
    <w:rsid w:val="009532B6"/>
    <w:rsid w:val="009533AA"/>
    <w:rsid w:val="009534A5"/>
    <w:rsid w:val="00953B1E"/>
    <w:rsid w:val="00953E23"/>
    <w:rsid w:val="00954841"/>
    <w:rsid w:val="00954AB9"/>
    <w:rsid w:val="00954B7C"/>
    <w:rsid w:val="00954D92"/>
    <w:rsid w:val="00954DAB"/>
    <w:rsid w:val="00954E0C"/>
    <w:rsid w:val="00955300"/>
    <w:rsid w:val="00955474"/>
    <w:rsid w:val="00955C08"/>
    <w:rsid w:val="00955E82"/>
    <w:rsid w:val="00955E92"/>
    <w:rsid w:val="009560C1"/>
    <w:rsid w:val="00956712"/>
    <w:rsid w:val="009572CD"/>
    <w:rsid w:val="009578EE"/>
    <w:rsid w:val="0096001D"/>
    <w:rsid w:val="00960190"/>
    <w:rsid w:val="00960CE1"/>
    <w:rsid w:val="00960D77"/>
    <w:rsid w:val="00960EFB"/>
    <w:rsid w:val="0096111D"/>
    <w:rsid w:val="009613D3"/>
    <w:rsid w:val="0096181E"/>
    <w:rsid w:val="0096247B"/>
    <w:rsid w:val="009633DB"/>
    <w:rsid w:val="009635C6"/>
    <w:rsid w:val="00963E71"/>
    <w:rsid w:val="00963F1D"/>
    <w:rsid w:val="00964843"/>
    <w:rsid w:val="00964A63"/>
    <w:rsid w:val="009657C5"/>
    <w:rsid w:val="00965A3F"/>
    <w:rsid w:val="00965CA7"/>
    <w:rsid w:val="00966305"/>
    <w:rsid w:val="00966908"/>
    <w:rsid w:val="00966A2D"/>
    <w:rsid w:val="00966A5C"/>
    <w:rsid w:val="0096702E"/>
    <w:rsid w:val="00967673"/>
    <w:rsid w:val="009676C5"/>
    <w:rsid w:val="00967A31"/>
    <w:rsid w:val="00967AEA"/>
    <w:rsid w:val="00967E95"/>
    <w:rsid w:val="00970144"/>
    <w:rsid w:val="009710F5"/>
    <w:rsid w:val="00971151"/>
    <w:rsid w:val="009717BE"/>
    <w:rsid w:val="009727C7"/>
    <w:rsid w:val="009728F8"/>
    <w:rsid w:val="00972E9C"/>
    <w:rsid w:val="00973176"/>
    <w:rsid w:val="00973275"/>
    <w:rsid w:val="00973680"/>
    <w:rsid w:val="00973775"/>
    <w:rsid w:val="0097379A"/>
    <w:rsid w:val="009738D0"/>
    <w:rsid w:val="009738D4"/>
    <w:rsid w:val="00974079"/>
    <w:rsid w:val="0097454C"/>
    <w:rsid w:val="00974D85"/>
    <w:rsid w:val="00974E49"/>
    <w:rsid w:val="0097509B"/>
    <w:rsid w:val="0097589B"/>
    <w:rsid w:val="00975ABE"/>
    <w:rsid w:val="0097620A"/>
    <w:rsid w:val="00976631"/>
    <w:rsid w:val="00976D70"/>
    <w:rsid w:val="00976D93"/>
    <w:rsid w:val="00976FBD"/>
    <w:rsid w:val="009774C1"/>
    <w:rsid w:val="0097751C"/>
    <w:rsid w:val="0097775D"/>
    <w:rsid w:val="00977BA9"/>
    <w:rsid w:val="0098002B"/>
    <w:rsid w:val="00980D52"/>
    <w:rsid w:val="00980FDF"/>
    <w:rsid w:val="009815B6"/>
    <w:rsid w:val="009816A8"/>
    <w:rsid w:val="00981AF4"/>
    <w:rsid w:val="009821B7"/>
    <w:rsid w:val="009822B7"/>
    <w:rsid w:val="00982894"/>
    <w:rsid w:val="009828A9"/>
    <w:rsid w:val="00982F6F"/>
    <w:rsid w:val="00983195"/>
    <w:rsid w:val="00983CD6"/>
    <w:rsid w:val="00983F15"/>
    <w:rsid w:val="00984278"/>
    <w:rsid w:val="00984359"/>
    <w:rsid w:val="00984C54"/>
    <w:rsid w:val="00984CF7"/>
    <w:rsid w:val="00984F94"/>
    <w:rsid w:val="009851E7"/>
    <w:rsid w:val="00985803"/>
    <w:rsid w:val="00985A45"/>
    <w:rsid w:val="009861FB"/>
    <w:rsid w:val="009862AF"/>
    <w:rsid w:val="009867BC"/>
    <w:rsid w:val="00986AFC"/>
    <w:rsid w:val="00986B8C"/>
    <w:rsid w:val="00986DD1"/>
    <w:rsid w:val="00987693"/>
    <w:rsid w:val="009908EE"/>
    <w:rsid w:val="00991318"/>
    <w:rsid w:val="009913C7"/>
    <w:rsid w:val="0099148E"/>
    <w:rsid w:val="009916A7"/>
    <w:rsid w:val="00991D91"/>
    <w:rsid w:val="009924AC"/>
    <w:rsid w:val="00992850"/>
    <w:rsid w:val="00992B85"/>
    <w:rsid w:val="00992D7A"/>
    <w:rsid w:val="00992F98"/>
    <w:rsid w:val="00992FD6"/>
    <w:rsid w:val="00993F4C"/>
    <w:rsid w:val="00993F5C"/>
    <w:rsid w:val="00994D4C"/>
    <w:rsid w:val="0099551A"/>
    <w:rsid w:val="009957A8"/>
    <w:rsid w:val="00995919"/>
    <w:rsid w:val="00996329"/>
    <w:rsid w:val="00997297"/>
    <w:rsid w:val="00997488"/>
    <w:rsid w:val="009974D0"/>
    <w:rsid w:val="00997662"/>
    <w:rsid w:val="00997A91"/>
    <w:rsid w:val="009A051E"/>
    <w:rsid w:val="009A0792"/>
    <w:rsid w:val="009A0FD6"/>
    <w:rsid w:val="009A1150"/>
    <w:rsid w:val="009A1219"/>
    <w:rsid w:val="009A1392"/>
    <w:rsid w:val="009A14D5"/>
    <w:rsid w:val="009A171E"/>
    <w:rsid w:val="009A1819"/>
    <w:rsid w:val="009A1CAC"/>
    <w:rsid w:val="009A214A"/>
    <w:rsid w:val="009A28BB"/>
    <w:rsid w:val="009A29AC"/>
    <w:rsid w:val="009A2DA6"/>
    <w:rsid w:val="009A3525"/>
    <w:rsid w:val="009A4254"/>
    <w:rsid w:val="009A490A"/>
    <w:rsid w:val="009A528F"/>
    <w:rsid w:val="009A535A"/>
    <w:rsid w:val="009A6DF1"/>
    <w:rsid w:val="009A74D0"/>
    <w:rsid w:val="009A76D1"/>
    <w:rsid w:val="009A7AF8"/>
    <w:rsid w:val="009A7C9D"/>
    <w:rsid w:val="009B0276"/>
    <w:rsid w:val="009B0828"/>
    <w:rsid w:val="009B0882"/>
    <w:rsid w:val="009B0D9D"/>
    <w:rsid w:val="009B11D6"/>
    <w:rsid w:val="009B1808"/>
    <w:rsid w:val="009B23D3"/>
    <w:rsid w:val="009B2525"/>
    <w:rsid w:val="009B2539"/>
    <w:rsid w:val="009B2BB6"/>
    <w:rsid w:val="009B305B"/>
    <w:rsid w:val="009B3C91"/>
    <w:rsid w:val="009B4EB8"/>
    <w:rsid w:val="009B502C"/>
    <w:rsid w:val="009B5250"/>
    <w:rsid w:val="009B5348"/>
    <w:rsid w:val="009B5B6C"/>
    <w:rsid w:val="009B63B3"/>
    <w:rsid w:val="009B667A"/>
    <w:rsid w:val="009B6A3D"/>
    <w:rsid w:val="009B6EC3"/>
    <w:rsid w:val="009B6F01"/>
    <w:rsid w:val="009B7629"/>
    <w:rsid w:val="009B7A00"/>
    <w:rsid w:val="009C02B7"/>
    <w:rsid w:val="009C09CF"/>
    <w:rsid w:val="009C1FA1"/>
    <w:rsid w:val="009C26D1"/>
    <w:rsid w:val="009C2E46"/>
    <w:rsid w:val="009C36B2"/>
    <w:rsid w:val="009C3DAC"/>
    <w:rsid w:val="009C3F89"/>
    <w:rsid w:val="009C426D"/>
    <w:rsid w:val="009C4839"/>
    <w:rsid w:val="009C48EF"/>
    <w:rsid w:val="009C4E6B"/>
    <w:rsid w:val="009C4E7E"/>
    <w:rsid w:val="009C5807"/>
    <w:rsid w:val="009C597B"/>
    <w:rsid w:val="009C5B8F"/>
    <w:rsid w:val="009C5BFD"/>
    <w:rsid w:val="009C6567"/>
    <w:rsid w:val="009C6E1A"/>
    <w:rsid w:val="009C6FCE"/>
    <w:rsid w:val="009C722B"/>
    <w:rsid w:val="009C722E"/>
    <w:rsid w:val="009C777B"/>
    <w:rsid w:val="009C781D"/>
    <w:rsid w:val="009C7937"/>
    <w:rsid w:val="009C7E0F"/>
    <w:rsid w:val="009D00DB"/>
    <w:rsid w:val="009D027C"/>
    <w:rsid w:val="009D07CC"/>
    <w:rsid w:val="009D0848"/>
    <w:rsid w:val="009D0AA2"/>
    <w:rsid w:val="009D0AF0"/>
    <w:rsid w:val="009D0C44"/>
    <w:rsid w:val="009D12A6"/>
    <w:rsid w:val="009D1AE1"/>
    <w:rsid w:val="009D1B7E"/>
    <w:rsid w:val="009D1D11"/>
    <w:rsid w:val="009D1F58"/>
    <w:rsid w:val="009D27DA"/>
    <w:rsid w:val="009D283A"/>
    <w:rsid w:val="009D2ABA"/>
    <w:rsid w:val="009D34F1"/>
    <w:rsid w:val="009D3613"/>
    <w:rsid w:val="009D47DF"/>
    <w:rsid w:val="009D49A9"/>
    <w:rsid w:val="009D49C5"/>
    <w:rsid w:val="009D5274"/>
    <w:rsid w:val="009D52D1"/>
    <w:rsid w:val="009D5AA4"/>
    <w:rsid w:val="009D5EFD"/>
    <w:rsid w:val="009D621B"/>
    <w:rsid w:val="009D621C"/>
    <w:rsid w:val="009D622C"/>
    <w:rsid w:val="009D72EF"/>
    <w:rsid w:val="009D74F1"/>
    <w:rsid w:val="009D79B2"/>
    <w:rsid w:val="009E00C3"/>
    <w:rsid w:val="009E0111"/>
    <w:rsid w:val="009E067B"/>
    <w:rsid w:val="009E0B5B"/>
    <w:rsid w:val="009E0B8F"/>
    <w:rsid w:val="009E0E86"/>
    <w:rsid w:val="009E14B4"/>
    <w:rsid w:val="009E1891"/>
    <w:rsid w:val="009E18B0"/>
    <w:rsid w:val="009E1B33"/>
    <w:rsid w:val="009E2269"/>
    <w:rsid w:val="009E255E"/>
    <w:rsid w:val="009E2937"/>
    <w:rsid w:val="009E3564"/>
    <w:rsid w:val="009E35BF"/>
    <w:rsid w:val="009E3B4A"/>
    <w:rsid w:val="009E43B4"/>
    <w:rsid w:val="009E4642"/>
    <w:rsid w:val="009E4858"/>
    <w:rsid w:val="009E4D6C"/>
    <w:rsid w:val="009E4E87"/>
    <w:rsid w:val="009E4EB6"/>
    <w:rsid w:val="009E5A3C"/>
    <w:rsid w:val="009E5C16"/>
    <w:rsid w:val="009E5ED9"/>
    <w:rsid w:val="009E679A"/>
    <w:rsid w:val="009E6D51"/>
    <w:rsid w:val="009E6F04"/>
    <w:rsid w:val="009E7587"/>
    <w:rsid w:val="009F0434"/>
    <w:rsid w:val="009F08CC"/>
    <w:rsid w:val="009F09A0"/>
    <w:rsid w:val="009F09A4"/>
    <w:rsid w:val="009F0FC4"/>
    <w:rsid w:val="009F1DD3"/>
    <w:rsid w:val="009F1E96"/>
    <w:rsid w:val="009F20E0"/>
    <w:rsid w:val="009F2979"/>
    <w:rsid w:val="009F3598"/>
    <w:rsid w:val="009F3DB3"/>
    <w:rsid w:val="009F3EFC"/>
    <w:rsid w:val="009F3F6F"/>
    <w:rsid w:val="009F4079"/>
    <w:rsid w:val="009F4216"/>
    <w:rsid w:val="009F4588"/>
    <w:rsid w:val="009F4F5E"/>
    <w:rsid w:val="009F53B6"/>
    <w:rsid w:val="009F547A"/>
    <w:rsid w:val="009F57A6"/>
    <w:rsid w:val="009F5A08"/>
    <w:rsid w:val="009F5A50"/>
    <w:rsid w:val="009F625F"/>
    <w:rsid w:val="009F631D"/>
    <w:rsid w:val="009F63E3"/>
    <w:rsid w:val="009F643F"/>
    <w:rsid w:val="009F64F7"/>
    <w:rsid w:val="009F7252"/>
    <w:rsid w:val="009F75E4"/>
    <w:rsid w:val="009F78EE"/>
    <w:rsid w:val="009F7D64"/>
    <w:rsid w:val="00A0003F"/>
    <w:rsid w:val="00A003A7"/>
    <w:rsid w:val="00A01295"/>
    <w:rsid w:val="00A0197E"/>
    <w:rsid w:val="00A026FE"/>
    <w:rsid w:val="00A029F4"/>
    <w:rsid w:val="00A02B41"/>
    <w:rsid w:val="00A0347E"/>
    <w:rsid w:val="00A03D79"/>
    <w:rsid w:val="00A04260"/>
    <w:rsid w:val="00A049D1"/>
    <w:rsid w:val="00A04B76"/>
    <w:rsid w:val="00A04E5E"/>
    <w:rsid w:val="00A05A10"/>
    <w:rsid w:val="00A05D6C"/>
    <w:rsid w:val="00A061CB"/>
    <w:rsid w:val="00A0622E"/>
    <w:rsid w:val="00A064D8"/>
    <w:rsid w:val="00A06508"/>
    <w:rsid w:val="00A0663E"/>
    <w:rsid w:val="00A066B6"/>
    <w:rsid w:val="00A06929"/>
    <w:rsid w:val="00A06AB8"/>
    <w:rsid w:val="00A06FB0"/>
    <w:rsid w:val="00A07308"/>
    <w:rsid w:val="00A07F6D"/>
    <w:rsid w:val="00A10176"/>
    <w:rsid w:val="00A102A4"/>
    <w:rsid w:val="00A1046E"/>
    <w:rsid w:val="00A10C0E"/>
    <w:rsid w:val="00A10C43"/>
    <w:rsid w:val="00A10CC4"/>
    <w:rsid w:val="00A10F61"/>
    <w:rsid w:val="00A10F9F"/>
    <w:rsid w:val="00A11255"/>
    <w:rsid w:val="00A1133D"/>
    <w:rsid w:val="00A12ACB"/>
    <w:rsid w:val="00A12C38"/>
    <w:rsid w:val="00A12C4C"/>
    <w:rsid w:val="00A12D49"/>
    <w:rsid w:val="00A12E7C"/>
    <w:rsid w:val="00A13110"/>
    <w:rsid w:val="00A13390"/>
    <w:rsid w:val="00A136FC"/>
    <w:rsid w:val="00A1395E"/>
    <w:rsid w:val="00A13CFB"/>
    <w:rsid w:val="00A14457"/>
    <w:rsid w:val="00A146BA"/>
    <w:rsid w:val="00A147E1"/>
    <w:rsid w:val="00A1485F"/>
    <w:rsid w:val="00A14966"/>
    <w:rsid w:val="00A159D8"/>
    <w:rsid w:val="00A16272"/>
    <w:rsid w:val="00A169FF"/>
    <w:rsid w:val="00A16A2C"/>
    <w:rsid w:val="00A1794A"/>
    <w:rsid w:val="00A2073A"/>
    <w:rsid w:val="00A20E96"/>
    <w:rsid w:val="00A20EAA"/>
    <w:rsid w:val="00A2127F"/>
    <w:rsid w:val="00A21416"/>
    <w:rsid w:val="00A21441"/>
    <w:rsid w:val="00A216CE"/>
    <w:rsid w:val="00A2187F"/>
    <w:rsid w:val="00A21B3D"/>
    <w:rsid w:val="00A21CDB"/>
    <w:rsid w:val="00A21E84"/>
    <w:rsid w:val="00A22E94"/>
    <w:rsid w:val="00A232BF"/>
    <w:rsid w:val="00A23EBF"/>
    <w:rsid w:val="00A240E5"/>
    <w:rsid w:val="00A2426B"/>
    <w:rsid w:val="00A24598"/>
    <w:rsid w:val="00A24E46"/>
    <w:rsid w:val="00A251B6"/>
    <w:rsid w:val="00A2542D"/>
    <w:rsid w:val="00A254D7"/>
    <w:rsid w:val="00A25597"/>
    <w:rsid w:val="00A25946"/>
    <w:rsid w:val="00A259B5"/>
    <w:rsid w:val="00A25DCD"/>
    <w:rsid w:val="00A26066"/>
    <w:rsid w:val="00A260FC"/>
    <w:rsid w:val="00A26295"/>
    <w:rsid w:val="00A264D0"/>
    <w:rsid w:val="00A264DA"/>
    <w:rsid w:val="00A26518"/>
    <w:rsid w:val="00A265C2"/>
    <w:rsid w:val="00A26687"/>
    <w:rsid w:val="00A26AE1"/>
    <w:rsid w:val="00A2736F"/>
    <w:rsid w:val="00A2787D"/>
    <w:rsid w:val="00A27A5D"/>
    <w:rsid w:val="00A27A77"/>
    <w:rsid w:val="00A27CCB"/>
    <w:rsid w:val="00A301F9"/>
    <w:rsid w:val="00A3031C"/>
    <w:rsid w:val="00A303C8"/>
    <w:rsid w:val="00A3059D"/>
    <w:rsid w:val="00A309B1"/>
    <w:rsid w:val="00A30B37"/>
    <w:rsid w:val="00A313CB"/>
    <w:rsid w:val="00A3142F"/>
    <w:rsid w:val="00A31657"/>
    <w:rsid w:val="00A31691"/>
    <w:rsid w:val="00A318EF"/>
    <w:rsid w:val="00A31E95"/>
    <w:rsid w:val="00A3230E"/>
    <w:rsid w:val="00A32A52"/>
    <w:rsid w:val="00A32B06"/>
    <w:rsid w:val="00A32D09"/>
    <w:rsid w:val="00A32E35"/>
    <w:rsid w:val="00A331ED"/>
    <w:rsid w:val="00A3358D"/>
    <w:rsid w:val="00A335C7"/>
    <w:rsid w:val="00A33DCD"/>
    <w:rsid w:val="00A341E1"/>
    <w:rsid w:val="00A34C2D"/>
    <w:rsid w:val="00A350B0"/>
    <w:rsid w:val="00A350B5"/>
    <w:rsid w:val="00A35632"/>
    <w:rsid w:val="00A35722"/>
    <w:rsid w:val="00A35BAC"/>
    <w:rsid w:val="00A35C90"/>
    <w:rsid w:val="00A35D58"/>
    <w:rsid w:val="00A35F28"/>
    <w:rsid w:val="00A36151"/>
    <w:rsid w:val="00A366E1"/>
    <w:rsid w:val="00A3687C"/>
    <w:rsid w:val="00A36B15"/>
    <w:rsid w:val="00A36D19"/>
    <w:rsid w:val="00A3713B"/>
    <w:rsid w:val="00A3742C"/>
    <w:rsid w:val="00A376EB"/>
    <w:rsid w:val="00A37CF6"/>
    <w:rsid w:val="00A37D33"/>
    <w:rsid w:val="00A403A4"/>
    <w:rsid w:val="00A4094B"/>
    <w:rsid w:val="00A40A13"/>
    <w:rsid w:val="00A40EA1"/>
    <w:rsid w:val="00A4194E"/>
    <w:rsid w:val="00A41D3F"/>
    <w:rsid w:val="00A41F76"/>
    <w:rsid w:val="00A42009"/>
    <w:rsid w:val="00A426A6"/>
    <w:rsid w:val="00A42B18"/>
    <w:rsid w:val="00A431B0"/>
    <w:rsid w:val="00A4324B"/>
    <w:rsid w:val="00A433C0"/>
    <w:rsid w:val="00A434AC"/>
    <w:rsid w:val="00A438EE"/>
    <w:rsid w:val="00A43A57"/>
    <w:rsid w:val="00A43B38"/>
    <w:rsid w:val="00A43BFE"/>
    <w:rsid w:val="00A444BD"/>
    <w:rsid w:val="00A446A9"/>
    <w:rsid w:val="00A44FEF"/>
    <w:rsid w:val="00A450ED"/>
    <w:rsid w:val="00A45269"/>
    <w:rsid w:val="00A4528D"/>
    <w:rsid w:val="00A4551F"/>
    <w:rsid w:val="00A461C9"/>
    <w:rsid w:val="00A46CAE"/>
    <w:rsid w:val="00A477E9"/>
    <w:rsid w:val="00A4789B"/>
    <w:rsid w:val="00A47AAF"/>
    <w:rsid w:val="00A47B47"/>
    <w:rsid w:val="00A47D49"/>
    <w:rsid w:val="00A47DF5"/>
    <w:rsid w:val="00A502C5"/>
    <w:rsid w:val="00A50659"/>
    <w:rsid w:val="00A50C41"/>
    <w:rsid w:val="00A51113"/>
    <w:rsid w:val="00A5125E"/>
    <w:rsid w:val="00A519F9"/>
    <w:rsid w:val="00A51CE3"/>
    <w:rsid w:val="00A51DDD"/>
    <w:rsid w:val="00A523AC"/>
    <w:rsid w:val="00A5261E"/>
    <w:rsid w:val="00A528EB"/>
    <w:rsid w:val="00A52C6E"/>
    <w:rsid w:val="00A52EB3"/>
    <w:rsid w:val="00A531C8"/>
    <w:rsid w:val="00A533C3"/>
    <w:rsid w:val="00A53534"/>
    <w:rsid w:val="00A5435B"/>
    <w:rsid w:val="00A54B34"/>
    <w:rsid w:val="00A553DF"/>
    <w:rsid w:val="00A554B5"/>
    <w:rsid w:val="00A556EF"/>
    <w:rsid w:val="00A55BC9"/>
    <w:rsid w:val="00A55D50"/>
    <w:rsid w:val="00A56625"/>
    <w:rsid w:val="00A56F82"/>
    <w:rsid w:val="00A5709B"/>
    <w:rsid w:val="00A573AA"/>
    <w:rsid w:val="00A57735"/>
    <w:rsid w:val="00A57EC1"/>
    <w:rsid w:val="00A602E4"/>
    <w:rsid w:val="00A604F6"/>
    <w:rsid w:val="00A60CE1"/>
    <w:rsid w:val="00A60CF8"/>
    <w:rsid w:val="00A60F1F"/>
    <w:rsid w:val="00A60F43"/>
    <w:rsid w:val="00A60FC9"/>
    <w:rsid w:val="00A615C2"/>
    <w:rsid w:val="00A6178B"/>
    <w:rsid w:val="00A618B4"/>
    <w:rsid w:val="00A61928"/>
    <w:rsid w:val="00A6259E"/>
    <w:rsid w:val="00A62660"/>
    <w:rsid w:val="00A62782"/>
    <w:rsid w:val="00A6312F"/>
    <w:rsid w:val="00A631B3"/>
    <w:rsid w:val="00A63ACB"/>
    <w:rsid w:val="00A64102"/>
    <w:rsid w:val="00A64191"/>
    <w:rsid w:val="00A642FB"/>
    <w:rsid w:val="00A644E7"/>
    <w:rsid w:val="00A645DC"/>
    <w:rsid w:val="00A64CC4"/>
    <w:rsid w:val="00A65F7E"/>
    <w:rsid w:val="00A66E82"/>
    <w:rsid w:val="00A6746C"/>
    <w:rsid w:val="00A6778E"/>
    <w:rsid w:val="00A6779B"/>
    <w:rsid w:val="00A677BB"/>
    <w:rsid w:val="00A6788A"/>
    <w:rsid w:val="00A67A4F"/>
    <w:rsid w:val="00A67BB9"/>
    <w:rsid w:val="00A701B9"/>
    <w:rsid w:val="00A70D03"/>
    <w:rsid w:val="00A70DAF"/>
    <w:rsid w:val="00A70F46"/>
    <w:rsid w:val="00A71BCC"/>
    <w:rsid w:val="00A72D73"/>
    <w:rsid w:val="00A73099"/>
    <w:rsid w:val="00A73B72"/>
    <w:rsid w:val="00A742C4"/>
    <w:rsid w:val="00A74359"/>
    <w:rsid w:val="00A743FA"/>
    <w:rsid w:val="00A748D4"/>
    <w:rsid w:val="00A74ADE"/>
    <w:rsid w:val="00A74EC1"/>
    <w:rsid w:val="00A75210"/>
    <w:rsid w:val="00A752E2"/>
    <w:rsid w:val="00A758B0"/>
    <w:rsid w:val="00A75918"/>
    <w:rsid w:val="00A75EA9"/>
    <w:rsid w:val="00A76520"/>
    <w:rsid w:val="00A766B8"/>
    <w:rsid w:val="00A769DF"/>
    <w:rsid w:val="00A77A06"/>
    <w:rsid w:val="00A803BC"/>
    <w:rsid w:val="00A805BA"/>
    <w:rsid w:val="00A80BFC"/>
    <w:rsid w:val="00A80C99"/>
    <w:rsid w:val="00A80D78"/>
    <w:rsid w:val="00A81424"/>
    <w:rsid w:val="00A81598"/>
    <w:rsid w:val="00A81B18"/>
    <w:rsid w:val="00A81FBC"/>
    <w:rsid w:val="00A826E1"/>
    <w:rsid w:val="00A82934"/>
    <w:rsid w:val="00A82C02"/>
    <w:rsid w:val="00A835A6"/>
    <w:rsid w:val="00A835AB"/>
    <w:rsid w:val="00A83DF1"/>
    <w:rsid w:val="00A84253"/>
    <w:rsid w:val="00A844C9"/>
    <w:rsid w:val="00A84690"/>
    <w:rsid w:val="00A84939"/>
    <w:rsid w:val="00A84994"/>
    <w:rsid w:val="00A84C25"/>
    <w:rsid w:val="00A84FD8"/>
    <w:rsid w:val="00A85037"/>
    <w:rsid w:val="00A851A3"/>
    <w:rsid w:val="00A8566C"/>
    <w:rsid w:val="00A85CC7"/>
    <w:rsid w:val="00A86583"/>
    <w:rsid w:val="00A86D7B"/>
    <w:rsid w:val="00A86E35"/>
    <w:rsid w:val="00A871CB"/>
    <w:rsid w:val="00A878E5"/>
    <w:rsid w:val="00A90338"/>
    <w:rsid w:val="00A904FD"/>
    <w:rsid w:val="00A90936"/>
    <w:rsid w:val="00A909EB"/>
    <w:rsid w:val="00A90C9F"/>
    <w:rsid w:val="00A9128B"/>
    <w:rsid w:val="00A918ED"/>
    <w:rsid w:val="00A91CAC"/>
    <w:rsid w:val="00A92677"/>
    <w:rsid w:val="00A9273C"/>
    <w:rsid w:val="00A934DB"/>
    <w:rsid w:val="00A93A5E"/>
    <w:rsid w:val="00A93AE7"/>
    <w:rsid w:val="00A94A79"/>
    <w:rsid w:val="00A94B62"/>
    <w:rsid w:val="00A9520A"/>
    <w:rsid w:val="00A95A54"/>
    <w:rsid w:val="00A95A94"/>
    <w:rsid w:val="00A95B09"/>
    <w:rsid w:val="00A95C6B"/>
    <w:rsid w:val="00A95EC2"/>
    <w:rsid w:val="00A95FFD"/>
    <w:rsid w:val="00A96394"/>
    <w:rsid w:val="00A96747"/>
    <w:rsid w:val="00A96784"/>
    <w:rsid w:val="00A968B0"/>
    <w:rsid w:val="00A969EE"/>
    <w:rsid w:val="00A96AF9"/>
    <w:rsid w:val="00A972C5"/>
    <w:rsid w:val="00A974FF"/>
    <w:rsid w:val="00A97862"/>
    <w:rsid w:val="00A97ABE"/>
    <w:rsid w:val="00AA0167"/>
    <w:rsid w:val="00AA02E5"/>
    <w:rsid w:val="00AA06E7"/>
    <w:rsid w:val="00AA06ED"/>
    <w:rsid w:val="00AA0E53"/>
    <w:rsid w:val="00AA0ED9"/>
    <w:rsid w:val="00AA0F89"/>
    <w:rsid w:val="00AA261A"/>
    <w:rsid w:val="00AA2CC1"/>
    <w:rsid w:val="00AA2E15"/>
    <w:rsid w:val="00AA3312"/>
    <w:rsid w:val="00AA3B40"/>
    <w:rsid w:val="00AA3F82"/>
    <w:rsid w:val="00AA42A6"/>
    <w:rsid w:val="00AA465F"/>
    <w:rsid w:val="00AA46F6"/>
    <w:rsid w:val="00AA47B6"/>
    <w:rsid w:val="00AA5053"/>
    <w:rsid w:val="00AA52A4"/>
    <w:rsid w:val="00AA6482"/>
    <w:rsid w:val="00AA6D3D"/>
    <w:rsid w:val="00AA7079"/>
    <w:rsid w:val="00AA719C"/>
    <w:rsid w:val="00AA757A"/>
    <w:rsid w:val="00AB0420"/>
    <w:rsid w:val="00AB0543"/>
    <w:rsid w:val="00AB1ED1"/>
    <w:rsid w:val="00AB2F80"/>
    <w:rsid w:val="00AB33C5"/>
    <w:rsid w:val="00AB370B"/>
    <w:rsid w:val="00AB3C8E"/>
    <w:rsid w:val="00AB3DCB"/>
    <w:rsid w:val="00AB477C"/>
    <w:rsid w:val="00AB487A"/>
    <w:rsid w:val="00AB4E90"/>
    <w:rsid w:val="00AB6199"/>
    <w:rsid w:val="00AB63C2"/>
    <w:rsid w:val="00AB67AD"/>
    <w:rsid w:val="00AB767E"/>
    <w:rsid w:val="00AC0AA5"/>
    <w:rsid w:val="00AC1429"/>
    <w:rsid w:val="00AC1A3F"/>
    <w:rsid w:val="00AC1C37"/>
    <w:rsid w:val="00AC1D53"/>
    <w:rsid w:val="00AC1E01"/>
    <w:rsid w:val="00AC1F7B"/>
    <w:rsid w:val="00AC28F8"/>
    <w:rsid w:val="00AC29DD"/>
    <w:rsid w:val="00AC3471"/>
    <w:rsid w:val="00AC3E0D"/>
    <w:rsid w:val="00AC447A"/>
    <w:rsid w:val="00AC449A"/>
    <w:rsid w:val="00AC4951"/>
    <w:rsid w:val="00AC49C0"/>
    <w:rsid w:val="00AC4CAB"/>
    <w:rsid w:val="00AC5830"/>
    <w:rsid w:val="00AC5B5F"/>
    <w:rsid w:val="00AC5F94"/>
    <w:rsid w:val="00AC7463"/>
    <w:rsid w:val="00AC798A"/>
    <w:rsid w:val="00AD075F"/>
    <w:rsid w:val="00AD07A6"/>
    <w:rsid w:val="00AD0B2F"/>
    <w:rsid w:val="00AD1310"/>
    <w:rsid w:val="00AD1608"/>
    <w:rsid w:val="00AD17F5"/>
    <w:rsid w:val="00AD1DB2"/>
    <w:rsid w:val="00AD224C"/>
    <w:rsid w:val="00AD22BD"/>
    <w:rsid w:val="00AD230A"/>
    <w:rsid w:val="00AD25A7"/>
    <w:rsid w:val="00AD2D77"/>
    <w:rsid w:val="00AD2EE1"/>
    <w:rsid w:val="00AD31D4"/>
    <w:rsid w:val="00AD37EA"/>
    <w:rsid w:val="00AD3A1E"/>
    <w:rsid w:val="00AD4560"/>
    <w:rsid w:val="00AD465E"/>
    <w:rsid w:val="00AD4789"/>
    <w:rsid w:val="00AD4D06"/>
    <w:rsid w:val="00AD4E86"/>
    <w:rsid w:val="00AD5216"/>
    <w:rsid w:val="00AD546C"/>
    <w:rsid w:val="00AD5C55"/>
    <w:rsid w:val="00AD5E05"/>
    <w:rsid w:val="00AD60D4"/>
    <w:rsid w:val="00AD6482"/>
    <w:rsid w:val="00AD6980"/>
    <w:rsid w:val="00AD786E"/>
    <w:rsid w:val="00AE0210"/>
    <w:rsid w:val="00AE0424"/>
    <w:rsid w:val="00AE05C3"/>
    <w:rsid w:val="00AE0A90"/>
    <w:rsid w:val="00AE1509"/>
    <w:rsid w:val="00AE17B6"/>
    <w:rsid w:val="00AE21D9"/>
    <w:rsid w:val="00AE2268"/>
    <w:rsid w:val="00AE2286"/>
    <w:rsid w:val="00AE337C"/>
    <w:rsid w:val="00AE37CB"/>
    <w:rsid w:val="00AE3D49"/>
    <w:rsid w:val="00AE3E09"/>
    <w:rsid w:val="00AE4636"/>
    <w:rsid w:val="00AE475D"/>
    <w:rsid w:val="00AE49D5"/>
    <w:rsid w:val="00AE4E15"/>
    <w:rsid w:val="00AE4E18"/>
    <w:rsid w:val="00AE5124"/>
    <w:rsid w:val="00AE534B"/>
    <w:rsid w:val="00AE54AB"/>
    <w:rsid w:val="00AE5B22"/>
    <w:rsid w:val="00AE5C1E"/>
    <w:rsid w:val="00AE6370"/>
    <w:rsid w:val="00AE6664"/>
    <w:rsid w:val="00AE670F"/>
    <w:rsid w:val="00AE682E"/>
    <w:rsid w:val="00AE7001"/>
    <w:rsid w:val="00AE762D"/>
    <w:rsid w:val="00AE7892"/>
    <w:rsid w:val="00AE7BE7"/>
    <w:rsid w:val="00AE7D4F"/>
    <w:rsid w:val="00AF0427"/>
    <w:rsid w:val="00AF0536"/>
    <w:rsid w:val="00AF05F9"/>
    <w:rsid w:val="00AF068C"/>
    <w:rsid w:val="00AF0BB2"/>
    <w:rsid w:val="00AF0E19"/>
    <w:rsid w:val="00AF0F8E"/>
    <w:rsid w:val="00AF1318"/>
    <w:rsid w:val="00AF1B63"/>
    <w:rsid w:val="00AF1B96"/>
    <w:rsid w:val="00AF1CFC"/>
    <w:rsid w:val="00AF24E4"/>
    <w:rsid w:val="00AF3FA7"/>
    <w:rsid w:val="00AF42A6"/>
    <w:rsid w:val="00AF4311"/>
    <w:rsid w:val="00AF4A54"/>
    <w:rsid w:val="00AF4DE8"/>
    <w:rsid w:val="00AF4E6F"/>
    <w:rsid w:val="00AF544E"/>
    <w:rsid w:val="00AF56BB"/>
    <w:rsid w:val="00AF589B"/>
    <w:rsid w:val="00AF59A1"/>
    <w:rsid w:val="00AF5C27"/>
    <w:rsid w:val="00AF5C95"/>
    <w:rsid w:val="00AF606F"/>
    <w:rsid w:val="00AF679E"/>
    <w:rsid w:val="00AF6EDB"/>
    <w:rsid w:val="00AF7130"/>
    <w:rsid w:val="00AF76C8"/>
    <w:rsid w:val="00B0020B"/>
    <w:rsid w:val="00B0041D"/>
    <w:rsid w:val="00B00560"/>
    <w:rsid w:val="00B005B1"/>
    <w:rsid w:val="00B00B36"/>
    <w:rsid w:val="00B00D8B"/>
    <w:rsid w:val="00B00DB9"/>
    <w:rsid w:val="00B00FEB"/>
    <w:rsid w:val="00B01339"/>
    <w:rsid w:val="00B0194E"/>
    <w:rsid w:val="00B01BC6"/>
    <w:rsid w:val="00B01FA1"/>
    <w:rsid w:val="00B02358"/>
    <w:rsid w:val="00B02DB9"/>
    <w:rsid w:val="00B032A7"/>
    <w:rsid w:val="00B03AD5"/>
    <w:rsid w:val="00B04271"/>
    <w:rsid w:val="00B0470A"/>
    <w:rsid w:val="00B04736"/>
    <w:rsid w:val="00B04F7E"/>
    <w:rsid w:val="00B05B58"/>
    <w:rsid w:val="00B06933"/>
    <w:rsid w:val="00B06D85"/>
    <w:rsid w:val="00B06E78"/>
    <w:rsid w:val="00B06FE7"/>
    <w:rsid w:val="00B07910"/>
    <w:rsid w:val="00B07FDF"/>
    <w:rsid w:val="00B10613"/>
    <w:rsid w:val="00B10C31"/>
    <w:rsid w:val="00B1113A"/>
    <w:rsid w:val="00B1182A"/>
    <w:rsid w:val="00B11DD8"/>
    <w:rsid w:val="00B12236"/>
    <w:rsid w:val="00B12269"/>
    <w:rsid w:val="00B12BDB"/>
    <w:rsid w:val="00B13605"/>
    <w:rsid w:val="00B13AFC"/>
    <w:rsid w:val="00B13C30"/>
    <w:rsid w:val="00B13CC2"/>
    <w:rsid w:val="00B13D11"/>
    <w:rsid w:val="00B1406D"/>
    <w:rsid w:val="00B1420F"/>
    <w:rsid w:val="00B14CF0"/>
    <w:rsid w:val="00B152CC"/>
    <w:rsid w:val="00B15865"/>
    <w:rsid w:val="00B158D4"/>
    <w:rsid w:val="00B159BA"/>
    <w:rsid w:val="00B15AF1"/>
    <w:rsid w:val="00B15D1C"/>
    <w:rsid w:val="00B162C5"/>
    <w:rsid w:val="00B1681C"/>
    <w:rsid w:val="00B16D3B"/>
    <w:rsid w:val="00B1727D"/>
    <w:rsid w:val="00B17A74"/>
    <w:rsid w:val="00B17A9C"/>
    <w:rsid w:val="00B17CA9"/>
    <w:rsid w:val="00B2015B"/>
    <w:rsid w:val="00B208DC"/>
    <w:rsid w:val="00B20C03"/>
    <w:rsid w:val="00B21548"/>
    <w:rsid w:val="00B21784"/>
    <w:rsid w:val="00B2178B"/>
    <w:rsid w:val="00B21842"/>
    <w:rsid w:val="00B2189C"/>
    <w:rsid w:val="00B21F2E"/>
    <w:rsid w:val="00B221C2"/>
    <w:rsid w:val="00B224AD"/>
    <w:rsid w:val="00B22829"/>
    <w:rsid w:val="00B22B99"/>
    <w:rsid w:val="00B22F75"/>
    <w:rsid w:val="00B24CEF"/>
    <w:rsid w:val="00B24DA5"/>
    <w:rsid w:val="00B255DC"/>
    <w:rsid w:val="00B2608B"/>
    <w:rsid w:val="00B26129"/>
    <w:rsid w:val="00B2660E"/>
    <w:rsid w:val="00B26759"/>
    <w:rsid w:val="00B2689E"/>
    <w:rsid w:val="00B26B8D"/>
    <w:rsid w:val="00B26BD8"/>
    <w:rsid w:val="00B271D8"/>
    <w:rsid w:val="00B27273"/>
    <w:rsid w:val="00B275EF"/>
    <w:rsid w:val="00B27B16"/>
    <w:rsid w:val="00B27C78"/>
    <w:rsid w:val="00B300ED"/>
    <w:rsid w:val="00B303B0"/>
    <w:rsid w:val="00B305E9"/>
    <w:rsid w:val="00B30679"/>
    <w:rsid w:val="00B30680"/>
    <w:rsid w:val="00B31681"/>
    <w:rsid w:val="00B31D5F"/>
    <w:rsid w:val="00B32296"/>
    <w:rsid w:val="00B32450"/>
    <w:rsid w:val="00B32F2D"/>
    <w:rsid w:val="00B33FDF"/>
    <w:rsid w:val="00B3436F"/>
    <w:rsid w:val="00B34435"/>
    <w:rsid w:val="00B346FA"/>
    <w:rsid w:val="00B34B54"/>
    <w:rsid w:val="00B34D2E"/>
    <w:rsid w:val="00B3511E"/>
    <w:rsid w:val="00B357D8"/>
    <w:rsid w:val="00B3583F"/>
    <w:rsid w:val="00B359C9"/>
    <w:rsid w:val="00B35A4B"/>
    <w:rsid w:val="00B35BF2"/>
    <w:rsid w:val="00B3631D"/>
    <w:rsid w:val="00B37364"/>
    <w:rsid w:val="00B37530"/>
    <w:rsid w:val="00B3756A"/>
    <w:rsid w:val="00B37612"/>
    <w:rsid w:val="00B37E95"/>
    <w:rsid w:val="00B37FBF"/>
    <w:rsid w:val="00B40571"/>
    <w:rsid w:val="00B414E0"/>
    <w:rsid w:val="00B41668"/>
    <w:rsid w:val="00B419A0"/>
    <w:rsid w:val="00B41C76"/>
    <w:rsid w:val="00B41FD2"/>
    <w:rsid w:val="00B425B4"/>
    <w:rsid w:val="00B42760"/>
    <w:rsid w:val="00B42B7E"/>
    <w:rsid w:val="00B42C90"/>
    <w:rsid w:val="00B42D1F"/>
    <w:rsid w:val="00B42D45"/>
    <w:rsid w:val="00B42EDE"/>
    <w:rsid w:val="00B431EB"/>
    <w:rsid w:val="00B43E45"/>
    <w:rsid w:val="00B43E99"/>
    <w:rsid w:val="00B44160"/>
    <w:rsid w:val="00B4418B"/>
    <w:rsid w:val="00B442DF"/>
    <w:rsid w:val="00B4471E"/>
    <w:rsid w:val="00B44A73"/>
    <w:rsid w:val="00B44D1C"/>
    <w:rsid w:val="00B44EFF"/>
    <w:rsid w:val="00B45271"/>
    <w:rsid w:val="00B4598A"/>
    <w:rsid w:val="00B45D10"/>
    <w:rsid w:val="00B45FBB"/>
    <w:rsid w:val="00B47736"/>
    <w:rsid w:val="00B47C2E"/>
    <w:rsid w:val="00B47CB9"/>
    <w:rsid w:val="00B47CDD"/>
    <w:rsid w:val="00B47DD0"/>
    <w:rsid w:val="00B50222"/>
    <w:rsid w:val="00B507B6"/>
    <w:rsid w:val="00B50B32"/>
    <w:rsid w:val="00B51236"/>
    <w:rsid w:val="00B51546"/>
    <w:rsid w:val="00B51B95"/>
    <w:rsid w:val="00B51C9B"/>
    <w:rsid w:val="00B51ED0"/>
    <w:rsid w:val="00B52279"/>
    <w:rsid w:val="00B524DC"/>
    <w:rsid w:val="00B52BD7"/>
    <w:rsid w:val="00B538E3"/>
    <w:rsid w:val="00B53B10"/>
    <w:rsid w:val="00B53D0A"/>
    <w:rsid w:val="00B53DDF"/>
    <w:rsid w:val="00B54046"/>
    <w:rsid w:val="00B54AF1"/>
    <w:rsid w:val="00B54DEC"/>
    <w:rsid w:val="00B54EDB"/>
    <w:rsid w:val="00B551A0"/>
    <w:rsid w:val="00B55751"/>
    <w:rsid w:val="00B55D1F"/>
    <w:rsid w:val="00B55D40"/>
    <w:rsid w:val="00B56386"/>
    <w:rsid w:val="00B56891"/>
    <w:rsid w:val="00B57288"/>
    <w:rsid w:val="00B57313"/>
    <w:rsid w:val="00B57519"/>
    <w:rsid w:val="00B5752B"/>
    <w:rsid w:val="00B57627"/>
    <w:rsid w:val="00B60669"/>
    <w:rsid w:val="00B6101E"/>
    <w:rsid w:val="00B61810"/>
    <w:rsid w:val="00B6192F"/>
    <w:rsid w:val="00B61A0E"/>
    <w:rsid w:val="00B61C01"/>
    <w:rsid w:val="00B61C13"/>
    <w:rsid w:val="00B61E15"/>
    <w:rsid w:val="00B61FDD"/>
    <w:rsid w:val="00B62152"/>
    <w:rsid w:val="00B624CF"/>
    <w:rsid w:val="00B62796"/>
    <w:rsid w:val="00B6298E"/>
    <w:rsid w:val="00B62A97"/>
    <w:rsid w:val="00B62F30"/>
    <w:rsid w:val="00B6402B"/>
    <w:rsid w:val="00B644CF"/>
    <w:rsid w:val="00B64B13"/>
    <w:rsid w:val="00B64EA4"/>
    <w:rsid w:val="00B64F78"/>
    <w:rsid w:val="00B6540B"/>
    <w:rsid w:val="00B65486"/>
    <w:rsid w:val="00B65889"/>
    <w:rsid w:val="00B65A6B"/>
    <w:rsid w:val="00B65FCF"/>
    <w:rsid w:val="00B66181"/>
    <w:rsid w:val="00B66F45"/>
    <w:rsid w:val="00B670B1"/>
    <w:rsid w:val="00B67214"/>
    <w:rsid w:val="00B67338"/>
    <w:rsid w:val="00B67355"/>
    <w:rsid w:val="00B673EB"/>
    <w:rsid w:val="00B67617"/>
    <w:rsid w:val="00B67643"/>
    <w:rsid w:val="00B676B6"/>
    <w:rsid w:val="00B678A7"/>
    <w:rsid w:val="00B67C9B"/>
    <w:rsid w:val="00B67D9D"/>
    <w:rsid w:val="00B70A0A"/>
    <w:rsid w:val="00B70C4D"/>
    <w:rsid w:val="00B70C9E"/>
    <w:rsid w:val="00B7112E"/>
    <w:rsid w:val="00B71160"/>
    <w:rsid w:val="00B71514"/>
    <w:rsid w:val="00B71676"/>
    <w:rsid w:val="00B71AEE"/>
    <w:rsid w:val="00B722FA"/>
    <w:rsid w:val="00B723E7"/>
    <w:rsid w:val="00B7254E"/>
    <w:rsid w:val="00B72A40"/>
    <w:rsid w:val="00B72B1E"/>
    <w:rsid w:val="00B72E50"/>
    <w:rsid w:val="00B72E8F"/>
    <w:rsid w:val="00B72F6B"/>
    <w:rsid w:val="00B734C6"/>
    <w:rsid w:val="00B7374F"/>
    <w:rsid w:val="00B73BBD"/>
    <w:rsid w:val="00B73C67"/>
    <w:rsid w:val="00B74CC9"/>
    <w:rsid w:val="00B74D08"/>
    <w:rsid w:val="00B75104"/>
    <w:rsid w:val="00B75136"/>
    <w:rsid w:val="00B75168"/>
    <w:rsid w:val="00B75BE9"/>
    <w:rsid w:val="00B75CE3"/>
    <w:rsid w:val="00B75F30"/>
    <w:rsid w:val="00B76D31"/>
    <w:rsid w:val="00B77206"/>
    <w:rsid w:val="00B7757F"/>
    <w:rsid w:val="00B779A2"/>
    <w:rsid w:val="00B77D95"/>
    <w:rsid w:val="00B800F0"/>
    <w:rsid w:val="00B8011E"/>
    <w:rsid w:val="00B80782"/>
    <w:rsid w:val="00B80F61"/>
    <w:rsid w:val="00B81F0D"/>
    <w:rsid w:val="00B81F4F"/>
    <w:rsid w:val="00B82ABB"/>
    <w:rsid w:val="00B82B3B"/>
    <w:rsid w:val="00B82C2D"/>
    <w:rsid w:val="00B833CA"/>
    <w:rsid w:val="00B83408"/>
    <w:rsid w:val="00B834C9"/>
    <w:rsid w:val="00B83F7E"/>
    <w:rsid w:val="00B84C13"/>
    <w:rsid w:val="00B84D02"/>
    <w:rsid w:val="00B84F96"/>
    <w:rsid w:val="00B85372"/>
    <w:rsid w:val="00B857CF"/>
    <w:rsid w:val="00B86184"/>
    <w:rsid w:val="00B8624D"/>
    <w:rsid w:val="00B867F8"/>
    <w:rsid w:val="00B8697E"/>
    <w:rsid w:val="00B86C72"/>
    <w:rsid w:val="00B870F5"/>
    <w:rsid w:val="00B870F7"/>
    <w:rsid w:val="00B9069C"/>
    <w:rsid w:val="00B90A9F"/>
    <w:rsid w:val="00B90B0D"/>
    <w:rsid w:val="00B90B5B"/>
    <w:rsid w:val="00B90B97"/>
    <w:rsid w:val="00B90E2C"/>
    <w:rsid w:val="00B90E4D"/>
    <w:rsid w:val="00B91566"/>
    <w:rsid w:val="00B91921"/>
    <w:rsid w:val="00B9198F"/>
    <w:rsid w:val="00B919E3"/>
    <w:rsid w:val="00B919E9"/>
    <w:rsid w:val="00B920FE"/>
    <w:rsid w:val="00B921BD"/>
    <w:rsid w:val="00B922C7"/>
    <w:rsid w:val="00B92C9C"/>
    <w:rsid w:val="00B930C5"/>
    <w:rsid w:val="00B930C9"/>
    <w:rsid w:val="00B93549"/>
    <w:rsid w:val="00B93FB4"/>
    <w:rsid w:val="00B94034"/>
    <w:rsid w:val="00B94752"/>
    <w:rsid w:val="00B94B5E"/>
    <w:rsid w:val="00B94DAA"/>
    <w:rsid w:val="00B94F0A"/>
    <w:rsid w:val="00B95401"/>
    <w:rsid w:val="00B9552D"/>
    <w:rsid w:val="00B95954"/>
    <w:rsid w:val="00B95D34"/>
    <w:rsid w:val="00B9691F"/>
    <w:rsid w:val="00B96FAC"/>
    <w:rsid w:val="00B970CC"/>
    <w:rsid w:val="00B97C11"/>
    <w:rsid w:val="00B97E86"/>
    <w:rsid w:val="00B97EA9"/>
    <w:rsid w:val="00B97EB9"/>
    <w:rsid w:val="00B97ECE"/>
    <w:rsid w:val="00BA02A3"/>
    <w:rsid w:val="00BA02CC"/>
    <w:rsid w:val="00BA031B"/>
    <w:rsid w:val="00BA04C9"/>
    <w:rsid w:val="00BA05EC"/>
    <w:rsid w:val="00BA0698"/>
    <w:rsid w:val="00BA1489"/>
    <w:rsid w:val="00BA18FF"/>
    <w:rsid w:val="00BA1BD9"/>
    <w:rsid w:val="00BA2173"/>
    <w:rsid w:val="00BA252F"/>
    <w:rsid w:val="00BA281C"/>
    <w:rsid w:val="00BA2973"/>
    <w:rsid w:val="00BA2F14"/>
    <w:rsid w:val="00BA34C8"/>
    <w:rsid w:val="00BA3514"/>
    <w:rsid w:val="00BA379E"/>
    <w:rsid w:val="00BA3B20"/>
    <w:rsid w:val="00BA4829"/>
    <w:rsid w:val="00BA4854"/>
    <w:rsid w:val="00BA50D0"/>
    <w:rsid w:val="00BA5280"/>
    <w:rsid w:val="00BA59CC"/>
    <w:rsid w:val="00BA5BC7"/>
    <w:rsid w:val="00BA63F4"/>
    <w:rsid w:val="00BA6675"/>
    <w:rsid w:val="00BA6D49"/>
    <w:rsid w:val="00BA71BD"/>
    <w:rsid w:val="00BA76DF"/>
    <w:rsid w:val="00BA7812"/>
    <w:rsid w:val="00BB0389"/>
    <w:rsid w:val="00BB04EF"/>
    <w:rsid w:val="00BB0BCA"/>
    <w:rsid w:val="00BB0D83"/>
    <w:rsid w:val="00BB103C"/>
    <w:rsid w:val="00BB1738"/>
    <w:rsid w:val="00BB1A6F"/>
    <w:rsid w:val="00BB1ED3"/>
    <w:rsid w:val="00BB2195"/>
    <w:rsid w:val="00BB2FA2"/>
    <w:rsid w:val="00BB3463"/>
    <w:rsid w:val="00BB3591"/>
    <w:rsid w:val="00BB3609"/>
    <w:rsid w:val="00BB3D03"/>
    <w:rsid w:val="00BB3E05"/>
    <w:rsid w:val="00BB3F2A"/>
    <w:rsid w:val="00BB4DF6"/>
    <w:rsid w:val="00BB51CE"/>
    <w:rsid w:val="00BB542D"/>
    <w:rsid w:val="00BB544B"/>
    <w:rsid w:val="00BB5A74"/>
    <w:rsid w:val="00BB614D"/>
    <w:rsid w:val="00BB6273"/>
    <w:rsid w:val="00BB6449"/>
    <w:rsid w:val="00BB6856"/>
    <w:rsid w:val="00BB68BA"/>
    <w:rsid w:val="00BB68D1"/>
    <w:rsid w:val="00BB6D1D"/>
    <w:rsid w:val="00BB720E"/>
    <w:rsid w:val="00BB7351"/>
    <w:rsid w:val="00BB7747"/>
    <w:rsid w:val="00BB7A35"/>
    <w:rsid w:val="00BB7AE3"/>
    <w:rsid w:val="00BB7B73"/>
    <w:rsid w:val="00BB7C90"/>
    <w:rsid w:val="00BC058C"/>
    <w:rsid w:val="00BC0D7F"/>
    <w:rsid w:val="00BC1AA0"/>
    <w:rsid w:val="00BC1D71"/>
    <w:rsid w:val="00BC1DDD"/>
    <w:rsid w:val="00BC1F1D"/>
    <w:rsid w:val="00BC2205"/>
    <w:rsid w:val="00BC2A84"/>
    <w:rsid w:val="00BC2B10"/>
    <w:rsid w:val="00BC2C68"/>
    <w:rsid w:val="00BC2F67"/>
    <w:rsid w:val="00BC30C0"/>
    <w:rsid w:val="00BC3567"/>
    <w:rsid w:val="00BC3575"/>
    <w:rsid w:val="00BC38B0"/>
    <w:rsid w:val="00BC38FC"/>
    <w:rsid w:val="00BC3C43"/>
    <w:rsid w:val="00BC54EC"/>
    <w:rsid w:val="00BC5526"/>
    <w:rsid w:val="00BC564C"/>
    <w:rsid w:val="00BC5C54"/>
    <w:rsid w:val="00BC5E14"/>
    <w:rsid w:val="00BC62FA"/>
    <w:rsid w:val="00BC6545"/>
    <w:rsid w:val="00BC6886"/>
    <w:rsid w:val="00BC72BE"/>
    <w:rsid w:val="00BC75E4"/>
    <w:rsid w:val="00BC7628"/>
    <w:rsid w:val="00BC7C37"/>
    <w:rsid w:val="00BD0631"/>
    <w:rsid w:val="00BD074E"/>
    <w:rsid w:val="00BD0881"/>
    <w:rsid w:val="00BD09EA"/>
    <w:rsid w:val="00BD0A17"/>
    <w:rsid w:val="00BD0A61"/>
    <w:rsid w:val="00BD0E82"/>
    <w:rsid w:val="00BD1519"/>
    <w:rsid w:val="00BD1B52"/>
    <w:rsid w:val="00BD1D86"/>
    <w:rsid w:val="00BD1D8F"/>
    <w:rsid w:val="00BD1F1D"/>
    <w:rsid w:val="00BD219F"/>
    <w:rsid w:val="00BD2B01"/>
    <w:rsid w:val="00BD2F7A"/>
    <w:rsid w:val="00BD3AF1"/>
    <w:rsid w:val="00BD3D9A"/>
    <w:rsid w:val="00BD3DE9"/>
    <w:rsid w:val="00BD43EE"/>
    <w:rsid w:val="00BD45EB"/>
    <w:rsid w:val="00BD4A7A"/>
    <w:rsid w:val="00BD4B2C"/>
    <w:rsid w:val="00BD533B"/>
    <w:rsid w:val="00BD5D53"/>
    <w:rsid w:val="00BD5D80"/>
    <w:rsid w:val="00BD60C8"/>
    <w:rsid w:val="00BD62EC"/>
    <w:rsid w:val="00BD642D"/>
    <w:rsid w:val="00BD65DF"/>
    <w:rsid w:val="00BD6737"/>
    <w:rsid w:val="00BD6B04"/>
    <w:rsid w:val="00BD6D46"/>
    <w:rsid w:val="00BE029C"/>
    <w:rsid w:val="00BE03CB"/>
    <w:rsid w:val="00BE047E"/>
    <w:rsid w:val="00BE14D5"/>
    <w:rsid w:val="00BE1ED7"/>
    <w:rsid w:val="00BE251D"/>
    <w:rsid w:val="00BE2733"/>
    <w:rsid w:val="00BE2ECC"/>
    <w:rsid w:val="00BE2F94"/>
    <w:rsid w:val="00BE3FD0"/>
    <w:rsid w:val="00BE40FE"/>
    <w:rsid w:val="00BE4394"/>
    <w:rsid w:val="00BE4475"/>
    <w:rsid w:val="00BE4F40"/>
    <w:rsid w:val="00BE4F59"/>
    <w:rsid w:val="00BE517D"/>
    <w:rsid w:val="00BE5D1F"/>
    <w:rsid w:val="00BE5E7A"/>
    <w:rsid w:val="00BE617E"/>
    <w:rsid w:val="00BE6B6C"/>
    <w:rsid w:val="00BE6BE2"/>
    <w:rsid w:val="00BE6E9B"/>
    <w:rsid w:val="00BE6EA0"/>
    <w:rsid w:val="00BE7001"/>
    <w:rsid w:val="00BE76AD"/>
    <w:rsid w:val="00BE7B53"/>
    <w:rsid w:val="00BF0167"/>
    <w:rsid w:val="00BF0435"/>
    <w:rsid w:val="00BF05C2"/>
    <w:rsid w:val="00BF08EA"/>
    <w:rsid w:val="00BF0A6B"/>
    <w:rsid w:val="00BF0BA7"/>
    <w:rsid w:val="00BF1AA8"/>
    <w:rsid w:val="00BF1C4C"/>
    <w:rsid w:val="00BF2626"/>
    <w:rsid w:val="00BF2919"/>
    <w:rsid w:val="00BF3676"/>
    <w:rsid w:val="00BF402B"/>
    <w:rsid w:val="00BF46D0"/>
    <w:rsid w:val="00BF48AF"/>
    <w:rsid w:val="00BF498F"/>
    <w:rsid w:val="00BF4B66"/>
    <w:rsid w:val="00BF4C0F"/>
    <w:rsid w:val="00BF4C92"/>
    <w:rsid w:val="00BF5015"/>
    <w:rsid w:val="00BF54CB"/>
    <w:rsid w:val="00BF5C28"/>
    <w:rsid w:val="00BF5E6F"/>
    <w:rsid w:val="00BF60FC"/>
    <w:rsid w:val="00BF64F6"/>
    <w:rsid w:val="00BF6DC1"/>
    <w:rsid w:val="00BF6EE2"/>
    <w:rsid w:val="00BF6FED"/>
    <w:rsid w:val="00BF78BD"/>
    <w:rsid w:val="00BF7DF1"/>
    <w:rsid w:val="00BF7F1B"/>
    <w:rsid w:val="00C012BA"/>
    <w:rsid w:val="00C012DD"/>
    <w:rsid w:val="00C01AE5"/>
    <w:rsid w:val="00C01CA2"/>
    <w:rsid w:val="00C025B9"/>
    <w:rsid w:val="00C02B1B"/>
    <w:rsid w:val="00C0315C"/>
    <w:rsid w:val="00C0396A"/>
    <w:rsid w:val="00C03AD5"/>
    <w:rsid w:val="00C03B6C"/>
    <w:rsid w:val="00C03C2F"/>
    <w:rsid w:val="00C04082"/>
    <w:rsid w:val="00C04EC4"/>
    <w:rsid w:val="00C064AD"/>
    <w:rsid w:val="00C079F8"/>
    <w:rsid w:val="00C1042A"/>
    <w:rsid w:val="00C106BD"/>
    <w:rsid w:val="00C10F5E"/>
    <w:rsid w:val="00C11375"/>
    <w:rsid w:val="00C114FA"/>
    <w:rsid w:val="00C1164C"/>
    <w:rsid w:val="00C11B5B"/>
    <w:rsid w:val="00C11D00"/>
    <w:rsid w:val="00C11DDE"/>
    <w:rsid w:val="00C11E67"/>
    <w:rsid w:val="00C12D2E"/>
    <w:rsid w:val="00C1324D"/>
    <w:rsid w:val="00C13423"/>
    <w:rsid w:val="00C134C9"/>
    <w:rsid w:val="00C137B4"/>
    <w:rsid w:val="00C138B6"/>
    <w:rsid w:val="00C13996"/>
    <w:rsid w:val="00C13CB3"/>
    <w:rsid w:val="00C14587"/>
    <w:rsid w:val="00C14779"/>
    <w:rsid w:val="00C14B8F"/>
    <w:rsid w:val="00C14DAB"/>
    <w:rsid w:val="00C14EFC"/>
    <w:rsid w:val="00C14FFA"/>
    <w:rsid w:val="00C15507"/>
    <w:rsid w:val="00C15BF4"/>
    <w:rsid w:val="00C15DA4"/>
    <w:rsid w:val="00C16326"/>
    <w:rsid w:val="00C16638"/>
    <w:rsid w:val="00C16D5A"/>
    <w:rsid w:val="00C16F6C"/>
    <w:rsid w:val="00C173FC"/>
    <w:rsid w:val="00C17489"/>
    <w:rsid w:val="00C178AA"/>
    <w:rsid w:val="00C17966"/>
    <w:rsid w:val="00C17F2B"/>
    <w:rsid w:val="00C2068A"/>
    <w:rsid w:val="00C21323"/>
    <w:rsid w:val="00C21DA2"/>
    <w:rsid w:val="00C2218C"/>
    <w:rsid w:val="00C22576"/>
    <w:rsid w:val="00C2270B"/>
    <w:rsid w:val="00C22C13"/>
    <w:rsid w:val="00C22D92"/>
    <w:rsid w:val="00C23283"/>
    <w:rsid w:val="00C2328B"/>
    <w:rsid w:val="00C23546"/>
    <w:rsid w:val="00C23AE2"/>
    <w:rsid w:val="00C23BE8"/>
    <w:rsid w:val="00C23D88"/>
    <w:rsid w:val="00C240E9"/>
    <w:rsid w:val="00C241A0"/>
    <w:rsid w:val="00C244B1"/>
    <w:rsid w:val="00C24770"/>
    <w:rsid w:val="00C24922"/>
    <w:rsid w:val="00C24992"/>
    <w:rsid w:val="00C24D5F"/>
    <w:rsid w:val="00C24E88"/>
    <w:rsid w:val="00C2540B"/>
    <w:rsid w:val="00C26252"/>
    <w:rsid w:val="00C26309"/>
    <w:rsid w:val="00C264E0"/>
    <w:rsid w:val="00C26917"/>
    <w:rsid w:val="00C26A59"/>
    <w:rsid w:val="00C26CDD"/>
    <w:rsid w:val="00C26FBD"/>
    <w:rsid w:val="00C303C7"/>
    <w:rsid w:val="00C306E5"/>
    <w:rsid w:val="00C307B9"/>
    <w:rsid w:val="00C3188C"/>
    <w:rsid w:val="00C31D7F"/>
    <w:rsid w:val="00C321AD"/>
    <w:rsid w:val="00C32977"/>
    <w:rsid w:val="00C33124"/>
    <w:rsid w:val="00C33CFB"/>
    <w:rsid w:val="00C33DD2"/>
    <w:rsid w:val="00C341D3"/>
    <w:rsid w:val="00C344B1"/>
    <w:rsid w:val="00C34DDE"/>
    <w:rsid w:val="00C3573B"/>
    <w:rsid w:val="00C3594F"/>
    <w:rsid w:val="00C35D05"/>
    <w:rsid w:val="00C35D77"/>
    <w:rsid w:val="00C35EFF"/>
    <w:rsid w:val="00C35FD8"/>
    <w:rsid w:val="00C3639D"/>
    <w:rsid w:val="00C367D2"/>
    <w:rsid w:val="00C36A5A"/>
    <w:rsid w:val="00C36BE3"/>
    <w:rsid w:val="00C37BE1"/>
    <w:rsid w:val="00C37E39"/>
    <w:rsid w:val="00C400B5"/>
    <w:rsid w:val="00C40619"/>
    <w:rsid w:val="00C40B96"/>
    <w:rsid w:val="00C41B30"/>
    <w:rsid w:val="00C41D03"/>
    <w:rsid w:val="00C41DA5"/>
    <w:rsid w:val="00C423E0"/>
    <w:rsid w:val="00C42A6E"/>
    <w:rsid w:val="00C4365F"/>
    <w:rsid w:val="00C43790"/>
    <w:rsid w:val="00C43886"/>
    <w:rsid w:val="00C44110"/>
    <w:rsid w:val="00C44472"/>
    <w:rsid w:val="00C44497"/>
    <w:rsid w:val="00C4455E"/>
    <w:rsid w:val="00C4469C"/>
    <w:rsid w:val="00C44B5F"/>
    <w:rsid w:val="00C453A1"/>
    <w:rsid w:val="00C453C5"/>
    <w:rsid w:val="00C454C7"/>
    <w:rsid w:val="00C455A7"/>
    <w:rsid w:val="00C45D75"/>
    <w:rsid w:val="00C45E39"/>
    <w:rsid w:val="00C46548"/>
    <w:rsid w:val="00C4696A"/>
    <w:rsid w:val="00C46D2B"/>
    <w:rsid w:val="00C472A9"/>
    <w:rsid w:val="00C47533"/>
    <w:rsid w:val="00C4765F"/>
    <w:rsid w:val="00C47843"/>
    <w:rsid w:val="00C47EC4"/>
    <w:rsid w:val="00C50441"/>
    <w:rsid w:val="00C5087C"/>
    <w:rsid w:val="00C50BF5"/>
    <w:rsid w:val="00C50C5B"/>
    <w:rsid w:val="00C5181A"/>
    <w:rsid w:val="00C51A3D"/>
    <w:rsid w:val="00C51BB8"/>
    <w:rsid w:val="00C51FA7"/>
    <w:rsid w:val="00C52132"/>
    <w:rsid w:val="00C52E98"/>
    <w:rsid w:val="00C53241"/>
    <w:rsid w:val="00C5341C"/>
    <w:rsid w:val="00C53786"/>
    <w:rsid w:val="00C53D8E"/>
    <w:rsid w:val="00C54004"/>
    <w:rsid w:val="00C54011"/>
    <w:rsid w:val="00C540C6"/>
    <w:rsid w:val="00C54102"/>
    <w:rsid w:val="00C54DA5"/>
    <w:rsid w:val="00C5552C"/>
    <w:rsid w:val="00C555BA"/>
    <w:rsid w:val="00C567DC"/>
    <w:rsid w:val="00C56B72"/>
    <w:rsid w:val="00C56E36"/>
    <w:rsid w:val="00C571F9"/>
    <w:rsid w:val="00C5798F"/>
    <w:rsid w:val="00C60D17"/>
    <w:rsid w:val="00C6100D"/>
    <w:rsid w:val="00C617C1"/>
    <w:rsid w:val="00C61991"/>
    <w:rsid w:val="00C61DE1"/>
    <w:rsid w:val="00C61F5B"/>
    <w:rsid w:val="00C62162"/>
    <w:rsid w:val="00C621C0"/>
    <w:rsid w:val="00C62256"/>
    <w:rsid w:val="00C623E9"/>
    <w:rsid w:val="00C6274E"/>
    <w:rsid w:val="00C628C6"/>
    <w:rsid w:val="00C62A8F"/>
    <w:rsid w:val="00C62DDD"/>
    <w:rsid w:val="00C62EBD"/>
    <w:rsid w:val="00C631D3"/>
    <w:rsid w:val="00C633F3"/>
    <w:rsid w:val="00C63978"/>
    <w:rsid w:val="00C63A99"/>
    <w:rsid w:val="00C63D9E"/>
    <w:rsid w:val="00C643E8"/>
    <w:rsid w:val="00C64741"/>
    <w:rsid w:val="00C64B66"/>
    <w:rsid w:val="00C65383"/>
    <w:rsid w:val="00C6569B"/>
    <w:rsid w:val="00C65A87"/>
    <w:rsid w:val="00C65BF4"/>
    <w:rsid w:val="00C66088"/>
    <w:rsid w:val="00C662A5"/>
    <w:rsid w:val="00C66370"/>
    <w:rsid w:val="00C66628"/>
    <w:rsid w:val="00C66F1E"/>
    <w:rsid w:val="00C6717A"/>
    <w:rsid w:val="00C6738F"/>
    <w:rsid w:val="00C67391"/>
    <w:rsid w:val="00C6773E"/>
    <w:rsid w:val="00C679EF"/>
    <w:rsid w:val="00C67AA3"/>
    <w:rsid w:val="00C67B20"/>
    <w:rsid w:val="00C703C6"/>
    <w:rsid w:val="00C70884"/>
    <w:rsid w:val="00C70AC7"/>
    <w:rsid w:val="00C71270"/>
    <w:rsid w:val="00C7131D"/>
    <w:rsid w:val="00C71741"/>
    <w:rsid w:val="00C71A0D"/>
    <w:rsid w:val="00C71C48"/>
    <w:rsid w:val="00C71E87"/>
    <w:rsid w:val="00C7275E"/>
    <w:rsid w:val="00C72AFE"/>
    <w:rsid w:val="00C73056"/>
    <w:rsid w:val="00C7369C"/>
    <w:rsid w:val="00C736D4"/>
    <w:rsid w:val="00C73827"/>
    <w:rsid w:val="00C73902"/>
    <w:rsid w:val="00C73B28"/>
    <w:rsid w:val="00C73E06"/>
    <w:rsid w:val="00C7494B"/>
    <w:rsid w:val="00C74C28"/>
    <w:rsid w:val="00C74D0C"/>
    <w:rsid w:val="00C74EB5"/>
    <w:rsid w:val="00C74FAF"/>
    <w:rsid w:val="00C755DC"/>
    <w:rsid w:val="00C75FBF"/>
    <w:rsid w:val="00C76CE4"/>
    <w:rsid w:val="00C76EB7"/>
    <w:rsid w:val="00C770F6"/>
    <w:rsid w:val="00C77132"/>
    <w:rsid w:val="00C77250"/>
    <w:rsid w:val="00C77699"/>
    <w:rsid w:val="00C800A2"/>
    <w:rsid w:val="00C800EA"/>
    <w:rsid w:val="00C80A8B"/>
    <w:rsid w:val="00C8109E"/>
    <w:rsid w:val="00C81239"/>
    <w:rsid w:val="00C813B6"/>
    <w:rsid w:val="00C8228C"/>
    <w:rsid w:val="00C822C0"/>
    <w:rsid w:val="00C824A4"/>
    <w:rsid w:val="00C83AE6"/>
    <w:rsid w:val="00C8416D"/>
    <w:rsid w:val="00C84AC4"/>
    <w:rsid w:val="00C84FAB"/>
    <w:rsid w:val="00C85063"/>
    <w:rsid w:val="00C854D3"/>
    <w:rsid w:val="00C8576F"/>
    <w:rsid w:val="00C85C78"/>
    <w:rsid w:val="00C85C92"/>
    <w:rsid w:val="00C85E4F"/>
    <w:rsid w:val="00C86155"/>
    <w:rsid w:val="00C86599"/>
    <w:rsid w:val="00C86B59"/>
    <w:rsid w:val="00C870B4"/>
    <w:rsid w:val="00C8725E"/>
    <w:rsid w:val="00C8758D"/>
    <w:rsid w:val="00C879F3"/>
    <w:rsid w:val="00C87BD9"/>
    <w:rsid w:val="00C87FFA"/>
    <w:rsid w:val="00C9081A"/>
    <w:rsid w:val="00C90C09"/>
    <w:rsid w:val="00C90FBF"/>
    <w:rsid w:val="00C91849"/>
    <w:rsid w:val="00C9205C"/>
    <w:rsid w:val="00C92418"/>
    <w:rsid w:val="00C92A92"/>
    <w:rsid w:val="00C93377"/>
    <w:rsid w:val="00C93619"/>
    <w:rsid w:val="00C93720"/>
    <w:rsid w:val="00C94393"/>
    <w:rsid w:val="00C95068"/>
    <w:rsid w:val="00C9550A"/>
    <w:rsid w:val="00C958B4"/>
    <w:rsid w:val="00C961DC"/>
    <w:rsid w:val="00C963DC"/>
    <w:rsid w:val="00C96780"/>
    <w:rsid w:val="00C968FA"/>
    <w:rsid w:val="00C96A13"/>
    <w:rsid w:val="00C97556"/>
    <w:rsid w:val="00C979CA"/>
    <w:rsid w:val="00C97CFA"/>
    <w:rsid w:val="00CA0063"/>
    <w:rsid w:val="00CA0CB6"/>
    <w:rsid w:val="00CA0D60"/>
    <w:rsid w:val="00CA0F0A"/>
    <w:rsid w:val="00CA0F24"/>
    <w:rsid w:val="00CA0FE0"/>
    <w:rsid w:val="00CA104F"/>
    <w:rsid w:val="00CA1823"/>
    <w:rsid w:val="00CA192D"/>
    <w:rsid w:val="00CA2157"/>
    <w:rsid w:val="00CA221C"/>
    <w:rsid w:val="00CA25AB"/>
    <w:rsid w:val="00CA26EA"/>
    <w:rsid w:val="00CA2952"/>
    <w:rsid w:val="00CA2B03"/>
    <w:rsid w:val="00CA300C"/>
    <w:rsid w:val="00CA329F"/>
    <w:rsid w:val="00CA33C7"/>
    <w:rsid w:val="00CA37EC"/>
    <w:rsid w:val="00CA3815"/>
    <w:rsid w:val="00CA3F00"/>
    <w:rsid w:val="00CA426F"/>
    <w:rsid w:val="00CA4388"/>
    <w:rsid w:val="00CA43DF"/>
    <w:rsid w:val="00CA50A4"/>
    <w:rsid w:val="00CA5432"/>
    <w:rsid w:val="00CA5466"/>
    <w:rsid w:val="00CA5CCB"/>
    <w:rsid w:val="00CA600D"/>
    <w:rsid w:val="00CA6257"/>
    <w:rsid w:val="00CA63F6"/>
    <w:rsid w:val="00CA66C7"/>
    <w:rsid w:val="00CA6A5E"/>
    <w:rsid w:val="00CA6B8E"/>
    <w:rsid w:val="00CA6CB0"/>
    <w:rsid w:val="00CA761A"/>
    <w:rsid w:val="00CA78A8"/>
    <w:rsid w:val="00CB078B"/>
    <w:rsid w:val="00CB11AC"/>
    <w:rsid w:val="00CB11C7"/>
    <w:rsid w:val="00CB145A"/>
    <w:rsid w:val="00CB16AD"/>
    <w:rsid w:val="00CB19D5"/>
    <w:rsid w:val="00CB1EF1"/>
    <w:rsid w:val="00CB2872"/>
    <w:rsid w:val="00CB2B07"/>
    <w:rsid w:val="00CB2D7C"/>
    <w:rsid w:val="00CB3493"/>
    <w:rsid w:val="00CB3502"/>
    <w:rsid w:val="00CB354A"/>
    <w:rsid w:val="00CB37F8"/>
    <w:rsid w:val="00CB3995"/>
    <w:rsid w:val="00CB3BFB"/>
    <w:rsid w:val="00CB3C07"/>
    <w:rsid w:val="00CB4D40"/>
    <w:rsid w:val="00CB5A36"/>
    <w:rsid w:val="00CB6A9D"/>
    <w:rsid w:val="00CB6AA6"/>
    <w:rsid w:val="00CB7AFA"/>
    <w:rsid w:val="00CC0626"/>
    <w:rsid w:val="00CC2A56"/>
    <w:rsid w:val="00CC3234"/>
    <w:rsid w:val="00CC323F"/>
    <w:rsid w:val="00CC329B"/>
    <w:rsid w:val="00CC3A91"/>
    <w:rsid w:val="00CC3F2E"/>
    <w:rsid w:val="00CC4695"/>
    <w:rsid w:val="00CC47B6"/>
    <w:rsid w:val="00CC4EE2"/>
    <w:rsid w:val="00CC4F18"/>
    <w:rsid w:val="00CC5022"/>
    <w:rsid w:val="00CC55C8"/>
    <w:rsid w:val="00CC5727"/>
    <w:rsid w:val="00CC5908"/>
    <w:rsid w:val="00CC5DA5"/>
    <w:rsid w:val="00CC5E8B"/>
    <w:rsid w:val="00CC61F7"/>
    <w:rsid w:val="00CC6220"/>
    <w:rsid w:val="00CC6425"/>
    <w:rsid w:val="00CC7058"/>
    <w:rsid w:val="00CC7766"/>
    <w:rsid w:val="00CC7E35"/>
    <w:rsid w:val="00CC7E3D"/>
    <w:rsid w:val="00CC7E7F"/>
    <w:rsid w:val="00CD0B45"/>
    <w:rsid w:val="00CD0D05"/>
    <w:rsid w:val="00CD155C"/>
    <w:rsid w:val="00CD22B6"/>
    <w:rsid w:val="00CD22F2"/>
    <w:rsid w:val="00CD27EB"/>
    <w:rsid w:val="00CD2BC0"/>
    <w:rsid w:val="00CD4650"/>
    <w:rsid w:val="00CD5570"/>
    <w:rsid w:val="00CD578C"/>
    <w:rsid w:val="00CD59DF"/>
    <w:rsid w:val="00CD5CB0"/>
    <w:rsid w:val="00CD5EFA"/>
    <w:rsid w:val="00CD5F7B"/>
    <w:rsid w:val="00CD6683"/>
    <w:rsid w:val="00CD792E"/>
    <w:rsid w:val="00CE01DC"/>
    <w:rsid w:val="00CE0736"/>
    <w:rsid w:val="00CE1112"/>
    <w:rsid w:val="00CE121B"/>
    <w:rsid w:val="00CE1957"/>
    <w:rsid w:val="00CE1993"/>
    <w:rsid w:val="00CE1D19"/>
    <w:rsid w:val="00CE1ED5"/>
    <w:rsid w:val="00CE220E"/>
    <w:rsid w:val="00CE2B57"/>
    <w:rsid w:val="00CE32CB"/>
    <w:rsid w:val="00CE3B0C"/>
    <w:rsid w:val="00CE3B1C"/>
    <w:rsid w:val="00CE3C9F"/>
    <w:rsid w:val="00CE3DC9"/>
    <w:rsid w:val="00CE3E6A"/>
    <w:rsid w:val="00CE4402"/>
    <w:rsid w:val="00CE4609"/>
    <w:rsid w:val="00CE4B3B"/>
    <w:rsid w:val="00CE4C09"/>
    <w:rsid w:val="00CE530E"/>
    <w:rsid w:val="00CE64EB"/>
    <w:rsid w:val="00CE6BD7"/>
    <w:rsid w:val="00CE6CED"/>
    <w:rsid w:val="00CE7190"/>
    <w:rsid w:val="00CE78B1"/>
    <w:rsid w:val="00CE7D80"/>
    <w:rsid w:val="00CF07BB"/>
    <w:rsid w:val="00CF0879"/>
    <w:rsid w:val="00CF0C02"/>
    <w:rsid w:val="00CF0DB4"/>
    <w:rsid w:val="00CF13E2"/>
    <w:rsid w:val="00CF148D"/>
    <w:rsid w:val="00CF14EF"/>
    <w:rsid w:val="00CF14F8"/>
    <w:rsid w:val="00CF163C"/>
    <w:rsid w:val="00CF1932"/>
    <w:rsid w:val="00CF2432"/>
    <w:rsid w:val="00CF25FF"/>
    <w:rsid w:val="00CF3034"/>
    <w:rsid w:val="00CF310D"/>
    <w:rsid w:val="00CF4A55"/>
    <w:rsid w:val="00CF4FB3"/>
    <w:rsid w:val="00CF5044"/>
    <w:rsid w:val="00CF515A"/>
    <w:rsid w:val="00CF51FB"/>
    <w:rsid w:val="00CF5853"/>
    <w:rsid w:val="00CF5CE8"/>
    <w:rsid w:val="00CF67EE"/>
    <w:rsid w:val="00CF6840"/>
    <w:rsid w:val="00CF68C8"/>
    <w:rsid w:val="00CF6FD3"/>
    <w:rsid w:val="00CF71B7"/>
    <w:rsid w:val="00CF749D"/>
    <w:rsid w:val="00CF7985"/>
    <w:rsid w:val="00CF7FBF"/>
    <w:rsid w:val="00CF7FE2"/>
    <w:rsid w:val="00D0065A"/>
    <w:rsid w:val="00D0094A"/>
    <w:rsid w:val="00D01526"/>
    <w:rsid w:val="00D02571"/>
    <w:rsid w:val="00D02B32"/>
    <w:rsid w:val="00D03072"/>
    <w:rsid w:val="00D03332"/>
    <w:rsid w:val="00D03431"/>
    <w:rsid w:val="00D034E4"/>
    <w:rsid w:val="00D03554"/>
    <w:rsid w:val="00D035E5"/>
    <w:rsid w:val="00D0387D"/>
    <w:rsid w:val="00D03B13"/>
    <w:rsid w:val="00D03D0C"/>
    <w:rsid w:val="00D03FE7"/>
    <w:rsid w:val="00D044C6"/>
    <w:rsid w:val="00D04BAD"/>
    <w:rsid w:val="00D04C17"/>
    <w:rsid w:val="00D054EF"/>
    <w:rsid w:val="00D056B4"/>
    <w:rsid w:val="00D0574D"/>
    <w:rsid w:val="00D06082"/>
    <w:rsid w:val="00D062C2"/>
    <w:rsid w:val="00D06471"/>
    <w:rsid w:val="00D0677D"/>
    <w:rsid w:val="00D06AF0"/>
    <w:rsid w:val="00D06B36"/>
    <w:rsid w:val="00D06C3A"/>
    <w:rsid w:val="00D06D99"/>
    <w:rsid w:val="00D07806"/>
    <w:rsid w:val="00D07B59"/>
    <w:rsid w:val="00D07BDB"/>
    <w:rsid w:val="00D07C0C"/>
    <w:rsid w:val="00D07E90"/>
    <w:rsid w:val="00D10225"/>
    <w:rsid w:val="00D10641"/>
    <w:rsid w:val="00D10B8C"/>
    <w:rsid w:val="00D10E2F"/>
    <w:rsid w:val="00D113C0"/>
    <w:rsid w:val="00D114B4"/>
    <w:rsid w:val="00D11926"/>
    <w:rsid w:val="00D119BD"/>
    <w:rsid w:val="00D11A31"/>
    <w:rsid w:val="00D12127"/>
    <w:rsid w:val="00D1215C"/>
    <w:rsid w:val="00D12289"/>
    <w:rsid w:val="00D127F6"/>
    <w:rsid w:val="00D12F37"/>
    <w:rsid w:val="00D12FD1"/>
    <w:rsid w:val="00D132FF"/>
    <w:rsid w:val="00D1358F"/>
    <w:rsid w:val="00D13AE7"/>
    <w:rsid w:val="00D13C98"/>
    <w:rsid w:val="00D13DB9"/>
    <w:rsid w:val="00D13F2C"/>
    <w:rsid w:val="00D147D2"/>
    <w:rsid w:val="00D1588A"/>
    <w:rsid w:val="00D15BAD"/>
    <w:rsid w:val="00D15D8B"/>
    <w:rsid w:val="00D16D3B"/>
    <w:rsid w:val="00D171BD"/>
    <w:rsid w:val="00D1741D"/>
    <w:rsid w:val="00D17869"/>
    <w:rsid w:val="00D17A21"/>
    <w:rsid w:val="00D17CBF"/>
    <w:rsid w:val="00D20073"/>
    <w:rsid w:val="00D200F1"/>
    <w:rsid w:val="00D2028B"/>
    <w:rsid w:val="00D206BC"/>
    <w:rsid w:val="00D20743"/>
    <w:rsid w:val="00D210F0"/>
    <w:rsid w:val="00D21193"/>
    <w:rsid w:val="00D214DE"/>
    <w:rsid w:val="00D21A9E"/>
    <w:rsid w:val="00D21CF9"/>
    <w:rsid w:val="00D23A8B"/>
    <w:rsid w:val="00D23F4F"/>
    <w:rsid w:val="00D23F76"/>
    <w:rsid w:val="00D24093"/>
    <w:rsid w:val="00D24677"/>
    <w:rsid w:val="00D24B6B"/>
    <w:rsid w:val="00D24B79"/>
    <w:rsid w:val="00D24F56"/>
    <w:rsid w:val="00D25B27"/>
    <w:rsid w:val="00D25BEA"/>
    <w:rsid w:val="00D25E51"/>
    <w:rsid w:val="00D2635F"/>
    <w:rsid w:val="00D26718"/>
    <w:rsid w:val="00D2674A"/>
    <w:rsid w:val="00D2690D"/>
    <w:rsid w:val="00D269F7"/>
    <w:rsid w:val="00D277D3"/>
    <w:rsid w:val="00D2799F"/>
    <w:rsid w:val="00D27D99"/>
    <w:rsid w:val="00D27E7F"/>
    <w:rsid w:val="00D30422"/>
    <w:rsid w:val="00D30828"/>
    <w:rsid w:val="00D309F3"/>
    <w:rsid w:val="00D30FC8"/>
    <w:rsid w:val="00D3133B"/>
    <w:rsid w:val="00D31B2F"/>
    <w:rsid w:val="00D31BA7"/>
    <w:rsid w:val="00D31E15"/>
    <w:rsid w:val="00D31FC2"/>
    <w:rsid w:val="00D32667"/>
    <w:rsid w:val="00D32AB5"/>
    <w:rsid w:val="00D32B69"/>
    <w:rsid w:val="00D32F44"/>
    <w:rsid w:val="00D33311"/>
    <w:rsid w:val="00D335D9"/>
    <w:rsid w:val="00D340AA"/>
    <w:rsid w:val="00D34688"/>
    <w:rsid w:val="00D35078"/>
    <w:rsid w:val="00D35C97"/>
    <w:rsid w:val="00D3615C"/>
    <w:rsid w:val="00D368A9"/>
    <w:rsid w:val="00D3707B"/>
    <w:rsid w:val="00D374E9"/>
    <w:rsid w:val="00D40060"/>
    <w:rsid w:val="00D40C55"/>
    <w:rsid w:val="00D4118B"/>
    <w:rsid w:val="00D41A53"/>
    <w:rsid w:val="00D42257"/>
    <w:rsid w:val="00D42272"/>
    <w:rsid w:val="00D42BCA"/>
    <w:rsid w:val="00D42CCF"/>
    <w:rsid w:val="00D42EEE"/>
    <w:rsid w:val="00D43642"/>
    <w:rsid w:val="00D43645"/>
    <w:rsid w:val="00D436A9"/>
    <w:rsid w:val="00D438BA"/>
    <w:rsid w:val="00D43DEB"/>
    <w:rsid w:val="00D442D3"/>
    <w:rsid w:val="00D445A9"/>
    <w:rsid w:val="00D44672"/>
    <w:rsid w:val="00D449A6"/>
    <w:rsid w:val="00D44B28"/>
    <w:rsid w:val="00D45043"/>
    <w:rsid w:val="00D45547"/>
    <w:rsid w:val="00D45932"/>
    <w:rsid w:val="00D4659F"/>
    <w:rsid w:val="00D469FB"/>
    <w:rsid w:val="00D46A66"/>
    <w:rsid w:val="00D47204"/>
    <w:rsid w:val="00D475CE"/>
    <w:rsid w:val="00D47E79"/>
    <w:rsid w:val="00D47F7C"/>
    <w:rsid w:val="00D50B67"/>
    <w:rsid w:val="00D50C52"/>
    <w:rsid w:val="00D510EB"/>
    <w:rsid w:val="00D516F7"/>
    <w:rsid w:val="00D51DD6"/>
    <w:rsid w:val="00D51DF3"/>
    <w:rsid w:val="00D52251"/>
    <w:rsid w:val="00D52322"/>
    <w:rsid w:val="00D52BB1"/>
    <w:rsid w:val="00D530D8"/>
    <w:rsid w:val="00D534B0"/>
    <w:rsid w:val="00D53599"/>
    <w:rsid w:val="00D53D3B"/>
    <w:rsid w:val="00D53DE0"/>
    <w:rsid w:val="00D53FD0"/>
    <w:rsid w:val="00D54023"/>
    <w:rsid w:val="00D5458F"/>
    <w:rsid w:val="00D54A61"/>
    <w:rsid w:val="00D54DA0"/>
    <w:rsid w:val="00D551F3"/>
    <w:rsid w:val="00D55381"/>
    <w:rsid w:val="00D555E4"/>
    <w:rsid w:val="00D55643"/>
    <w:rsid w:val="00D5616C"/>
    <w:rsid w:val="00D56330"/>
    <w:rsid w:val="00D56A27"/>
    <w:rsid w:val="00D56C7F"/>
    <w:rsid w:val="00D57E1C"/>
    <w:rsid w:val="00D57FD0"/>
    <w:rsid w:val="00D604D7"/>
    <w:rsid w:val="00D60FA9"/>
    <w:rsid w:val="00D6115B"/>
    <w:rsid w:val="00D61277"/>
    <w:rsid w:val="00D612CF"/>
    <w:rsid w:val="00D612F7"/>
    <w:rsid w:val="00D613E6"/>
    <w:rsid w:val="00D6199B"/>
    <w:rsid w:val="00D61AD1"/>
    <w:rsid w:val="00D61D34"/>
    <w:rsid w:val="00D62257"/>
    <w:rsid w:val="00D626E0"/>
    <w:rsid w:val="00D62808"/>
    <w:rsid w:val="00D63AAB"/>
    <w:rsid w:val="00D63BEE"/>
    <w:rsid w:val="00D64192"/>
    <w:rsid w:val="00D644FA"/>
    <w:rsid w:val="00D649FF"/>
    <w:rsid w:val="00D652D0"/>
    <w:rsid w:val="00D66112"/>
    <w:rsid w:val="00D66243"/>
    <w:rsid w:val="00D663C4"/>
    <w:rsid w:val="00D665E3"/>
    <w:rsid w:val="00D66CB2"/>
    <w:rsid w:val="00D67204"/>
    <w:rsid w:val="00D67272"/>
    <w:rsid w:val="00D673B1"/>
    <w:rsid w:val="00D675C5"/>
    <w:rsid w:val="00D67F6F"/>
    <w:rsid w:val="00D701A4"/>
    <w:rsid w:val="00D70340"/>
    <w:rsid w:val="00D70C57"/>
    <w:rsid w:val="00D7110A"/>
    <w:rsid w:val="00D7125C"/>
    <w:rsid w:val="00D71E0B"/>
    <w:rsid w:val="00D72202"/>
    <w:rsid w:val="00D729F6"/>
    <w:rsid w:val="00D72CDB"/>
    <w:rsid w:val="00D72D20"/>
    <w:rsid w:val="00D73438"/>
    <w:rsid w:val="00D73593"/>
    <w:rsid w:val="00D73B66"/>
    <w:rsid w:val="00D73FCE"/>
    <w:rsid w:val="00D748D0"/>
    <w:rsid w:val="00D74E30"/>
    <w:rsid w:val="00D75190"/>
    <w:rsid w:val="00D7537F"/>
    <w:rsid w:val="00D75E9E"/>
    <w:rsid w:val="00D75F22"/>
    <w:rsid w:val="00D7650D"/>
    <w:rsid w:val="00D772CB"/>
    <w:rsid w:val="00D77B36"/>
    <w:rsid w:val="00D808C2"/>
    <w:rsid w:val="00D808DD"/>
    <w:rsid w:val="00D8094A"/>
    <w:rsid w:val="00D809DF"/>
    <w:rsid w:val="00D80BE2"/>
    <w:rsid w:val="00D80E27"/>
    <w:rsid w:val="00D81228"/>
    <w:rsid w:val="00D81342"/>
    <w:rsid w:val="00D816DA"/>
    <w:rsid w:val="00D81D80"/>
    <w:rsid w:val="00D821E4"/>
    <w:rsid w:val="00D83308"/>
    <w:rsid w:val="00D8387B"/>
    <w:rsid w:val="00D83F0B"/>
    <w:rsid w:val="00D83F88"/>
    <w:rsid w:val="00D8412E"/>
    <w:rsid w:val="00D8440C"/>
    <w:rsid w:val="00D8456E"/>
    <w:rsid w:val="00D84715"/>
    <w:rsid w:val="00D84999"/>
    <w:rsid w:val="00D84E11"/>
    <w:rsid w:val="00D8507A"/>
    <w:rsid w:val="00D851F3"/>
    <w:rsid w:val="00D857C3"/>
    <w:rsid w:val="00D8581F"/>
    <w:rsid w:val="00D85AA0"/>
    <w:rsid w:val="00D8601D"/>
    <w:rsid w:val="00D864DC"/>
    <w:rsid w:val="00D868F0"/>
    <w:rsid w:val="00D86AE3"/>
    <w:rsid w:val="00D87618"/>
    <w:rsid w:val="00D87A8B"/>
    <w:rsid w:val="00D87E57"/>
    <w:rsid w:val="00D90397"/>
    <w:rsid w:val="00D90851"/>
    <w:rsid w:val="00D915B8"/>
    <w:rsid w:val="00D9161B"/>
    <w:rsid w:val="00D91E7E"/>
    <w:rsid w:val="00D92009"/>
    <w:rsid w:val="00D9203C"/>
    <w:rsid w:val="00D923C0"/>
    <w:rsid w:val="00D92A58"/>
    <w:rsid w:val="00D92E54"/>
    <w:rsid w:val="00D93207"/>
    <w:rsid w:val="00D93B3E"/>
    <w:rsid w:val="00D94C1B"/>
    <w:rsid w:val="00D94F8A"/>
    <w:rsid w:val="00D94FF3"/>
    <w:rsid w:val="00D95A39"/>
    <w:rsid w:val="00D95D33"/>
    <w:rsid w:val="00D962D7"/>
    <w:rsid w:val="00D9774D"/>
    <w:rsid w:val="00D97A56"/>
    <w:rsid w:val="00D97B46"/>
    <w:rsid w:val="00D97BA5"/>
    <w:rsid w:val="00DA09FD"/>
    <w:rsid w:val="00DA1701"/>
    <w:rsid w:val="00DA1C57"/>
    <w:rsid w:val="00DA22F4"/>
    <w:rsid w:val="00DA242E"/>
    <w:rsid w:val="00DA296C"/>
    <w:rsid w:val="00DA2A59"/>
    <w:rsid w:val="00DA2C5A"/>
    <w:rsid w:val="00DA2C5F"/>
    <w:rsid w:val="00DA2E3E"/>
    <w:rsid w:val="00DA32F6"/>
    <w:rsid w:val="00DA34C6"/>
    <w:rsid w:val="00DA3538"/>
    <w:rsid w:val="00DA3E51"/>
    <w:rsid w:val="00DA3EF8"/>
    <w:rsid w:val="00DA42FB"/>
    <w:rsid w:val="00DA4379"/>
    <w:rsid w:val="00DA464C"/>
    <w:rsid w:val="00DA504F"/>
    <w:rsid w:val="00DA50ED"/>
    <w:rsid w:val="00DA5593"/>
    <w:rsid w:val="00DA55BE"/>
    <w:rsid w:val="00DA5B38"/>
    <w:rsid w:val="00DA78ED"/>
    <w:rsid w:val="00DA7C78"/>
    <w:rsid w:val="00DB0B52"/>
    <w:rsid w:val="00DB0DE4"/>
    <w:rsid w:val="00DB0DEF"/>
    <w:rsid w:val="00DB1399"/>
    <w:rsid w:val="00DB15C4"/>
    <w:rsid w:val="00DB1881"/>
    <w:rsid w:val="00DB1A78"/>
    <w:rsid w:val="00DB1E9F"/>
    <w:rsid w:val="00DB2221"/>
    <w:rsid w:val="00DB29A0"/>
    <w:rsid w:val="00DB2D81"/>
    <w:rsid w:val="00DB39C7"/>
    <w:rsid w:val="00DB4269"/>
    <w:rsid w:val="00DB42EA"/>
    <w:rsid w:val="00DB4AC2"/>
    <w:rsid w:val="00DB4BAF"/>
    <w:rsid w:val="00DB4DD7"/>
    <w:rsid w:val="00DB4FE1"/>
    <w:rsid w:val="00DB5354"/>
    <w:rsid w:val="00DB576F"/>
    <w:rsid w:val="00DB5AAB"/>
    <w:rsid w:val="00DB5CF9"/>
    <w:rsid w:val="00DB63E7"/>
    <w:rsid w:val="00DB65E9"/>
    <w:rsid w:val="00DB66D4"/>
    <w:rsid w:val="00DB71E8"/>
    <w:rsid w:val="00DB74A4"/>
    <w:rsid w:val="00DB74D9"/>
    <w:rsid w:val="00DB7520"/>
    <w:rsid w:val="00DB7DF9"/>
    <w:rsid w:val="00DB7FCE"/>
    <w:rsid w:val="00DC0142"/>
    <w:rsid w:val="00DC038F"/>
    <w:rsid w:val="00DC0687"/>
    <w:rsid w:val="00DC0AD3"/>
    <w:rsid w:val="00DC0BF8"/>
    <w:rsid w:val="00DC15C7"/>
    <w:rsid w:val="00DC174A"/>
    <w:rsid w:val="00DC1A4E"/>
    <w:rsid w:val="00DC1AF2"/>
    <w:rsid w:val="00DC1B0A"/>
    <w:rsid w:val="00DC20A8"/>
    <w:rsid w:val="00DC2399"/>
    <w:rsid w:val="00DC25D9"/>
    <w:rsid w:val="00DC28DE"/>
    <w:rsid w:val="00DC2A06"/>
    <w:rsid w:val="00DC2A25"/>
    <w:rsid w:val="00DC2D93"/>
    <w:rsid w:val="00DC2FB1"/>
    <w:rsid w:val="00DC32B4"/>
    <w:rsid w:val="00DC34EC"/>
    <w:rsid w:val="00DC3682"/>
    <w:rsid w:val="00DC36D3"/>
    <w:rsid w:val="00DC3934"/>
    <w:rsid w:val="00DC4615"/>
    <w:rsid w:val="00DC4B0A"/>
    <w:rsid w:val="00DC4BAE"/>
    <w:rsid w:val="00DC4DDA"/>
    <w:rsid w:val="00DC503F"/>
    <w:rsid w:val="00DC544E"/>
    <w:rsid w:val="00DC5608"/>
    <w:rsid w:val="00DC572F"/>
    <w:rsid w:val="00DC5C8B"/>
    <w:rsid w:val="00DC600F"/>
    <w:rsid w:val="00DC66CE"/>
    <w:rsid w:val="00DC7587"/>
    <w:rsid w:val="00DC78D8"/>
    <w:rsid w:val="00DC7B21"/>
    <w:rsid w:val="00DD0A8E"/>
    <w:rsid w:val="00DD0E25"/>
    <w:rsid w:val="00DD144C"/>
    <w:rsid w:val="00DD167A"/>
    <w:rsid w:val="00DD1792"/>
    <w:rsid w:val="00DD1C7E"/>
    <w:rsid w:val="00DD26FA"/>
    <w:rsid w:val="00DD2781"/>
    <w:rsid w:val="00DD3273"/>
    <w:rsid w:val="00DD3707"/>
    <w:rsid w:val="00DD3B51"/>
    <w:rsid w:val="00DD3C21"/>
    <w:rsid w:val="00DD43B0"/>
    <w:rsid w:val="00DD46C3"/>
    <w:rsid w:val="00DD4785"/>
    <w:rsid w:val="00DD4811"/>
    <w:rsid w:val="00DD4DC5"/>
    <w:rsid w:val="00DD5C7E"/>
    <w:rsid w:val="00DD6481"/>
    <w:rsid w:val="00DD6A21"/>
    <w:rsid w:val="00DD6D86"/>
    <w:rsid w:val="00DD6EA4"/>
    <w:rsid w:val="00DD718D"/>
    <w:rsid w:val="00DD72CD"/>
    <w:rsid w:val="00DD75B0"/>
    <w:rsid w:val="00DD77CB"/>
    <w:rsid w:val="00DD7892"/>
    <w:rsid w:val="00DE0753"/>
    <w:rsid w:val="00DE08A3"/>
    <w:rsid w:val="00DE1B29"/>
    <w:rsid w:val="00DE2B51"/>
    <w:rsid w:val="00DE2FB7"/>
    <w:rsid w:val="00DE3301"/>
    <w:rsid w:val="00DE3A1F"/>
    <w:rsid w:val="00DE3B7B"/>
    <w:rsid w:val="00DE4E61"/>
    <w:rsid w:val="00DE4ECA"/>
    <w:rsid w:val="00DE5097"/>
    <w:rsid w:val="00DE51F5"/>
    <w:rsid w:val="00DE5574"/>
    <w:rsid w:val="00DE57BA"/>
    <w:rsid w:val="00DE630A"/>
    <w:rsid w:val="00DE67D0"/>
    <w:rsid w:val="00DE6A3C"/>
    <w:rsid w:val="00DE6F40"/>
    <w:rsid w:val="00DE71C0"/>
    <w:rsid w:val="00DE7980"/>
    <w:rsid w:val="00DF0560"/>
    <w:rsid w:val="00DF07CE"/>
    <w:rsid w:val="00DF10BC"/>
    <w:rsid w:val="00DF15F6"/>
    <w:rsid w:val="00DF1D9A"/>
    <w:rsid w:val="00DF20F2"/>
    <w:rsid w:val="00DF22CE"/>
    <w:rsid w:val="00DF2E72"/>
    <w:rsid w:val="00DF2E9C"/>
    <w:rsid w:val="00DF34ED"/>
    <w:rsid w:val="00DF3C89"/>
    <w:rsid w:val="00DF46AB"/>
    <w:rsid w:val="00DF46B6"/>
    <w:rsid w:val="00DF4C45"/>
    <w:rsid w:val="00DF50F5"/>
    <w:rsid w:val="00DF57F4"/>
    <w:rsid w:val="00DF5815"/>
    <w:rsid w:val="00DF5970"/>
    <w:rsid w:val="00DF5FB7"/>
    <w:rsid w:val="00DF6210"/>
    <w:rsid w:val="00DF6270"/>
    <w:rsid w:val="00DF65D0"/>
    <w:rsid w:val="00DF6FAC"/>
    <w:rsid w:val="00DF7224"/>
    <w:rsid w:val="00DF7AD3"/>
    <w:rsid w:val="00DF7F59"/>
    <w:rsid w:val="00DF7F6F"/>
    <w:rsid w:val="00E001CA"/>
    <w:rsid w:val="00E00386"/>
    <w:rsid w:val="00E00496"/>
    <w:rsid w:val="00E00556"/>
    <w:rsid w:val="00E00D07"/>
    <w:rsid w:val="00E00E94"/>
    <w:rsid w:val="00E0101D"/>
    <w:rsid w:val="00E0128D"/>
    <w:rsid w:val="00E01D88"/>
    <w:rsid w:val="00E0229E"/>
    <w:rsid w:val="00E02887"/>
    <w:rsid w:val="00E02996"/>
    <w:rsid w:val="00E02D92"/>
    <w:rsid w:val="00E02DB9"/>
    <w:rsid w:val="00E02FD7"/>
    <w:rsid w:val="00E031AF"/>
    <w:rsid w:val="00E03A2B"/>
    <w:rsid w:val="00E03A9B"/>
    <w:rsid w:val="00E03BFE"/>
    <w:rsid w:val="00E03C56"/>
    <w:rsid w:val="00E03F46"/>
    <w:rsid w:val="00E048F8"/>
    <w:rsid w:val="00E0521E"/>
    <w:rsid w:val="00E05F1B"/>
    <w:rsid w:val="00E05F9B"/>
    <w:rsid w:val="00E061EF"/>
    <w:rsid w:val="00E0672A"/>
    <w:rsid w:val="00E06746"/>
    <w:rsid w:val="00E06F29"/>
    <w:rsid w:val="00E073A4"/>
    <w:rsid w:val="00E0744D"/>
    <w:rsid w:val="00E07786"/>
    <w:rsid w:val="00E100EF"/>
    <w:rsid w:val="00E10501"/>
    <w:rsid w:val="00E105C2"/>
    <w:rsid w:val="00E10F36"/>
    <w:rsid w:val="00E11668"/>
    <w:rsid w:val="00E11826"/>
    <w:rsid w:val="00E11AB6"/>
    <w:rsid w:val="00E12034"/>
    <w:rsid w:val="00E120FA"/>
    <w:rsid w:val="00E13166"/>
    <w:rsid w:val="00E1341F"/>
    <w:rsid w:val="00E13458"/>
    <w:rsid w:val="00E134B8"/>
    <w:rsid w:val="00E13C65"/>
    <w:rsid w:val="00E13E0E"/>
    <w:rsid w:val="00E13F16"/>
    <w:rsid w:val="00E14022"/>
    <w:rsid w:val="00E14131"/>
    <w:rsid w:val="00E14667"/>
    <w:rsid w:val="00E15132"/>
    <w:rsid w:val="00E153E2"/>
    <w:rsid w:val="00E15438"/>
    <w:rsid w:val="00E15793"/>
    <w:rsid w:val="00E15A19"/>
    <w:rsid w:val="00E15F92"/>
    <w:rsid w:val="00E16820"/>
    <w:rsid w:val="00E16E00"/>
    <w:rsid w:val="00E17A9D"/>
    <w:rsid w:val="00E17BFA"/>
    <w:rsid w:val="00E20F16"/>
    <w:rsid w:val="00E219CF"/>
    <w:rsid w:val="00E21ACA"/>
    <w:rsid w:val="00E22288"/>
    <w:rsid w:val="00E22565"/>
    <w:rsid w:val="00E227BA"/>
    <w:rsid w:val="00E229DC"/>
    <w:rsid w:val="00E22FDA"/>
    <w:rsid w:val="00E22FDB"/>
    <w:rsid w:val="00E23016"/>
    <w:rsid w:val="00E23091"/>
    <w:rsid w:val="00E23308"/>
    <w:rsid w:val="00E23418"/>
    <w:rsid w:val="00E23B3E"/>
    <w:rsid w:val="00E23BD4"/>
    <w:rsid w:val="00E23E84"/>
    <w:rsid w:val="00E2414D"/>
    <w:rsid w:val="00E2423F"/>
    <w:rsid w:val="00E244CC"/>
    <w:rsid w:val="00E24793"/>
    <w:rsid w:val="00E24D5D"/>
    <w:rsid w:val="00E25136"/>
    <w:rsid w:val="00E25365"/>
    <w:rsid w:val="00E257AC"/>
    <w:rsid w:val="00E25E44"/>
    <w:rsid w:val="00E2611F"/>
    <w:rsid w:val="00E26800"/>
    <w:rsid w:val="00E26AE5"/>
    <w:rsid w:val="00E26D18"/>
    <w:rsid w:val="00E27329"/>
    <w:rsid w:val="00E278D3"/>
    <w:rsid w:val="00E27C44"/>
    <w:rsid w:val="00E27DC8"/>
    <w:rsid w:val="00E3011A"/>
    <w:rsid w:val="00E302F5"/>
    <w:rsid w:val="00E30624"/>
    <w:rsid w:val="00E30816"/>
    <w:rsid w:val="00E30DF9"/>
    <w:rsid w:val="00E30E84"/>
    <w:rsid w:val="00E30F7E"/>
    <w:rsid w:val="00E312AD"/>
    <w:rsid w:val="00E3156F"/>
    <w:rsid w:val="00E3219C"/>
    <w:rsid w:val="00E3236B"/>
    <w:rsid w:val="00E326A5"/>
    <w:rsid w:val="00E327E5"/>
    <w:rsid w:val="00E33379"/>
    <w:rsid w:val="00E33917"/>
    <w:rsid w:val="00E33B69"/>
    <w:rsid w:val="00E3422C"/>
    <w:rsid w:val="00E34253"/>
    <w:rsid w:val="00E344B2"/>
    <w:rsid w:val="00E346BD"/>
    <w:rsid w:val="00E34B5F"/>
    <w:rsid w:val="00E35265"/>
    <w:rsid w:val="00E354FC"/>
    <w:rsid w:val="00E359D2"/>
    <w:rsid w:val="00E35B77"/>
    <w:rsid w:val="00E3640C"/>
    <w:rsid w:val="00E36576"/>
    <w:rsid w:val="00E36638"/>
    <w:rsid w:val="00E36643"/>
    <w:rsid w:val="00E3694D"/>
    <w:rsid w:val="00E3716B"/>
    <w:rsid w:val="00E37626"/>
    <w:rsid w:val="00E3770D"/>
    <w:rsid w:val="00E37A3C"/>
    <w:rsid w:val="00E37DCF"/>
    <w:rsid w:val="00E37DD9"/>
    <w:rsid w:val="00E4052E"/>
    <w:rsid w:val="00E40F3C"/>
    <w:rsid w:val="00E40F84"/>
    <w:rsid w:val="00E41B7B"/>
    <w:rsid w:val="00E41F07"/>
    <w:rsid w:val="00E426C0"/>
    <w:rsid w:val="00E4393B"/>
    <w:rsid w:val="00E44145"/>
    <w:rsid w:val="00E4447E"/>
    <w:rsid w:val="00E4461C"/>
    <w:rsid w:val="00E446EB"/>
    <w:rsid w:val="00E447EF"/>
    <w:rsid w:val="00E45B3C"/>
    <w:rsid w:val="00E45FBE"/>
    <w:rsid w:val="00E46059"/>
    <w:rsid w:val="00E46065"/>
    <w:rsid w:val="00E46122"/>
    <w:rsid w:val="00E4633D"/>
    <w:rsid w:val="00E470FD"/>
    <w:rsid w:val="00E4762C"/>
    <w:rsid w:val="00E5051F"/>
    <w:rsid w:val="00E512E2"/>
    <w:rsid w:val="00E513D7"/>
    <w:rsid w:val="00E5150B"/>
    <w:rsid w:val="00E5154D"/>
    <w:rsid w:val="00E5177E"/>
    <w:rsid w:val="00E51A5B"/>
    <w:rsid w:val="00E51DED"/>
    <w:rsid w:val="00E526FF"/>
    <w:rsid w:val="00E5291F"/>
    <w:rsid w:val="00E53972"/>
    <w:rsid w:val="00E53B8F"/>
    <w:rsid w:val="00E53C4B"/>
    <w:rsid w:val="00E53E9B"/>
    <w:rsid w:val="00E540FC"/>
    <w:rsid w:val="00E5493B"/>
    <w:rsid w:val="00E54E57"/>
    <w:rsid w:val="00E54F25"/>
    <w:rsid w:val="00E55744"/>
    <w:rsid w:val="00E557C7"/>
    <w:rsid w:val="00E55B5A"/>
    <w:rsid w:val="00E55E70"/>
    <w:rsid w:val="00E560FD"/>
    <w:rsid w:val="00E562B3"/>
    <w:rsid w:val="00E563FF"/>
    <w:rsid w:val="00E566FA"/>
    <w:rsid w:val="00E5699C"/>
    <w:rsid w:val="00E569A7"/>
    <w:rsid w:val="00E56D3A"/>
    <w:rsid w:val="00E57770"/>
    <w:rsid w:val="00E57D7B"/>
    <w:rsid w:val="00E612D3"/>
    <w:rsid w:val="00E61C10"/>
    <w:rsid w:val="00E62D25"/>
    <w:rsid w:val="00E62D99"/>
    <w:rsid w:val="00E62E73"/>
    <w:rsid w:val="00E62EF8"/>
    <w:rsid w:val="00E62F17"/>
    <w:rsid w:val="00E630D3"/>
    <w:rsid w:val="00E63205"/>
    <w:rsid w:val="00E6321C"/>
    <w:rsid w:val="00E63307"/>
    <w:rsid w:val="00E63364"/>
    <w:rsid w:val="00E635C1"/>
    <w:rsid w:val="00E63B88"/>
    <w:rsid w:val="00E63FFE"/>
    <w:rsid w:val="00E641B1"/>
    <w:rsid w:val="00E64823"/>
    <w:rsid w:val="00E64B38"/>
    <w:rsid w:val="00E64CF6"/>
    <w:rsid w:val="00E6511F"/>
    <w:rsid w:val="00E65CE2"/>
    <w:rsid w:val="00E66174"/>
    <w:rsid w:val="00E66370"/>
    <w:rsid w:val="00E66DE7"/>
    <w:rsid w:val="00E66E1C"/>
    <w:rsid w:val="00E66F06"/>
    <w:rsid w:val="00E671B1"/>
    <w:rsid w:val="00E676FF"/>
    <w:rsid w:val="00E679D2"/>
    <w:rsid w:val="00E70371"/>
    <w:rsid w:val="00E703DF"/>
    <w:rsid w:val="00E70B89"/>
    <w:rsid w:val="00E71276"/>
    <w:rsid w:val="00E71750"/>
    <w:rsid w:val="00E7177F"/>
    <w:rsid w:val="00E7225E"/>
    <w:rsid w:val="00E72558"/>
    <w:rsid w:val="00E725D7"/>
    <w:rsid w:val="00E7295B"/>
    <w:rsid w:val="00E72B7E"/>
    <w:rsid w:val="00E73292"/>
    <w:rsid w:val="00E73481"/>
    <w:rsid w:val="00E734AF"/>
    <w:rsid w:val="00E73C03"/>
    <w:rsid w:val="00E73CB4"/>
    <w:rsid w:val="00E7401B"/>
    <w:rsid w:val="00E7483E"/>
    <w:rsid w:val="00E74B7B"/>
    <w:rsid w:val="00E7500F"/>
    <w:rsid w:val="00E7537F"/>
    <w:rsid w:val="00E7546E"/>
    <w:rsid w:val="00E764E4"/>
    <w:rsid w:val="00E7680F"/>
    <w:rsid w:val="00E77895"/>
    <w:rsid w:val="00E77C93"/>
    <w:rsid w:val="00E77FFA"/>
    <w:rsid w:val="00E80722"/>
    <w:rsid w:val="00E807E5"/>
    <w:rsid w:val="00E80D24"/>
    <w:rsid w:val="00E80E90"/>
    <w:rsid w:val="00E80F4D"/>
    <w:rsid w:val="00E8120C"/>
    <w:rsid w:val="00E813AD"/>
    <w:rsid w:val="00E8183D"/>
    <w:rsid w:val="00E81ADC"/>
    <w:rsid w:val="00E81E3D"/>
    <w:rsid w:val="00E81ECC"/>
    <w:rsid w:val="00E8203C"/>
    <w:rsid w:val="00E82296"/>
    <w:rsid w:val="00E82888"/>
    <w:rsid w:val="00E83B43"/>
    <w:rsid w:val="00E84877"/>
    <w:rsid w:val="00E84918"/>
    <w:rsid w:val="00E8535D"/>
    <w:rsid w:val="00E853EF"/>
    <w:rsid w:val="00E855BF"/>
    <w:rsid w:val="00E85B2F"/>
    <w:rsid w:val="00E85BBE"/>
    <w:rsid w:val="00E85D58"/>
    <w:rsid w:val="00E86092"/>
    <w:rsid w:val="00E863C5"/>
    <w:rsid w:val="00E864C7"/>
    <w:rsid w:val="00E8698E"/>
    <w:rsid w:val="00E86D5D"/>
    <w:rsid w:val="00E873A0"/>
    <w:rsid w:val="00E873B1"/>
    <w:rsid w:val="00E8796D"/>
    <w:rsid w:val="00E87A30"/>
    <w:rsid w:val="00E902B6"/>
    <w:rsid w:val="00E903FD"/>
    <w:rsid w:val="00E908FE"/>
    <w:rsid w:val="00E91780"/>
    <w:rsid w:val="00E926D8"/>
    <w:rsid w:val="00E92C45"/>
    <w:rsid w:val="00E92D26"/>
    <w:rsid w:val="00E92F4C"/>
    <w:rsid w:val="00E931C6"/>
    <w:rsid w:val="00E9378F"/>
    <w:rsid w:val="00E93AB1"/>
    <w:rsid w:val="00E93C6A"/>
    <w:rsid w:val="00E93EAE"/>
    <w:rsid w:val="00E94079"/>
    <w:rsid w:val="00E94166"/>
    <w:rsid w:val="00E9475B"/>
    <w:rsid w:val="00E94BED"/>
    <w:rsid w:val="00E954C8"/>
    <w:rsid w:val="00E95820"/>
    <w:rsid w:val="00E960EB"/>
    <w:rsid w:val="00E96454"/>
    <w:rsid w:val="00E96D95"/>
    <w:rsid w:val="00E96F0A"/>
    <w:rsid w:val="00E97A6E"/>
    <w:rsid w:val="00E97D00"/>
    <w:rsid w:val="00EA0597"/>
    <w:rsid w:val="00EA0A63"/>
    <w:rsid w:val="00EA10B1"/>
    <w:rsid w:val="00EA13B7"/>
    <w:rsid w:val="00EA164A"/>
    <w:rsid w:val="00EA176A"/>
    <w:rsid w:val="00EA1B09"/>
    <w:rsid w:val="00EA1DB0"/>
    <w:rsid w:val="00EA1E37"/>
    <w:rsid w:val="00EA1E4B"/>
    <w:rsid w:val="00EA212D"/>
    <w:rsid w:val="00EA2736"/>
    <w:rsid w:val="00EA2FA0"/>
    <w:rsid w:val="00EA35A7"/>
    <w:rsid w:val="00EA3655"/>
    <w:rsid w:val="00EA3670"/>
    <w:rsid w:val="00EA38DE"/>
    <w:rsid w:val="00EA3B33"/>
    <w:rsid w:val="00EA3CEB"/>
    <w:rsid w:val="00EA4434"/>
    <w:rsid w:val="00EA45E1"/>
    <w:rsid w:val="00EA4613"/>
    <w:rsid w:val="00EA46B4"/>
    <w:rsid w:val="00EA492A"/>
    <w:rsid w:val="00EA4A3E"/>
    <w:rsid w:val="00EA4B2D"/>
    <w:rsid w:val="00EA4DB9"/>
    <w:rsid w:val="00EA4ED0"/>
    <w:rsid w:val="00EA4F23"/>
    <w:rsid w:val="00EA5535"/>
    <w:rsid w:val="00EA5C47"/>
    <w:rsid w:val="00EA5C71"/>
    <w:rsid w:val="00EA6417"/>
    <w:rsid w:val="00EA686F"/>
    <w:rsid w:val="00EA6A02"/>
    <w:rsid w:val="00EA6B58"/>
    <w:rsid w:val="00EA7343"/>
    <w:rsid w:val="00EA7811"/>
    <w:rsid w:val="00EA7D1F"/>
    <w:rsid w:val="00EB0BF8"/>
    <w:rsid w:val="00EB0DAC"/>
    <w:rsid w:val="00EB1091"/>
    <w:rsid w:val="00EB1172"/>
    <w:rsid w:val="00EB12A0"/>
    <w:rsid w:val="00EB12ED"/>
    <w:rsid w:val="00EB1329"/>
    <w:rsid w:val="00EB14D8"/>
    <w:rsid w:val="00EB15E6"/>
    <w:rsid w:val="00EB1B2C"/>
    <w:rsid w:val="00EB1E8C"/>
    <w:rsid w:val="00EB2ADD"/>
    <w:rsid w:val="00EB2C0B"/>
    <w:rsid w:val="00EB2D1A"/>
    <w:rsid w:val="00EB38D2"/>
    <w:rsid w:val="00EB3C31"/>
    <w:rsid w:val="00EB4315"/>
    <w:rsid w:val="00EB4354"/>
    <w:rsid w:val="00EB5131"/>
    <w:rsid w:val="00EB51E1"/>
    <w:rsid w:val="00EB5606"/>
    <w:rsid w:val="00EB5702"/>
    <w:rsid w:val="00EB5D27"/>
    <w:rsid w:val="00EB6A7F"/>
    <w:rsid w:val="00EB6D14"/>
    <w:rsid w:val="00EB6DE9"/>
    <w:rsid w:val="00EB714F"/>
    <w:rsid w:val="00EB7164"/>
    <w:rsid w:val="00EB71DB"/>
    <w:rsid w:val="00EB7811"/>
    <w:rsid w:val="00EB7ABD"/>
    <w:rsid w:val="00EB7E7F"/>
    <w:rsid w:val="00EC093B"/>
    <w:rsid w:val="00EC09FE"/>
    <w:rsid w:val="00EC10F1"/>
    <w:rsid w:val="00EC1130"/>
    <w:rsid w:val="00EC1BF4"/>
    <w:rsid w:val="00EC229B"/>
    <w:rsid w:val="00EC26D8"/>
    <w:rsid w:val="00EC3CB6"/>
    <w:rsid w:val="00EC4177"/>
    <w:rsid w:val="00EC47A3"/>
    <w:rsid w:val="00EC4A32"/>
    <w:rsid w:val="00EC4AC8"/>
    <w:rsid w:val="00EC4C9A"/>
    <w:rsid w:val="00EC52DF"/>
    <w:rsid w:val="00EC551C"/>
    <w:rsid w:val="00EC5784"/>
    <w:rsid w:val="00EC5E68"/>
    <w:rsid w:val="00EC66AF"/>
    <w:rsid w:val="00EC6B29"/>
    <w:rsid w:val="00EC77D1"/>
    <w:rsid w:val="00EC7AAA"/>
    <w:rsid w:val="00EC7C7A"/>
    <w:rsid w:val="00EC7D12"/>
    <w:rsid w:val="00EC7DB7"/>
    <w:rsid w:val="00EC7EC4"/>
    <w:rsid w:val="00ED0604"/>
    <w:rsid w:val="00ED0BF2"/>
    <w:rsid w:val="00ED0C12"/>
    <w:rsid w:val="00ED1505"/>
    <w:rsid w:val="00ED1553"/>
    <w:rsid w:val="00ED1A5F"/>
    <w:rsid w:val="00ED1E96"/>
    <w:rsid w:val="00ED2136"/>
    <w:rsid w:val="00ED2332"/>
    <w:rsid w:val="00ED2F3B"/>
    <w:rsid w:val="00ED3526"/>
    <w:rsid w:val="00ED3A4B"/>
    <w:rsid w:val="00ED3C10"/>
    <w:rsid w:val="00ED3CEA"/>
    <w:rsid w:val="00ED3DD5"/>
    <w:rsid w:val="00ED3E16"/>
    <w:rsid w:val="00ED45DC"/>
    <w:rsid w:val="00ED4780"/>
    <w:rsid w:val="00ED48E1"/>
    <w:rsid w:val="00ED49B6"/>
    <w:rsid w:val="00ED50AF"/>
    <w:rsid w:val="00ED5EF1"/>
    <w:rsid w:val="00ED64BD"/>
    <w:rsid w:val="00ED657D"/>
    <w:rsid w:val="00ED6A80"/>
    <w:rsid w:val="00ED6B77"/>
    <w:rsid w:val="00ED7236"/>
    <w:rsid w:val="00ED7268"/>
    <w:rsid w:val="00ED7383"/>
    <w:rsid w:val="00ED7672"/>
    <w:rsid w:val="00ED783C"/>
    <w:rsid w:val="00ED7B46"/>
    <w:rsid w:val="00ED7D21"/>
    <w:rsid w:val="00ED7E60"/>
    <w:rsid w:val="00EE0163"/>
    <w:rsid w:val="00EE021D"/>
    <w:rsid w:val="00EE10D0"/>
    <w:rsid w:val="00EE10EC"/>
    <w:rsid w:val="00EE138B"/>
    <w:rsid w:val="00EE143B"/>
    <w:rsid w:val="00EE1ED1"/>
    <w:rsid w:val="00EE337F"/>
    <w:rsid w:val="00EE34DA"/>
    <w:rsid w:val="00EE3550"/>
    <w:rsid w:val="00EE35B4"/>
    <w:rsid w:val="00EE3B3E"/>
    <w:rsid w:val="00EE3CAF"/>
    <w:rsid w:val="00EE3F3E"/>
    <w:rsid w:val="00EE4F64"/>
    <w:rsid w:val="00EE50F7"/>
    <w:rsid w:val="00EE57C3"/>
    <w:rsid w:val="00EE5EB5"/>
    <w:rsid w:val="00EE5F95"/>
    <w:rsid w:val="00EE61B0"/>
    <w:rsid w:val="00EE6490"/>
    <w:rsid w:val="00EE650E"/>
    <w:rsid w:val="00EE6945"/>
    <w:rsid w:val="00EE69B5"/>
    <w:rsid w:val="00EE6BD9"/>
    <w:rsid w:val="00EE6FA1"/>
    <w:rsid w:val="00EE704F"/>
    <w:rsid w:val="00EE79C9"/>
    <w:rsid w:val="00EE7A1A"/>
    <w:rsid w:val="00EF02F8"/>
    <w:rsid w:val="00EF0344"/>
    <w:rsid w:val="00EF050A"/>
    <w:rsid w:val="00EF0B11"/>
    <w:rsid w:val="00EF0BA1"/>
    <w:rsid w:val="00EF1487"/>
    <w:rsid w:val="00EF1E06"/>
    <w:rsid w:val="00EF256A"/>
    <w:rsid w:val="00EF2F4B"/>
    <w:rsid w:val="00EF317F"/>
    <w:rsid w:val="00EF31EF"/>
    <w:rsid w:val="00EF35E1"/>
    <w:rsid w:val="00EF3E4F"/>
    <w:rsid w:val="00EF3FE6"/>
    <w:rsid w:val="00EF461E"/>
    <w:rsid w:val="00EF503B"/>
    <w:rsid w:val="00EF562C"/>
    <w:rsid w:val="00EF6055"/>
    <w:rsid w:val="00EF60A4"/>
    <w:rsid w:val="00EF6753"/>
    <w:rsid w:val="00EF6E37"/>
    <w:rsid w:val="00EF6F1D"/>
    <w:rsid w:val="00EF7525"/>
    <w:rsid w:val="00F00000"/>
    <w:rsid w:val="00F0018A"/>
    <w:rsid w:val="00F001FE"/>
    <w:rsid w:val="00F00F85"/>
    <w:rsid w:val="00F01199"/>
    <w:rsid w:val="00F011A3"/>
    <w:rsid w:val="00F016B9"/>
    <w:rsid w:val="00F02769"/>
    <w:rsid w:val="00F02AE0"/>
    <w:rsid w:val="00F02BE5"/>
    <w:rsid w:val="00F02EB4"/>
    <w:rsid w:val="00F034DB"/>
    <w:rsid w:val="00F03763"/>
    <w:rsid w:val="00F03A1C"/>
    <w:rsid w:val="00F03CBB"/>
    <w:rsid w:val="00F03F86"/>
    <w:rsid w:val="00F04085"/>
    <w:rsid w:val="00F04214"/>
    <w:rsid w:val="00F0433B"/>
    <w:rsid w:val="00F04373"/>
    <w:rsid w:val="00F04497"/>
    <w:rsid w:val="00F050DE"/>
    <w:rsid w:val="00F052EB"/>
    <w:rsid w:val="00F05455"/>
    <w:rsid w:val="00F05838"/>
    <w:rsid w:val="00F05879"/>
    <w:rsid w:val="00F058C9"/>
    <w:rsid w:val="00F05A7B"/>
    <w:rsid w:val="00F05B6C"/>
    <w:rsid w:val="00F05F04"/>
    <w:rsid w:val="00F06035"/>
    <w:rsid w:val="00F060E6"/>
    <w:rsid w:val="00F0611B"/>
    <w:rsid w:val="00F06C41"/>
    <w:rsid w:val="00F07AEB"/>
    <w:rsid w:val="00F07CA4"/>
    <w:rsid w:val="00F1004E"/>
    <w:rsid w:val="00F10504"/>
    <w:rsid w:val="00F105A3"/>
    <w:rsid w:val="00F1113E"/>
    <w:rsid w:val="00F116BB"/>
    <w:rsid w:val="00F1175B"/>
    <w:rsid w:val="00F117E4"/>
    <w:rsid w:val="00F11ED8"/>
    <w:rsid w:val="00F129DB"/>
    <w:rsid w:val="00F12A84"/>
    <w:rsid w:val="00F12CC2"/>
    <w:rsid w:val="00F1311D"/>
    <w:rsid w:val="00F13D62"/>
    <w:rsid w:val="00F13E3D"/>
    <w:rsid w:val="00F142EC"/>
    <w:rsid w:val="00F143BE"/>
    <w:rsid w:val="00F144B0"/>
    <w:rsid w:val="00F144F9"/>
    <w:rsid w:val="00F14794"/>
    <w:rsid w:val="00F14904"/>
    <w:rsid w:val="00F14E74"/>
    <w:rsid w:val="00F15704"/>
    <w:rsid w:val="00F1597A"/>
    <w:rsid w:val="00F15E16"/>
    <w:rsid w:val="00F16468"/>
    <w:rsid w:val="00F16CEF"/>
    <w:rsid w:val="00F16F12"/>
    <w:rsid w:val="00F16F9A"/>
    <w:rsid w:val="00F203D4"/>
    <w:rsid w:val="00F20A46"/>
    <w:rsid w:val="00F20A4D"/>
    <w:rsid w:val="00F20E34"/>
    <w:rsid w:val="00F20EF6"/>
    <w:rsid w:val="00F213B5"/>
    <w:rsid w:val="00F214A5"/>
    <w:rsid w:val="00F22192"/>
    <w:rsid w:val="00F223F9"/>
    <w:rsid w:val="00F2253B"/>
    <w:rsid w:val="00F22572"/>
    <w:rsid w:val="00F22D6D"/>
    <w:rsid w:val="00F22F47"/>
    <w:rsid w:val="00F23F0A"/>
    <w:rsid w:val="00F23FA2"/>
    <w:rsid w:val="00F241E4"/>
    <w:rsid w:val="00F2486C"/>
    <w:rsid w:val="00F24D1A"/>
    <w:rsid w:val="00F24D8A"/>
    <w:rsid w:val="00F255DF"/>
    <w:rsid w:val="00F259E5"/>
    <w:rsid w:val="00F25EC9"/>
    <w:rsid w:val="00F2605A"/>
    <w:rsid w:val="00F2609F"/>
    <w:rsid w:val="00F260E7"/>
    <w:rsid w:val="00F261BE"/>
    <w:rsid w:val="00F266B9"/>
    <w:rsid w:val="00F26B93"/>
    <w:rsid w:val="00F26B98"/>
    <w:rsid w:val="00F271E3"/>
    <w:rsid w:val="00F27C9A"/>
    <w:rsid w:val="00F30287"/>
    <w:rsid w:val="00F3051E"/>
    <w:rsid w:val="00F309BD"/>
    <w:rsid w:val="00F30B56"/>
    <w:rsid w:val="00F31730"/>
    <w:rsid w:val="00F31E04"/>
    <w:rsid w:val="00F31E48"/>
    <w:rsid w:val="00F31E62"/>
    <w:rsid w:val="00F32A20"/>
    <w:rsid w:val="00F32BDE"/>
    <w:rsid w:val="00F32EC5"/>
    <w:rsid w:val="00F331BC"/>
    <w:rsid w:val="00F3382A"/>
    <w:rsid w:val="00F33ACA"/>
    <w:rsid w:val="00F33BB3"/>
    <w:rsid w:val="00F33BF5"/>
    <w:rsid w:val="00F3447C"/>
    <w:rsid w:val="00F34855"/>
    <w:rsid w:val="00F34899"/>
    <w:rsid w:val="00F3489C"/>
    <w:rsid w:val="00F34B55"/>
    <w:rsid w:val="00F34B75"/>
    <w:rsid w:val="00F3524E"/>
    <w:rsid w:val="00F357C3"/>
    <w:rsid w:val="00F35A19"/>
    <w:rsid w:val="00F35BDE"/>
    <w:rsid w:val="00F36098"/>
    <w:rsid w:val="00F36200"/>
    <w:rsid w:val="00F37805"/>
    <w:rsid w:val="00F37BD1"/>
    <w:rsid w:val="00F40B73"/>
    <w:rsid w:val="00F4186E"/>
    <w:rsid w:val="00F41CAA"/>
    <w:rsid w:val="00F4211D"/>
    <w:rsid w:val="00F4217F"/>
    <w:rsid w:val="00F422FE"/>
    <w:rsid w:val="00F426C2"/>
    <w:rsid w:val="00F4275A"/>
    <w:rsid w:val="00F429DB"/>
    <w:rsid w:val="00F42A78"/>
    <w:rsid w:val="00F42FED"/>
    <w:rsid w:val="00F4328A"/>
    <w:rsid w:val="00F43623"/>
    <w:rsid w:val="00F4363B"/>
    <w:rsid w:val="00F4399D"/>
    <w:rsid w:val="00F43A2D"/>
    <w:rsid w:val="00F43A4A"/>
    <w:rsid w:val="00F43C71"/>
    <w:rsid w:val="00F43F6C"/>
    <w:rsid w:val="00F44CAE"/>
    <w:rsid w:val="00F44CBB"/>
    <w:rsid w:val="00F44CCE"/>
    <w:rsid w:val="00F45C22"/>
    <w:rsid w:val="00F45CF0"/>
    <w:rsid w:val="00F45DDF"/>
    <w:rsid w:val="00F463A8"/>
    <w:rsid w:val="00F466E5"/>
    <w:rsid w:val="00F46703"/>
    <w:rsid w:val="00F46EEF"/>
    <w:rsid w:val="00F47817"/>
    <w:rsid w:val="00F47D14"/>
    <w:rsid w:val="00F501FD"/>
    <w:rsid w:val="00F504DF"/>
    <w:rsid w:val="00F50766"/>
    <w:rsid w:val="00F50881"/>
    <w:rsid w:val="00F51316"/>
    <w:rsid w:val="00F514DE"/>
    <w:rsid w:val="00F51ACC"/>
    <w:rsid w:val="00F51BDA"/>
    <w:rsid w:val="00F51C44"/>
    <w:rsid w:val="00F51D8C"/>
    <w:rsid w:val="00F52005"/>
    <w:rsid w:val="00F528D4"/>
    <w:rsid w:val="00F52F28"/>
    <w:rsid w:val="00F53D53"/>
    <w:rsid w:val="00F548F6"/>
    <w:rsid w:val="00F54A28"/>
    <w:rsid w:val="00F54A4F"/>
    <w:rsid w:val="00F54DD9"/>
    <w:rsid w:val="00F552C2"/>
    <w:rsid w:val="00F55306"/>
    <w:rsid w:val="00F555A9"/>
    <w:rsid w:val="00F55795"/>
    <w:rsid w:val="00F557E0"/>
    <w:rsid w:val="00F56369"/>
    <w:rsid w:val="00F5637F"/>
    <w:rsid w:val="00F5686F"/>
    <w:rsid w:val="00F56958"/>
    <w:rsid w:val="00F56AA9"/>
    <w:rsid w:val="00F56EAF"/>
    <w:rsid w:val="00F570D6"/>
    <w:rsid w:val="00F5724D"/>
    <w:rsid w:val="00F6022F"/>
    <w:rsid w:val="00F606D0"/>
    <w:rsid w:val="00F606FF"/>
    <w:rsid w:val="00F6073D"/>
    <w:rsid w:val="00F60CC5"/>
    <w:rsid w:val="00F61142"/>
    <w:rsid w:val="00F61F18"/>
    <w:rsid w:val="00F61F57"/>
    <w:rsid w:val="00F624A7"/>
    <w:rsid w:val="00F630E9"/>
    <w:rsid w:val="00F6312E"/>
    <w:rsid w:val="00F633C0"/>
    <w:rsid w:val="00F636B6"/>
    <w:rsid w:val="00F638BD"/>
    <w:rsid w:val="00F63CBB"/>
    <w:rsid w:val="00F64813"/>
    <w:rsid w:val="00F64BA3"/>
    <w:rsid w:val="00F64D1E"/>
    <w:rsid w:val="00F650D1"/>
    <w:rsid w:val="00F65121"/>
    <w:rsid w:val="00F654CC"/>
    <w:rsid w:val="00F65737"/>
    <w:rsid w:val="00F65ABF"/>
    <w:rsid w:val="00F67738"/>
    <w:rsid w:val="00F6778A"/>
    <w:rsid w:val="00F67D8B"/>
    <w:rsid w:val="00F67D92"/>
    <w:rsid w:val="00F67F3F"/>
    <w:rsid w:val="00F709C3"/>
    <w:rsid w:val="00F70DBB"/>
    <w:rsid w:val="00F70FC0"/>
    <w:rsid w:val="00F711CA"/>
    <w:rsid w:val="00F711CC"/>
    <w:rsid w:val="00F71726"/>
    <w:rsid w:val="00F719E1"/>
    <w:rsid w:val="00F71AEC"/>
    <w:rsid w:val="00F72657"/>
    <w:rsid w:val="00F72702"/>
    <w:rsid w:val="00F73430"/>
    <w:rsid w:val="00F73599"/>
    <w:rsid w:val="00F738F3"/>
    <w:rsid w:val="00F742F3"/>
    <w:rsid w:val="00F74A1A"/>
    <w:rsid w:val="00F74A39"/>
    <w:rsid w:val="00F74D26"/>
    <w:rsid w:val="00F74DE5"/>
    <w:rsid w:val="00F750F8"/>
    <w:rsid w:val="00F75294"/>
    <w:rsid w:val="00F75BEC"/>
    <w:rsid w:val="00F75D80"/>
    <w:rsid w:val="00F77406"/>
    <w:rsid w:val="00F80105"/>
    <w:rsid w:val="00F80256"/>
    <w:rsid w:val="00F80A51"/>
    <w:rsid w:val="00F80DBB"/>
    <w:rsid w:val="00F8131D"/>
    <w:rsid w:val="00F813E0"/>
    <w:rsid w:val="00F82020"/>
    <w:rsid w:val="00F8202B"/>
    <w:rsid w:val="00F82FE6"/>
    <w:rsid w:val="00F82FEB"/>
    <w:rsid w:val="00F8339D"/>
    <w:rsid w:val="00F83B58"/>
    <w:rsid w:val="00F841D1"/>
    <w:rsid w:val="00F842A0"/>
    <w:rsid w:val="00F842FE"/>
    <w:rsid w:val="00F843FF"/>
    <w:rsid w:val="00F848E0"/>
    <w:rsid w:val="00F86117"/>
    <w:rsid w:val="00F8672D"/>
    <w:rsid w:val="00F868C0"/>
    <w:rsid w:val="00F86A0C"/>
    <w:rsid w:val="00F86C29"/>
    <w:rsid w:val="00F86D04"/>
    <w:rsid w:val="00F870CF"/>
    <w:rsid w:val="00F87467"/>
    <w:rsid w:val="00F879E9"/>
    <w:rsid w:val="00F87A07"/>
    <w:rsid w:val="00F906B1"/>
    <w:rsid w:val="00F90748"/>
    <w:rsid w:val="00F90806"/>
    <w:rsid w:val="00F9088D"/>
    <w:rsid w:val="00F91117"/>
    <w:rsid w:val="00F915B4"/>
    <w:rsid w:val="00F916FE"/>
    <w:rsid w:val="00F91F52"/>
    <w:rsid w:val="00F920C2"/>
    <w:rsid w:val="00F92217"/>
    <w:rsid w:val="00F92295"/>
    <w:rsid w:val="00F92442"/>
    <w:rsid w:val="00F93073"/>
    <w:rsid w:val="00F933B2"/>
    <w:rsid w:val="00F93714"/>
    <w:rsid w:val="00F938A1"/>
    <w:rsid w:val="00F93BBB"/>
    <w:rsid w:val="00F93D40"/>
    <w:rsid w:val="00F94076"/>
    <w:rsid w:val="00F94294"/>
    <w:rsid w:val="00F9580D"/>
    <w:rsid w:val="00F96267"/>
    <w:rsid w:val="00F9637F"/>
    <w:rsid w:val="00F965D1"/>
    <w:rsid w:val="00F966BF"/>
    <w:rsid w:val="00F96B5C"/>
    <w:rsid w:val="00F96F51"/>
    <w:rsid w:val="00F97B75"/>
    <w:rsid w:val="00F97E0C"/>
    <w:rsid w:val="00FA02BF"/>
    <w:rsid w:val="00FA10DB"/>
    <w:rsid w:val="00FA12D3"/>
    <w:rsid w:val="00FA1661"/>
    <w:rsid w:val="00FA16D1"/>
    <w:rsid w:val="00FA18FD"/>
    <w:rsid w:val="00FA215A"/>
    <w:rsid w:val="00FA2443"/>
    <w:rsid w:val="00FA24FC"/>
    <w:rsid w:val="00FA27C1"/>
    <w:rsid w:val="00FA298E"/>
    <w:rsid w:val="00FA2ACC"/>
    <w:rsid w:val="00FA2FE7"/>
    <w:rsid w:val="00FA3168"/>
    <w:rsid w:val="00FA33C2"/>
    <w:rsid w:val="00FA343E"/>
    <w:rsid w:val="00FA377A"/>
    <w:rsid w:val="00FA3AD5"/>
    <w:rsid w:val="00FA3C41"/>
    <w:rsid w:val="00FA3FE6"/>
    <w:rsid w:val="00FA41FE"/>
    <w:rsid w:val="00FA471F"/>
    <w:rsid w:val="00FA4828"/>
    <w:rsid w:val="00FA50A1"/>
    <w:rsid w:val="00FA52CE"/>
    <w:rsid w:val="00FA5FDA"/>
    <w:rsid w:val="00FA6574"/>
    <w:rsid w:val="00FA72E9"/>
    <w:rsid w:val="00FA74E6"/>
    <w:rsid w:val="00FA7608"/>
    <w:rsid w:val="00FA7991"/>
    <w:rsid w:val="00FA7C3E"/>
    <w:rsid w:val="00FA7FAF"/>
    <w:rsid w:val="00FB124C"/>
    <w:rsid w:val="00FB1399"/>
    <w:rsid w:val="00FB199C"/>
    <w:rsid w:val="00FB1FD5"/>
    <w:rsid w:val="00FB2692"/>
    <w:rsid w:val="00FB2861"/>
    <w:rsid w:val="00FB2EF7"/>
    <w:rsid w:val="00FB2FBD"/>
    <w:rsid w:val="00FB32DB"/>
    <w:rsid w:val="00FB3497"/>
    <w:rsid w:val="00FB3504"/>
    <w:rsid w:val="00FB37D9"/>
    <w:rsid w:val="00FB3EA8"/>
    <w:rsid w:val="00FB3F67"/>
    <w:rsid w:val="00FB44BC"/>
    <w:rsid w:val="00FB4DC6"/>
    <w:rsid w:val="00FB5B3F"/>
    <w:rsid w:val="00FB5EE0"/>
    <w:rsid w:val="00FB5FD4"/>
    <w:rsid w:val="00FB615E"/>
    <w:rsid w:val="00FB667D"/>
    <w:rsid w:val="00FB6889"/>
    <w:rsid w:val="00FB68B5"/>
    <w:rsid w:val="00FB71D5"/>
    <w:rsid w:val="00FB74E0"/>
    <w:rsid w:val="00FB76EE"/>
    <w:rsid w:val="00FB7AB5"/>
    <w:rsid w:val="00FB7AF4"/>
    <w:rsid w:val="00FB7DA7"/>
    <w:rsid w:val="00FB7FA2"/>
    <w:rsid w:val="00FC02FA"/>
    <w:rsid w:val="00FC03CE"/>
    <w:rsid w:val="00FC0568"/>
    <w:rsid w:val="00FC0759"/>
    <w:rsid w:val="00FC0986"/>
    <w:rsid w:val="00FC0CF3"/>
    <w:rsid w:val="00FC0F47"/>
    <w:rsid w:val="00FC1634"/>
    <w:rsid w:val="00FC1DD2"/>
    <w:rsid w:val="00FC1E84"/>
    <w:rsid w:val="00FC2004"/>
    <w:rsid w:val="00FC2125"/>
    <w:rsid w:val="00FC217E"/>
    <w:rsid w:val="00FC25CA"/>
    <w:rsid w:val="00FC2F0A"/>
    <w:rsid w:val="00FC3101"/>
    <w:rsid w:val="00FC3133"/>
    <w:rsid w:val="00FC4249"/>
    <w:rsid w:val="00FC452D"/>
    <w:rsid w:val="00FC475E"/>
    <w:rsid w:val="00FC4A55"/>
    <w:rsid w:val="00FC4D53"/>
    <w:rsid w:val="00FC5394"/>
    <w:rsid w:val="00FC5498"/>
    <w:rsid w:val="00FC5B40"/>
    <w:rsid w:val="00FC5C0D"/>
    <w:rsid w:val="00FC5D92"/>
    <w:rsid w:val="00FC5DD6"/>
    <w:rsid w:val="00FC5FC3"/>
    <w:rsid w:val="00FC64D5"/>
    <w:rsid w:val="00FC65C1"/>
    <w:rsid w:val="00FC66FA"/>
    <w:rsid w:val="00FC714B"/>
    <w:rsid w:val="00FC7F5C"/>
    <w:rsid w:val="00FD05B0"/>
    <w:rsid w:val="00FD09E2"/>
    <w:rsid w:val="00FD0D8B"/>
    <w:rsid w:val="00FD183A"/>
    <w:rsid w:val="00FD189B"/>
    <w:rsid w:val="00FD1D3E"/>
    <w:rsid w:val="00FD1FEB"/>
    <w:rsid w:val="00FD2111"/>
    <w:rsid w:val="00FD296D"/>
    <w:rsid w:val="00FD303F"/>
    <w:rsid w:val="00FD39B3"/>
    <w:rsid w:val="00FD3C54"/>
    <w:rsid w:val="00FD3E1B"/>
    <w:rsid w:val="00FD4937"/>
    <w:rsid w:val="00FD4A80"/>
    <w:rsid w:val="00FD4A93"/>
    <w:rsid w:val="00FD508E"/>
    <w:rsid w:val="00FD5A61"/>
    <w:rsid w:val="00FD5A79"/>
    <w:rsid w:val="00FD5B39"/>
    <w:rsid w:val="00FD5E09"/>
    <w:rsid w:val="00FD5E43"/>
    <w:rsid w:val="00FD6310"/>
    <w:rsid w:val="00FD63CB"/>
    <w:rsid w:val="00FD653F"/>
    <w:rsid w:val="00FD6861"/>
    <w:rsid w:val="00FD6C8E"/>
    <w:rsid w:val="00FD705F"/>
    <w:rsid w:val="00FD74D5"/>
    <w:rsid w:val="00FD7E5D"/>
    <w:rsid w:val="00FE011E"/>
    <w:rsid w:val="00FE0439"/>
    <w:rsid w:val="00FE0B19"/>
    <w:rsid w:val="00FE0CB3"/>
    <w:rsid w:val="00FE1417"/>
    <w:rsid w:val="00FE19CA"/>
    <w:rsid w:val="00FE1F07"/>
    <w:rsid w:val="00FE20CF"/>
    <w:rsid w:val="00FE2249"/>
    <w:rsid w:val="00FE27BC"/>
    <w:rsid w:val="00FE27FE"/>
    <w:rsid w:val="00FE2F7B"/>
    <w:rsid w:val="00FE3413"/>
    <w:rsid w:val="00FE347A"/>
    <w:rsid w:val="00FE3A95"/>
    <w:rsid w:val="00FE4DC4"/>
    <w:rsid w:val="00FE4E02"/>
    <w:rsid w:val="00FE4E2E"/>
    <w:rsid w:val="00FE5212"/>
    <w:rsid w:val="00FE5586"/>
    <w:rsid w:val="00FE564E"/>
    <w:rsid w:val="00FE5853"/>
    <w:rsid w:val="00FE5B9A"/>
    <w:rsid w:val="00FE5D10"/>
    <w:rsid w:val="00FE5E69"/>
    <w:rsid w:val="00FE6526"/>
    <w:rsid w:val="00FE65A9"/>
    <w:rsid w:val="00FE6D9C"/>
    <w:rsid w:val="00FE7275"/>
    <w:rsid w:val="00FE76F3"/>
    <w:rsid w:val="00FE7754"/>
    <w:rsid w:val="00FE78AA"/>
    <w:rsid w:val="00FE7EB3"/>
    <w:rsid w:val="00FF0422"/>
    <w:rsid w:val="00FF0DF9"/>
    <w:rsid w:val="00FF0E03"/>
    <w:rsid w:val="00FF140A"/>
    <w:rsid w:val="00FF1D8E"/>
    <w:rsid w:val="00FF1E6B"/>
    <w:rsid w:val="00FF20C6"/>
    <w:rsid w:val="00FF21C9"/>
    <w:rsid w:val="00FF2323"/>
    <w:rsid w:val="00FF24B0"/>
    <w:rsid w:val="00FF28AD"/>
    <w:rsid w:val="00FF2986"/>
    <w:rsid w:val="00FF2CD2"/>
    <w:rsid w:val="00FF36F1"/>
    <w:rsid w:val="00FF373F"/>
    <w:rsid w:val="00FF38BE"/>
    <w:rsid w:val="00FF3E17"/>
    <w:rsid w:val="00FF4260"/>
    <w:rsid w:val="00FF4FAA"/>
    <w:rsid w:val="00FF5C1D"/>
    <w:rsid w:val="00FF61F0"/>
    <w:rsid w:val="00FF6B8D"/>
    <w:rsid w:val="00FF6BF5"/>
    <w:rsid w:val="00FF70EF"/>
    <w:rsid w:val="00FF7143"/>
    <w:rsid w:val="00FF78E7"/>
    <w:rsid w:val="00FF7B42"/>
    <w:rsid w:val="00FF7CF1"/>
    <w:rsid w:val="7C3C9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20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420" w:lineRule="exact"/>
    </w:pPr>
    <w:rPr>
      <w:rFonts w:hint="eastAsia" w:ascii="宋体" w:hAnsi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6">
    <w:name w:val="apple-converted-space"/>
    <w:basedOn w:val="12"/>
    <w:qFormat/>
    <w:uiPriority w:val="0"/>
  </w:style>
  <w:style w:type="character" w:customStyle="1" w:styleId="17">
    <w:name w:val="grame"/>
    <w:basedOn w:val="12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3 Char"/>
    <w:basedOn w:val="12"/>
    <w:link w:val="4"/>
    <w:qFormat/>
    <w:uiPriority w:val="9"/>
    <w:rPr>
      <w:b/>
      <w:bCs/>
      <w:kern w:val="2"/>
      <w:sz w:val="32"/>
      <w:szCs w:val="32"/>
    </w:rPr>
  </w:style>
  <w:style w:type="character" w:customStyle="1" w:styleId="20">
    <w:name w:val="纯文本 Char"/>
    <w:link w:val="5"/>
    <w:qFormat/>
    <w:uiPriority w:val="0"/>
    <w:rPr>
      <w:rFonts w:ascii="宋体" w:hAnsi="Courier New" w:cs="Courier New"/>
      <w:szCs w:val="21"/>
    </w:rPr>
  </w:style>
  <w:style w:type="character" w:customStyle="1" w:styleId="21">
    <w:name w:val="纯文本 Char1"/>
    <w:basedOn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2 Char"/>
    <w:basedOn w:val="12"/>
    <w:link w:val="3"/>
    <w:semiHidden/>
    <w:qFormat/>
    <w:uiPriority w:val="9"/>
    <w:rPr>
      <w:rFonts w:ascii="Calibri Light" w:hAnsi="Calibri Light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chart" Target="charts/chart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true"/>
    <c:plotArea>
      <c:layout>
        <c:manualLayout>
          <c:layoutTarget val="inner"/>
          <c:xMode val="edge"/>
          <c:yMode val="edge"/>
          <c:x val="0.0830393114440943"/>
          <c:y val="0.154167977688562"/>
          <c:w val="0.849619376199886"/>
          <c:h val="0.7379313696899"/>
        </c:manualLayout>
      </c:layout>
      <c:lineChart>
        <c:grouping val="standard"/>
        <c:varyColors val="false"/>
        <c:ser>
          <c:idx val="0"/>
          <c:order val="0"/>
          <c:tx>
            <c:strRef>
              <c:f>Sheet1!$B$1</c:f>
              <c:strCache>
                <c:ptCount val="1"/>
                <c:pt idx="0">
                  <c:v>2019年可比价增速（%）</c:v>
                </c:pt>
              </c:strCache>
            </c:strRef>
          </c:tx>
          <c:spPr>
            <a:ln w="15875" cap="rnd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diamond"/>
            <c:size val="5"/>
            <c:spPr>
              <a:ln w="3175" cap="flat" cmpd="sng" algn="ctr">
                <a:solidFill>
                  <a:srgbClr val="4F81BD">
                    <a:shade val="95000"/>
                    <a:satMod val="105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52532833020638"/>
                  <c:y val="-0.050514435695538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75234521575985"/>
                  <c:y val="-0.0420780839895014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76906826609152"/>
                  <c:y val="-0.050515091863517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73565171145352"/>
                  <c:y val="-0.050515091863517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6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Sheet1!$A$2:$A$5</c:f>
              <c:strCache>
                <c:ptCount val="4"/>
                <c:pt idx="0">
                  <c:v>1季</c:v>
                </c:pt>
                <c:pt idx="1">
                  <c:v>1-2季</c:v>
                </c:pt>
                <c:pt idx="2">
                  <c:v>1-3季</c:v>
                </c:pt>
                <c:pt idx="3">
                  <c:v>1-4季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-1.5</c:v>
                </c:pt>
                <c:pt idx="1">
                  <c:v>4.1</c:v>
                </c:pt>
                <c:pt idx="2">
                  <c:v>0.2</c:v>
                </c:pt>
                <c:pt idx="3">
                  <c:v>0.8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2020年可比价增速（%）</c:v>
                </c:pt>
              </c:strCache>
            </c:strRef>
          </c:tx>
          <c:spPr>
            <a:ln w="15875" cap="rnd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square"/>
            <c:size val="5"/>
          </c:marker>
          <c:dLbls>
            <c:dLbl>
              <c:idx val="0"/>
              <c:layout>
                <c:manualLayout>
                  <c:x val="-0.0600375234521576"/>
                  <c:y val="-0.0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87804878048782"/>
                  <c:y val="-0.0666666666666667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6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Sheet1!$A$2:$A$5</c:f>
              <c:strCache>
                <c:ptCount val="4"/>
                <c:pt idx="0">
                  <c:v>1季</c:v>
                </c:pt>
                <c:pt idx="1">
                  <c:v>1-2季</c:v>
                </c:pt>
                <c:pt idx="2">
                  <c:v>1-3季</c:v>
                </c:pt>
                <c:pt idx="3">
                  <c:v>1-4季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-8.6</c:v>
                </c:pt>
                <c:pt idx="1" c:formatCode="0.0">
                  <c:v>0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141654272"/>
        <c:axId val="141725696"/>
      </c:lineChart>
      <c:catAx>
        <c:axId val="141654272"/>
        <c:scaling>
          <c:orientation val="minMax"/>
        </c:scaling>
        <c:delete val="false"/>
        <c:axPos val="b"/>
        <c:majorTickMark val="out"/>
        <c:minorTickMark val="none"/>
        <c:tickLblPos val="nextTo"/>
        <c:spPr>
          <a:ln w="9525" cap="flat" cmpd="sng" algn="ctr">
            <a:solidFill>
              <a:sysClr val="windowText" lastClr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1725696"/>
        <c:crossesAt val="-10"/>
        <c:auto val="true"/>
        <c:lblAlgn val="ctr"/>
        <c:lblOffset val="100"/>
        <c:noMultiLvlLbl val="false"/>
      </c:catAx>
      <c:valAx>
        <c:axId val="141725696"/>
        <c:scaling>
          <c:orientation val="minMax"/>
          <c:max val="5"/>
          <c:min val="-10"/>
        </c:scaling>
        <c:delete val="false"/>
        <c:axPos val="l"/>
        <c:numFmt formatCode="General" sourceLinked="true"/>
        <c:majorTickMark val="out"/>
        <c:minorTickMark val="none"/>
        <c:tickLblPos val="nextTo"/>
        <c:spPr>
          <a:ln w="9525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1654272"/>
        <c:crosses val="autoZero"/>
        <c:crossBetween val="between"/>
        <c:majorUnit val="3"/>
      </c:valAx>
    </c:plotArea>
    <c:legend>
      <c:legendPos val="t"/>
      <c:layout>
        <c:manualLayout>
          <c:xMode val="edge"/>
          <c:yMode val="edge"/>
          <c:x val="0.0872897060706917"/>
          <c:y val="0.00689608243414026"/>
          <c:w val="0.787722149177882"/>
          <c:h val="0.110431102362205"/>
        </c:manualLayout>
      </c:layout>
      <c:overlay val="false"/>
      <c:txPr>
        <a:bodyPr rot="0" spcFirstLastPara="0" vertOverflow="ellipsis" vert="horz" wrap="square" anchor="ctr" anchorCtr="true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true"/>
    <c:plotArea>
      <c:layout>
        <c:manualLayout>
          <c:layoutTarget val="inner"/>
          <c:xMode val="edge"/>
          <c:yMode val="edge"/>
          <c:x val="0.108361146214748"/>
          <c:y val="0.079295154185022"/>
          <c:w val="0.864204011535599"/>
          <c:h val="0.753498078443924"/>
        </c:manualLayout>
      </c:layout>
      <c:lineChart>
        <c:grouping val="standard"/>
        <c:varyColors val="false"/>
        <c:ser>
          <c:idx val="0"/>
          <c:order val="0"/>
          <c:tx>
            <c:strRef>
              <c:f>Sheet1!$B$1</c:f>
              <c:strCache>
                <c:ptCount val="1"/>
                <c:pt idx="0">
                  <c:v>2019年</c:v>
                </c:pt>
              </c:strCache>
            </c:strRef>
          </c:tx>
          <c:spPr>
            <a:ln w="15875" cap="rnd" cmpd="sng" algn="ctr">
              <a:solidFill>
                <a:srgbClr val="4F81BD">
                  <a:shade val="95000"/>
                  <a:satMod val="105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ln w="317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441428005983555"/>
                  <c:y val="-0.0582018447636908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69151856458429"/>
                  <c:y val="-0.044764219943234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77077233576851"/>
                  <c:y val="-0.05142630661100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77077233576851"/>
                  <c:y val="-0.044714897215029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60470735381904"/>
                  <c:y val="-0.031292078423083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207041132493817"/>
                  <c:y val="-0.0312920784230832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243142215526308"/>
                  <c:y val="-0.031292078423083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358558744884845"/>
                  <c:y val="-0.0382853367105336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77862640528285"/>
                  <c:y val="-0.039598039755520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55290954484348"/>
                  <c:y val="-0.039598039755520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20806901951515"/>
                  <c:y val="-0.053584053741534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_ 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6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-7.6</c:v>
                </c:pt>
                <c:pt idx="1">
                  <c:v>-5.7</c:v>
                </c:pt>
                <c:pt idx="2">
                  <c:v>-4.6</c:v>
                </c:pt>
                <c:pt idx="3">
                  <c:v>-2.5</c:v>
                </c:pt>
                <c:pt idx="4">
                  <c:v>-2.6</c:v>
                </c:pt>
                <c:pt idx="5">
                  <c:v>-10.3</c:v>
                </c:pt>
                <c:pt idx="6">
                  <c:v>-16.4</c:v>
                </c:pt>
                <c:pt idx="7">
                  <c:v>-19.3</c:v>
                </c:pt>
                <c:pt idx="8">
                  <c:v>-20.8</c:v>
                </c:pt>
                <c:pt idx="9">
                  <c:v>-21.5</c:v>
                </c:pt>
                <c:pt idx="10">
                  <c:v>-20.1</c:v>
                </c:pt>
              </c:numCache>
            </c:numRef>
          </c:val>
          <c:smooth val="true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2020年</c:v>
                </c:pt>
              </c:strCache>
            </c:strRef>
          </c:tx>
          <c:spPr>
            <a:ln w="15875" cap="rnd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square"/>
            <c:size val="5"/>
            <c:spPr>
              <a:ln w="317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150093808630394"/>
                  <c:y val="0.006993006993007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562851782363977"/>
                  <c:y val="-0.041958041958042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600375234521576"/>
                  <c:y val="-0.041958041958042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62851782363977"/>
                  <c:y val="-0.04895104895104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6266416510319"/>
                  <c:y val="0.03496503496503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6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-42.4</c:v>
                </c:pt>
                <c:pt idx="1">
                  <c:v>-28.6</c:v>
                </c:pt>
                <c:pt idx="2">
                  <c:v>-16.4</c:v>
                </c:pt>
                <c:pt idx="3">
                  <c:v>-13.7</c:v>
                </c:pt>
                <c:pt idx="4">
                  <c:v>-6.8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true"/>
        <c:axId val="141628544"/>
        <c:axId val="141630080"/>
      </c:lineChart>
      <c:catAx>
        <c:axId val="141628544"/>
        <c:scaling>
          <c:orientation val="minMax"/>
        </c:scaling>
        <c:delete val="false"/>
        <c:axPos val="b"/>
        <c:numFmt formatCode="@" sourceLinked="true"/>
        <c:majorTickMark val="out"/>
        <c:minorTickMark val="none"/>
        <c:tickLblPos val="nextTo"/>
        <c:spPr>
          <a:ln w="9525" cap="flat" cmpd="sng" algn="ctr">
            <a:solidFill>
              <a:sysClr val="windowText" lastClr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1630080"/>
        <c:crossesAt val="-50"/>
        <c:auto val="true"/>
        <c:lblAlgn val="ctr"/>
        <c:lblOffset val="100"/>
        <c:tickLblSkip val="1"/>
        <c:noMultiLvlLbl val="false"/>
      </c:catAx>
      <c:valAx>
        <c:axId val="141630080"/>
        <c:scaling>
          <c:orientation val="minMax"/>
          <c:max val="10"/>
          <c:min val="-50"/>
        </c:scaling>
        <c:delete val="false"/>
        <c:axPos val="l"/>
        <c:numFmt formatCode="#,##0_ " sourceLinked="false"/>
        <c:majorTickMark val="out"/>
        <c:minorTickMark val="none"/>
        <c:tickLblPos val="nextTo"/>
        <c:spPr>
          <a:ln w="9525" cap="flat" cmpd="sng" algn="ctr">
            <a:solidFill>
              <a:sysClr val="windowText" lastClr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1628544"/>
        <c:crosses val="autoZero"/>
        <c:crossBetween val="between"/>
        <c:majorUnit val="10"/>
        <c:minorUnit val="1"/>
      </c:valAx>
    </c:plotArea>
    <c:legend>
      <c:legendPos val="b"/>
      <c:layout>
        <c:manualLayout>
          <c:xMode val="edge"/>
          <c:yMode val="edge"/>
          <c:x val="0.317329162774064"/>
          <c:y val="0.890825991393334"/>
          <c:w val="0.379677061943243"/>
          <c:h val="0.0926694565277243"/>
        </c:manualLayout>
      </c:layout>
      <c:overlay val="false"/>
      <c:txPr>
        <a:bodyPr rot="0" spcFirstLastPara="0" vertOverflow="ellipsis" vert="horz" wrap="square" anchor="ctr" anchorCtr="true"/>
        <a:lstStyle/>
        <a:p>
          <a:pPr>
            <a:defRPr lang="zh-CN" sz="6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ln w="9525" cap="flat" cmpd="sng" algn="ctr">
      <a:noFill/>
      <a:prstDash val="solid"/>
      <a:round/>
    </a:ln>
  </c:spPr>
  <c:txPr>
    <a:bodyPr/>
    <a:lstStyle/>
    <a:p>
      <a:pPr>
        <a:defRPr lang="zh-CN" sz="600" baseline="0"/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true"/>
    <c:plotArea>
      <c:layout>
        <c:manualLayout>
          <c:layoutTarget val="inner"/>
          <c:xMode val="edge"/>
          <c:yMode val="edge"/>
          <c:x val="0.106204211613372"/>
          <c:y val="0.0370148473138276"/>
          <c:w val="0.858542404005853"/>
          <c:h val="0.779071959848224"/>
        </c:manualLayout>
      </c:layout>
      <c:lineChart>
        <c:grouping val="standard"/>
        <c:varyColors val="false"/>
        <c:ser>
          <c:idx val="0"/>
          <c:order val="0"/>
          <c:tx>
            <c:strRef>
              <c:f>Sheet1!$B$1</c:f>
              <c:strCache>
                <c:ptCount val="1"/>
                <c:pt idx="0">
                  <c:v>2019年</c:v>
                </c:pt>
              </c:strCache>
            </c:strRef>
          </c:tx>
          <c:spPr>
            <a:ln w="15875" cap="rnd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diamond"/>
            <c:size val="3"/>
          </c:marker>
          <c:dLbls>
            <c:dLbl>
              <c:idx val="0"/>
              <c:layout>
                <c:manualLayout>
                  <c:x val="-0.0551385510083635"/>
                  <c:y val="0.0486721140989452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89272913097928"/>
                  <c:y val="-0.057247362947556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70359734444959"/>
                  <c:y val="-0.0450719121364442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01645713610377"/>
                  <c:y val="0.030850271623024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17861204278168"/>
                  <c:y val="0.0415468726786508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500672242295126"/>
                  <c:y val="0.040014856633486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58789563069322"/>
                  <c:y val="0.0389586541534707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538084613280744"/>
                  <c:y val="0.048770762145297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73094473794067"/>
                  <c:y val="0.0412319120487298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491191754595575"/>
                  <c:y val="0.042407368890209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282667088917359"/>
                  <c:y val="-0.036352399346308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7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12.1</c:v>
                </c:pt>
                <c:pt idx="1">
                  <c:v>0.3</c:v>
                </c:pt>
                <c:pt idx="2" c:formatCode="0.0_ ">
                  <c:v>5.4</c:v>
                </c:pt>
                <c:pt idx="3" c:formatCode="0.0_ ">
                  <c:v>1.1</c:v>
                </c:pt>
                <c:pt idx="4" c:formatCode="0.0_ ">
                  <c:v>14</c:v>
                </c:pt>
                <c:pt idx="5" c:formatCode="0.0_ ">
                  <c:v>16.2</c:v>
                </c:pt>
                <c:pt idx="6">
                  <c:v>15.7</c:v>
                </c:pt>
                <c:pt idx="7" c:formatCode="0.0_ ">
                  <c:v>14</c:v>
                </c:pt>
                <c:pt idx="8">
                  <c:v>17.4</c:v>
                </c:pt>
                <c:pt idx="9" c:formatCode="0.0_ ">
                  <c:v>14</c:v>
                </c:pt>
                <c:pt idx="10">
                  <c:v>12.9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2020年</c:v>
                </c:pt>
              </c:strCache>
            </c:strRef>
          </c:tx>
          <c:spPr>
            <a:ln w="15875" cap="rnd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square"/>
            <c:size val="3"/>
            <c:spPr>
              <a:solidFill>
                <a:schemeClr val="accent6">
                  <a:lumMod val="75000"/>
                </a:schemeClr>
              </a:solidFill>
            </c:spPr>
          </c:marker>
          <c:dLbls>
            <c:dLbl>
              <c:idx val="0"/>
              <c:layout>
                <c:manualLayout>
                  <c:x val="-0.012810861118908"/>
                  <c:y val="0.000718427638405666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73194368527574"/>
                  <c:y val="0.0283885735213332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10717820685173"/>
                  <c:y val="0.0435414759201612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19960735064772"/>
                  <c:y val="-0.042635638669853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356915985877"/>
                  <c:y val="0.038821339193066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34147290412228"/>
                  <c:y val="0.0607043031060232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537551335494828"/>
                  <c:y val="-0.057376881144295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419885749575422"/>
                  <c:y val="0.051855187843217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19844639750079"/>
                  <c:y val="-0.0421132333147916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537551335494828"/>
                  <c:y val="-0.057376881144295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0198401909996837"/>
                  <c:y val="-0.013131353014201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7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-81.3</c:v>
                </c:pt>
                <c:pt idx="1">
                  <c:v>-14.6</c:v>
                </c:pt>
                <c:pt idx="2">
                  <c:v>-2.9</c:v>
                </c:pt>
                <c:pt idx="3">
                  <c:v>8.5</c:v>
                </c:pt>
                <c:pt idx="4">
                  <c:v>2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163844096"/>
        <c:axId val="163845632"/>
      </c:lineChart>
      <c:catAx>
        <c:axId val="163844096"/>
        <c:scaling>
          <c:orientation val="minMax"/>
        </c:scaling>
        <c:delete val="false"/>
        <c:axPos val="b"/>
        <c:majorTickMark val="out"/>
        <c:minorTickMark val="none"/>
        <c:tickLblPos val="nextTo"/>
        <c:spPr>
          <a:ln w="9525" cap="flat" cmpd="sng" algn="ctr">
            <a:solidFill>
              <a:sysClr val="windowText" lastClr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3845632"/>
        <c:crossesAt val="-90"/>
        <c:auto val="true"/>
        <c:lblAlgn val="ctr"/>
        <c:lblOffset val="100"/>
        <c:noMultiLvlLbl val="false"/>
      </c:catAx>
      <c:valAx>
        <c:axId val="163845632"/>
        <c:scaling>
          <c:orientation val="minMax"/>
          <c:max val="20"/>
          <c:min val="-90"/>
        </c:scaling>
        <c:delete val="false"/>
        <c:axPos val="l"/>
        <c:numFmt formatCode="General" sourceLinked="true"/>
        <c:majorTickMark val="out"/>
        <c:minorTickMark val="none"/>
        <c:tickLblPos val="nextTo"/>
        <c:spPr>
          <a:ln w="9525" cap="flat" cmpd="sng" algn="ctr">
            <a:solidFill>
              <a:sysClr val="windowText" lastClr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true"/>
          <a:lstStyle/>
          <a:p>
            <a:pPr>
              <a:defRPr lang="zh-CN"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3844096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87294117647059"/>
          <c:y val="0.897041289097491"/>
          <c:w val="0.425411764705885"/>
          <c:h val="0.0820782980984287"/>
        </c:manualLayout>
      </c:layout>
      <c:overlay val="false"/>
      <c:txPr>
        <a:bodyPr rot="0" spcFirstLastPara="0" vertOverflow="ellipsis" vert="horz" wrap="square" anchor="ctr" anchorCtr="true"/>
        <a:lstStyle/>
        <a:p>
          <a:pPr>
            <a:defRPr lang="zh-CN" sz="7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true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true"/>
      </a:gradFill>
      <a:gradFill rotWithShape="true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false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true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true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true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true"/>
      </a:gradFill>
      <a:gradFill rotWithShape="true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false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true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true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true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true"/>
      </a:gradFill>
      <a:gradFill rotWithShape="true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false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true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true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2871</Words>
  <Characters>16367</Characters>
  <Lines>136</Lines>
  <Paragraphs>38</Paragraphs>
  <TotalTime>6928</TotalTime>
  <ScaleCrop>false</ScaleCrop>
  <LinksUpToDate>false</LinksUpToDate>
  <CharactersWithSpaces>19200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2017-04-21T10:47:00Z</dcterms:created>
  <dc:creator>番茄花园</dc:creator>
  <cp:lastModifiedBy>user</cp:lastModifiedBy>
  <cp:lastPrinted>2018-11-01T11:33:00Z</cp:lastPrinted>
  <dcterms:modified xsi:type="dcterms:W3CDTF">2022-03-11T11:47:21Z</dcterms:modified>
  <dc:title>指  标  名  称</dc:title>
  <cp:revision>659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