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eastAsia" w:ascii="方正小标宋_GBK" w:hAnsi="方正小标宋_GBK" w:eastAsia="方正小标宋_GBK" w:cs="方正小标宋_GBK"/>
          <w:spacing w:val="-20"/>
          <w:kern w:val="0"/>
          <w:sz w:val="44"/>
          <w:szCs w:val="44"/>
          <w:lang w:val="en-US" w:eastAsia="zh-CN" w:bidi="ar"/>
        </w:rPr>
      </w:pPr>
      <w:r>
        <w:rPr>
          <w:rFonts w:hint="eastAsia" w:ascii="方正小标宋_GBK" w:hAnsi="方正小标宋_GBK" w:eastAsia="方正小标宋_GBK" w:cs="方正小标宋_GBK"/>
          <w:spacing w:val="-20"/>
          <w:kern w:val="0"/>
          <w:sz w:val="44"/>
          <w:szCs w:val="44"/>
          <w:lang w:val="en-US" w:eastAsia="zh-CN" w:bidi="ar"/>
        </w:rPr>
        <w:t>重庆市石柱土家族自治县商务行政执法支队</w:t>
      </w:r>
    </w:p>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eastAsia" w:ascii="方正小标宋_GBK" w:hAnsi="方正小标宋_GBK" w:eastAsia="方正小标宋_GBK" w:cs="方正小标宋_GBK"/>
          <w:kern w:val="0"/>
          <w:sz w:val="44"/>
          <w:szCs w:val="44"/>
          <w:lang w:val="en-US" w:eastAsia="zh-CN" w:bidi="ar"/>
        </w:rPr>
      </w:pPr>
      <w:r>
        <w:rPr>
          <w:rFonts w:hint="eastAsia" w:ascii="方正小标宋_GBK" w:hAnsi="方正小标宋_GBK" w:eastAsia="方正小标宋_GBK" w:cs="方正小标宋_GBK"/>
          <w:kern w:val="0"/>
          <w:sz w:val="44"/>
          <w:szCs w:val="44"/>
          <w:lang w:val="en-US" w:eastAsia="zh-CN" w:bidi="ar"/>
        </w:rPr>
        <w:t>2023年度决算公开说明</w:t>
      </w:r>
    </w:p>
    <w:p>
      <w:pPr>
        <w:pStyle w:val="5"/>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top"/>
        <w:rPr>
          <w:rFonts w:hint="default" w:ascii="方正小标宋_GBK" w:hAnsi="方正小标宋_GBK" w:eastAsia="方正小标宋_GBK" w:cs="方正小标宋_GBK"/>
          <w:kern w:val="0"/>
          <w:sz w:val="44"/>
          <w:szCs w:val="44"/>
          <w:lang w:val="en-US" w:eastAsia="zh-CN" w:bidi="ar"/>
        </w:rPr>
      </w:pP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eastAsia="zh-CN"/>
        </w:rPr>
        <w:t>宗旨：开展商务行政执法，维护商贸流通秩序。</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eastAsia="zh-CN"/>
        </w:rPr>
        <w:t>主要职责任务：承担商务行政执法工作；承担商务诚信建设工作，维护公平交易；负责整顿和规范商务市场秩序的工作；参与涉及商务安全事故的调查、处理工作。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eastAsia="zh-CN"/>
        </w:rPr>
        <w:t>具体职责任务：</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1.</w:t>
      </w:r>
      <w:r>
        <w:rPr>
          <w:rFonts w:hint="default" w:ascii="Times New Roman" w:hAnsi="Times New Roman" w:eastAsia="方正仿宋_GBK" w:cs="Times New Roman"/>
          <w:color w:val="auto"/>
          <w:sz w:val="32"/>
          <w:szCs w:val="32"/>
          <w:shd w:val="clear" w:color="auto" w:fill="FFFFFF"/>
          <w:lang w:eastAsia="zh-CN"/>
        </w:rPr>
        <w:t>宣传贯彻执行商务领域相关法律、法规、规章。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2.</w:t>
      </w:r>
      <w:r>
        <w:rPr>
          <w:rFonts w:hint="default" w:ascii="Times New Roman" w:hAnsi="Times New Roman" w:eastAsia="方正仿宋_GBK" w:cs="Times New Roman"/>
          <w:color w:val="auto"/>
          <w:sz w:val="32"/>
          <w:szCs w:val="32"/>
          <w:shd w:val="clear" w:color="auto" w:fill="FFFFFF"/>
          <w:lang w:eastAsia="zh-CN"/>
        </w:rPr>
        <w:t>依法承担旧货、拍卖、报废汽车等商务重点行业和酒类等重点商品违反相关法律法规规章的行为实施行政监督、行政处罚和行政强制具体职责。</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3.</w:t>
      </w:r>
      <w:r>
        <w:rPr>
          <w:rFonts w:hint="default" w:ascii="Times New Roman" w:hAnsi="Times New Roman" w:eastAsia="方正仿宋_GBK" w:cs="Times New Roman"/>
          <w:color w:val="auto"/>
          <w:sz w:val="32"/>
          <w:szCs w:val="32"/>
          <w:shd w:val="clear" w:color="auto" w:fill="FFFFFF"/>
          <w:lang w:eastAsia="zh-CN"/>
        </w:rPr>
        <w:t>承担商务诚信建设工作，维护公平交易。</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4.</w:t>
      </w:r>
      <w:r>
        <w:rPr>
          <w:rFonts w:hint="default" w:ascii="Times New Roman" w:hAnsi="Times New Roman" w:eastAsia="方正仿宋_GBK" w:cs="Times New Roman"/>
          <w:color w:val="auto"/>
          <w:sz w:val="32"/>
          <w:szCs w:val="32"/>
          <w:shd w:val="clear" w:color="auto" w:fill="FFFFFF"/>
          <w:lang w:eastAsia="zh-CN"/>
        </w:rPr>
        <w:t>负责牵头协调、整顿和规范商务市场经营秩序的工作。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5.</w:t>
      </w:r>
      <w:r>
        <w:rPr>
          <w:rFonts w:hint="default" w:ascii="Times New Roman" w:hAnsi="Times New Roman" w:eastAsia="方正仿宋_GBK" w:cs="Times New Roman"/>
          <w:color w:val="auto"/>
          <w:sz w:val="32"/>
          <w:szCs w:val="32"/>
          <w:shd w:val="clear" w:color="auto" w:fill="FFFFFF"/>
          <w:lang w:eastAsia="zh-CN"/>
        </w:rPr>
        <w:t>承担商务重点行业举报、投诉的受理日常工作。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6.</w:t>
      </w:r>
      <w:r>
        <w:rPr>
          <w:rFonts w:hint="default" w:ascii="Times New Roman" w:hAnsi="Times New Roman" w:eastAsia="方正仿宋_GBK" w:cs="Times New Roman"/>
          <w:color w:val="auto"/>
          <w:sz w:val="32"/>
          <w:szCs w:val="32"/>
          <w:shd w:val="clear" w:color="auto" w:fill="FFFFFF"/>
          <w:lang w:eastAsia="zh-CN"/>
        </w:rPr>
        <w:t>参与成品油安全监督管理工作，参与涉及商务安全事故的调查、处理工作。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7.</w:t>
      </w:r>
      <w:r>
        <w:rPr>
          <w:rFonts w:hint="default" w:ascii="Times New Roman" w:hAnsi="Times New Roman" w:eastAsia="方正仿宋_GBK" w:cs="Times New Roman"/>
          <w:color w:val="auto"/>
          <w:sz w:val="32"/>
          <w:szCs w:val="32"/>
          <w:shd w:val="clear" w:color="auto" w:fill="FFFFFF"/>
          <w:lang w:eastAsia="zh-CN"/>
        </w:rPr>
        <w:t>负责建立健全商务领域失信企业黑名单系统。</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rPr>
      </w:pPr>
      <w:r>
        <w:rPr>
          <w:rFonts w:hint="default" w:ascii="Times New Roman" w:hAnsi="Times New Roman" w:eastAsia="方正仿宋_GBK" w:cs="Times New Roman"/>
          <w:color w:val="auto"/>
          <w:sz w:val="32"/>
          <w:szCs w:val="32"/>
          <w:shd w:val="clear" w:color="auto" w:fill="FFFFFF"/>
          <w:lang w:val="en-US"/>
        </w:rPr>
        <w:t>8.</w:t>
      </w:r>
      <w:r>
        <w:rPr>
          <w:rFonts w:hint="default" w:ascii="Times New Roman" w:hAnsi="Times New Roman" w:eastAsia="方正仿宋_GBK" w:cs="Times New Roman"/>
          <w:color w:val="auto"/>
          <w:sz w:val="32"/>
          <w:szCs w:val="32"/>
          <w:shd w:val="clear" w:color="auto" w:fill="FFFFFF"/>
          <w:lang w:eastAsia="zh-CN"/>
        </w:rPr>
        <w:t>完成县商务委员会领导交办的其他事项。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Times New Roman" w:hAnsi="Times New Roman" w:eastAsia="方正楷体_GBK" w:cs="Times New Roman"/>
          <w:b w:val="0"/>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eastAsia="zh-CN"/>
        </w:rPr>
        <w:t>本单位设置法规科、执法一大队、执法二大队</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eastAsia="zh-CN"/>
        </w:rPr>
        <w:t xml:space="preserve">个内设机构，具体职责为： </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eastAsia="zh-CN"/>
        </w:rPr>
        <w:t>法规科。负责支队日常运转，承担宣传、信息、督查督办、档案等工作；承担暂扣实物、重大实物罚没收入登记、整理、保管、上交等工作；负责落实行政执法制度的相关工作；承担商务行政执法体系建设、政务公开工作；负责协调有关专项执法，协调查处和督办重大案件；承担商务重点行业举报、投诉的受理日常工作；承办与商务行政执法相关的行政诉讼工作；承担商务诚信建设工作，维护公平交易；负责建立商务领域失信企业黑名单系统。</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lang w:eastAsia="zh-CN"/>
        </w:rPr>
        <w:t>执法一、二大队。依法承担旧货、拍卖、报废汽车等商务重点行业和酒类等重点商品违反相关法律法规规章的行为实施行政监督、行政处罚和行政强制具体职责；负责牵头协调、整顿和规范商务市场经营秩序的工作；参与成品油安全监督管理工作，参与涉及商务安全事故的调查、处理工作。各执法大队具体管辖范围由县商务行政执法支队根据工作需要确定。</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（三）单位构成</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Fonts w:hint="eastAsia" w:ascii="方正仿宋_GBK" w:hAnsi="微软雅黑" w:eastAsia="方正仿宋_GBK" w:cs="方正仿宋_GBK"/>
          <w:color w:val="333333"/>
          <w:sz w:val="32"/>
          <w:szCs w:val="32"/>
          <w:shd w:val="clear" w:fill="FFFFFF"/>
          <w:lang w:val="en-US" w:eastAsia="zh-CN"/>
        </w:rPr>
      </w:pPr>
      <w:r>
        <w:rPr>
          <w:rFonts w:hint="eastAsia" w:ascii="方正仿宋_GBK" w:hAnsi="方正仿宋_GBK" w:eastAsia="方正仿宋_GBK" w:cs="方正仿宋_GBK"/>
          <w:color w:val="auto"/>
          <w:sz w:val="32"/>
          <w:szCs w:val="32"/>
          <w:shd w:val="clear" w:color="auto" w:fill="FFFFFF"/>
        </w:rPr>
        <w:t>从预算单位构成看，本单位为县</w:t>
      </w:r>
      <w:r>
        <w:rPr>
          <w:rFonts w:hint="eastAsia" w:ascii="方正仿宋_GBK" w:hAnsi="方正仿宋_GBK" w:eastAsia="方正仿宋_GBK" w:cs="方正仿宋_GBK"/>
          <w:color w:val="auto"/>
          <w:sz w:val="32"/>
          <w:szCs w:val="32"/>
          <w:shd w:val="clear" w:color="auto" w:fill="FFFFFF"/>
          <w:lang w:val="en-US" w:eastAsia="zh-CN"/>
        </w:rPr>
        <w:t>商务委</w:t>
      </w:r>
      <w:r>
        <w:rPr>
          <w:rFonts w:hint="eastAsia" w:ascii="方正仿宋_GBK" w:hAnsi="方正仿宋_GBK" w:eastAsia="方正仿宋_GBK" w:cs="方正仿宋_GBK"/>
          <w:color w:val="auto"/>
          <w:sz w:val="32"/>
          <w:szCs w:val="32"/>
          <w:shd w:val="clear" w:color="auto" w:fill="FFFFFF"/>
        </w:rPr>
        <w:t>下属二级预算单位，无下级预算单位。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2023年度收入总计341.55万元，支出总计</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万元。收支较上年决算数增加46.17万元，增长15.63%，主要原因一是职工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2023年度收入合计341.55万元，较上年决算数增加46.17万元，增长15.63%，主要原因一是职工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万元，较上年决算数增加46.17万元，增长15.63%，主要原因</w:t>
      </w:r>
      <w:r>
        <w:rPr>
          <w:rFonts w:hint="eastAsia" w:ascii="方正仿宋_GBK" w:hAnsi="方正仿宋_GBK" w:eastAsia="方正仿宋_GBK" w:cs="方正仿宋_GBK"/>
          <w:sz w:val="32"/>
          <w:szCs w:val="32"/>
          <w:shd w:val="clear" w:color="auto" w:fill="FFFFFF"/>
        </w:rPr>
        <w:t>一是职工</w:t>
      </w:r>
      <w:r>
        <w:rPr>
          <w:rFonts w:hint="eastAsia" w:ascii="方正仿宋_GBK" w:hAnsi="方正仿宋_GBK" w:eastAsia="方正仿宋_GBK" w:cs="方正仿宋_GBK"/>
          <w:sz w:val="32"/>
          <w:szCs w:val="32"/>
          <w:shd w:val="clear" w:color="auto" w:fill="FFFFFF"/>
          <w:lang w:val="en-US" w:eastAsia="zh-CN"/>
        </w:rPr>
        <w:t>晋档</w:t>
      </w:r>
      <w:r>
        <w:rPr>
          <w:rFonts w:hint="eastAsia" w:ascii="方正仿宋_GBK" w:hAnsi="方正仿宋_GBK" w:eastAsia="方正仿宋_GBK" w:cs="方正仿宋_GBK"/>
          <w:sz w:val="32"/>
          <w:szCs w:val="32"/>
          <w:shd w:val="clear" w:color="auto" w:fill="FFFFFF"/>
        </w:rPr>
        <w:t>工资</w:t>
      </w:r>
      <w:r>
        <w:rPr>
          <w:rFonts w:hint="eastAsia" w:ascii="方正仿宋_GBK" w:hAnsi="方正仿宋_GBK" w:eastAsia="方正仿宋_GBK" w:cs="方正仿宋_GBK"/>
          <w:sz w:val="32"/>
          <w:szCs w:val="32"/>
          <w:shd w:val="clear" w:color="auto" w:fill="FFFFFF"/>
          <w:lang w:val="en-US" w:eastAsia="zh-CN"/>
        </w:rPr>
        <w:t>上涨、</w:t>
      </w:r>
      <w:r>
        <w:rPr>
          <w:rFonts w:hint="eastAsia" w:ascii="方正仿宋_GBK" w:hAnsi="方正仿宋_GBK" w:eastAsia="方正仿宋_GBK" w:cs="方正仿宋_GBK"/>
          <w:sz w:val="32"/>
          <w:szCs w:val="32"/>
          <w:shd w:val="clear" w:color="auto" w:fill="FFFFFF"/>
        </w:rPr>
        <w:t>社保</w:t>
      </w:r>
      <w:r>
        <w:rPr>
          <w:rFonts w:hint="eastAsia" w:ascii="方正仿宋_GBK" w:hAnsi="方正仿宋_GBK" w:eastAsia="方正仿宋_GBK" w:cs="方正仿宋_GBK"/>
          <w:sz w:val="32"/>
          <w:szCs w:val="32"/>
          <w:shd w:val="clear" w:color="auto" w:fill="FFFFFF"/>
          <w:lang w:val="en-US" w:eastAsia="zh-CN"/>
        </w:rPr>
        <w:t>和</w:t>
      </w:r>
      <w:r>
        <w:rPr>
          <w:rFonts w:hint="eastAsia" w:ascii="方正仿宋_GBK" w:hAnsi="方正仿宋_GBK" w:eastAsia="方正仿宋_GBK" w:cs="方正仿宋_GBK"/>
          <w:sz w:val="32"/>
          <w:szCs w:val="32"/>
          <w:shd w:val="clear" w:color="auto" w:fill="FFFFFF"/>
        </w:rPr>
        <w:t>医保缴费基数上涨；二是职业年金清算追加；三是本年度</w:t>
      </w:r>
      <w:r>
        <w:rPr>
          <w:rFonts w:hint="eastAsia" w:ascii="方正仿宋_GBK" w:hAnsi="方正仿宋_GBK" w:eastAsia="方正仿宋_GBK" w:cs="方正仿宋_GBK"/>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导致</w:t>
      </w:r>
      <w:r>
        <w:rPr>
          <w:rFonts w:hint="eastAsia" w:ascii="方正仿宋_GBK" w:hAnsi="方正仿宋_GBK" w:eastAsia="方正仿宋_GBK" w:cs="方正仿宋_GBK"/>
          <w:sz w:val="32"/>
          <w:szCs w:val="32"/>
          <w:shd w:val="clear" w:color="auto" w:fill="FFFFFF"/>
        </w:rPr>
        <w:t>人员经费增加</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sz w:val="32"/>
          <w:szCs w:val="32"/>
          <w:lang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2023年度财政拨款收、支总计341.55万元。与2022年相比，财政拨款收、支总计各增加46.17万元，增长15.63%。主要原因一是职工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万元，较上年决算数增加46.17万元，增长15.63%。主要原因一是职工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较年初预算数增加109.68万元，增长47.30%。主要原因一是职工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万元，较上年决算数增加46.17万元，增长15.63%。主要原因一是职工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较年初预算数增加109.68万元，增长47.30%。主要原因是一是职工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eastAsia" w:ascii="Times New Roman" w:hAnsi="Times New Roman" w:eastAsia="方正仿宋_GBK" w:cs="Times New Roman"/>
          <w:sz w:val="32"/>
          <w:szCs w:val="32"/>
          <w:shd w:val="clear" w:color="auto" w:fill="FFFFFF"/>
          <w:lang w:eastAsia="zh-CN"/>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229.04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67.06</w:t>
      </w:r>
      <w:r>
        <w:rPr>
          <w:rFonts w:hint="default" w:ascii="Times New Roman" w:hAnsi="Times New Roman" w:eastAsia="方正仿宋_GBK" w:cs="Times New Roman"/>
          <w:sz w:val="32"/>
          <w:szCs w:val="32"/>
          <w:shd w:val="clear" w:color="auto" w:fill="FFFFFF"/>
        </w:rPr>
        <w:t>%，较年初预算数增加73.98万元，增长47.71%，主要原因是职工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eastAsia" w:ascii="Times New Roman" w:hAnsi="Times New Roman" w:eastAsia="方正仿宋_GBK" w:cs="Times New Roman"/>
          <w:sz w:val="32"/>
          <w:szCs w:val="32"/>
          <w:shd w:val="clear" w:color="auto" w:fill="FFFFFF"/>
          <w:lang w:val="en-US" w:eastAsia="zh-CN"/>
        </w:rPr>
        <w:t>、单位新进职工</w:t>
      </w:r>
      <w:r>
        <w:rPr>
          <w:rFonts w:hint="default" w:ascii="Times New Roman" w:hAnsi="Times New Roman" w:eastAsia="方正仿宋_GBK" w:cs="Times New Roman"/>
          <w:sz w:val="32"/>
          <w:szCs w:val="32"/>
          <w:shd w:val="clear" w:color="auto" w:fill="FFFFFF"/>
        </w:rPr>
        <w:t>2人</w:t>
      </w:r>
      <w:r>
        <w:rPr>
          <w:rFonts w:hint="eastAsia" w:ascii="Times New Roman" w:hAnsi="Times New Roman" w:eastAsia="方正仿宋_GBK" w:cs="Times New Roman"/>
          <w:sz w:val="32"/>
          <w:szCs w:val="32"/>
          <w:shd w:val="clear" w:color="auto" w:fill="FFFFFF"/>
          <w:lang w:val="en-US" w:eastAsia="zh-CN"/>
        </w:rPr>
        <w:t>使得</w:t>
      </w:r>
      <w:r>
        <w:rPr>
          <w:rFonts w:hint="default" w:ascii="Times New Roman" w:hAnsi="Times New Roman" w:eastAsia="方正仿宋_GBK" w:cs="Times New Roman"/>
          <w:sz w:val="32"/>
          <w:szCs w:val="32"/>
          <w:shd w:val="clear" w:color="auto" w:fill="FFFFFF"/>
        </w:rPr>
        <w:t>人员经费增加</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74.54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21.82</w:t>
      </w:r>
      <w:r>
        <w:rPr>
          <w:rFonts w:hint="default" w:ascii="Times New Roman" w:hAnsi="Times New Roman" w:eastAsia="方正仿宋_GBK" w:cs="Times New Roman"/>
          <w:sz w:val="32"/>
          <w:szCs w:val="32"/>
          <w:shd w:val="clear" w:color="auto" w:fill="FFFFFF"/>
        </w:rPr>
        <w:t>%，较年初预算数增加25.86万元，增长53.12%，主要原因是社保缴费基数上涨</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且年中进行了退休及在职职工</w:t>
      </w:r>
      <w:r>
        <w:rPr>
          <w:rFonts w:hint="default" w:ascii="Times New Roman" w:hAnsi="Times New Roman" w:eastAsia="方正仿宋_GBK" w:cs="Times New Roman"/>
          <w:sz w:val="32"/>
          <w:szCs w:val="32"/>
          <w:shd w:val="clear" w:color="auto" w:fill="FFFFFF"/>
        </w:rPr>
        <w:t>职业年金清算</w:t>
      </w:r>
      <w:r>
        <w:rPr>
          <w:rFonts w:hint="eastAsia"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16.07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4.71</w:t>
      </w:r>
      <w:r>
        <w:rPr>
          <w:rFonts w:hint="default" w:ascii="Times New Roman" w:hAnsi="Times New Roman" w:eastAsia="方正仿宋_GBK" w:cs="Times New Roman"/>
          <w:sz w:val="32"/>
          <w:szCs w:val="32"/>
          <w:shd w:val="clear" w:color="auto" w:fill="FFFFFF"/>
        </w:rPr>
        <w:t>%，较年初预算数增加1.66万元，增长11.52%，主要原因是</w:t>
      </w:r>
      <w:r>
        <w:rPr>
          <w:rFonts w:hint="eastAsia" w:ascii="Times New Roman" w:hAnsi="Times New Roman" w:eastAsia="方正仿宋_GBK" w:cs="Times New Roman"/>
          <w:sz w:val="32"/>
          <w:szCs w:val="32"/>
          <w:shd w:val="clear" w:color="auto" w:fill="FFFFFF"/>
          <w:lang w:val="en-US" w:eastAsia="zh-CN"/>
        </w:rPr>
        <w:t>医保缴费基数上涨导致</w:t>
      </w:r>
      <w:r>
        <w:rPr>
          <w:rFonts w:ascii="仿宋" w:hAnsi="仿宋" w:eastAsia="仿宋" w:cs="仿宋"/>
          <w:i w:val="0"/>
          <w:iCs w:val="0"/>
          <w:caps w:val="0"/>
          <w:color w:val="000000"/>
          <w:spacing w:val="0"/>
          <w:sz w:val="31"/>
          <w:szCs w:val="31"/>
        </w:rPr>
        <w:t>职工医疗保险缴费支出</w:t>
      </w:r>
      <w:r>
        <w:rPr>
          <w:rFonts w:hint="eastAsia" w:ascii="仿宋" w:hAnsi="仿宋" w:eastAsia="仿宋" w:cs="仿宋"/>
          <w:i w:val="0"/>
          <w:iCs w:val="0"/>
          <w:caps w:val="0"/>
          <w:color w:val="000000"/>
          <w:spacing w:val="0"/>
          <w:sz w:val="31"/>
          <w:szCs w:val="31"/>
          <w:lang w:val="en-US" w:eastAsia="zh-CN"/>
        </w:rPr>
        <w:t>较年初预算</w:t>
      </w:r>
      <w:r>
        <w:rPr>
          <w:rFonts w:hint="default" w:ascii="Times New Roman" w:hAnsi="Times New Roman" w:eastAsia="方正仿宋_GBK" w:cs="Times New Roman"/>
          <w:sz w:val="32"/>
          <w:szCs w:val="32"/>
          <w:shd w:val="clear" w:color="auto" w:fill="FFFFFF"/>
        </w:rPr>
        <w:t>增加。</w:t>
      </w:r>
    </w:p>
    <w:p>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住房保障支出21.90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6.41</w:t>
      </w:r>
      <w:r>
        <w:rPr>
          <w:rFonts w:hint="default" w:ascii="Times New Roman" w:hAnsi="Times New Roman" w:eastAsia="方正仿宋_GBK" w:cs="Times New Roman"/>
          <w:sz w:val="32"/>
          <w:szCs w:val="32"/>
          <w:shd w:val="clear" w:color="auto" w:fill="FFFFFF"/>
        </w:rPr>
        <w:t>%，较年初预算数增加8.18万元，增长59.62%，主要原因</w:t>
      </w:r>
      <w:r>
        <w:rPr>
          <w:rFonts w:hint="eastAsia" w:ascii="Times New Roman" w:hAnsi="Times New Roman" w:eastAsia="方正仿宋_GBK" w:cs="Times New Roman"/>
          <w:sz w:val="32"/>
          <w:szCs w:val="32"/>
          <w:shd w:val="clear" w:color="auto" w:fill="FFFFFF"/>
          <w:lang w:val="en-US" w:eastAsia="zh-CN"/>
        </w:rPr>
        <w:t>公积金缴费基数上涨，且单位新进职工</w:t>
      </w:r>
      <w:r>
        <w:rPr>
          <w:rFonts w:hint="default" w:ascii="Times New Roman" w:hAnsi="Times New Roman" w:eastAsia="方正仿宋_GBK" w:cs="Times New Roman"/>
          <w:sz w:val="32"/>
          <w:szCs w:val="32"/>
          <w:shd w:val="clear" w:color="auto" w:fill="FFFFFF"/>
        </w:rPr>
        <w:t>2人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导致住房公积金支出较年初预算增加</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341.55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283.85</w:t>
      </w:r>
      <w:r>
        <w:rPr>
          <w:rFonts w:hint="default" w:ascii="Times New Roman" w:hAnsi="Times New Roman" w:eastAsia="方正仿宋_GBK" w:cs="Times New Roman"/>
          <w:sz w:val="32"/>
          <w:szCs w:val="32"/>
          <w:shd w:val="clear" w:color="auto" w:fill="FFFFFF"/>
        </w:rPr>
        <w:t>万元，较上年决算数增加42.32万元，增长17.52%，主要原因一是职工</w:t>
      </w:r>
      <w:r>
        <w:rPr>
          <w:rFonts w:hint="default" w:ascii="Times New Roman" w:hAnsi="Times New Roman" w:eastAsia="方正仿宋_GBK" w:cs="Times New Roman"/>
          <w:sz w:val="32"/>
          <w:szCs w:val="32"/>
          <w:shd w:val="clear" w:color="auto" w:fill="FFFFFF"/>
          <w:lang w:val="en-US" w:eastAsia="zh-CN"/>
        </w:rPr>
        <w:t>晋档</w:t>
      </w:r>
      <w:r>
        <w:rPr>
          <w:rFonts w:hint="default" w:ascii="Times New Roman" w:hAnsi="Times New Roman" w:eastAsia="方正仿宋_GBK" w:cs="Times New Roman"/>
          <w:sz w:val="32"/>
          <w:szCs w:val="32"/>
          <w:shd w:val="clear" w:color="auto" w:fill="FFFFFF"/>
        </w:rPr>
        <w:t>工资</w:t>
      </w:r>
      <w:r>
        <w:rPr>
          <w:rFonts w:hint="default" w:ascii="Times New Roman" w:hAnsi="Times New Roman" w:eastAsia="方正仿宋_GBK" w:cs="Times New Roman"/>
          <w:sz w:val="32"/>
          <w:szCs w:val="32"/>
          <w:shd w:val="clear" w:color="auto" w:fill="FFFFFF"/>
          <w:lang w:val="en-US" w:eastAsia="zh-CN"/>
        </w:rPr>
        <w:t>上涨、</w:t>
      </w:r>
      <w:r>
        <w:rPr>
          <w:rFonts w:hint="default" w:ascii="Times New Roman" w:hAnsi="Times New Roman" w:eastAsia="方正仿宋_GBK" w:cs="Times New Roman"/>
          <w:sz w:val="32"/>
          <w:szCs w:val="32"/>
          <w:shd w:val="clear" w:color="auto" w:fill="FFFFFF"/>
        </w:rPr>
        <w:t>社保</w:t>
      </w:r>
      <w:r>
        <w:rPr>
          <w:rFonts w:hint="default" w:ascii="Times New Roman" w:hAnsi="Times New Roman" w:eastAsia="方正仿宋_GBK" w:cs="Times New Roman"/>
          <w:sz w:val="32"/>
          <w:szCs w:val="32"/>
          <w:shd w:val="clear" w:color="auto" w:fill="FFFFFF"/>
          <w:lang w:val="en-US" w:eastAsia="zh-CN"/>
        </w:rPr>
        <w:t>和</w:t>
      </w:r>
      <w:r>
        <w:rPr>
          <w:rFonts w:hint="default" w:ascii="Times New Roman" w:hAnsi="Times New Roman" w:eastAsia="方正仿宋_GBK" w:cs="Times New Roman"/>
          <w:sz w:val="32"/>
          <w:szCs w:val="32"/>
          <w:shd w:val="clear" w:color="auto" w:fill="FFFFFF"/>
        </w:rPr>
        <w:t>医保缴费基数上涨；二是职业年金清算追加；三是本年度</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default" w:ascii="Times New Roman" w:hAnsi="Times New Roman" w:eastAsia="方正仿宋_GBK" w:cs="Times New Roman"/>
          <w:sz w:val="32"/>
          <w:szCs w:val="32"/>
          <w:shd w:val="clear" w:color="auto" w:fill="FFFFFF"/>
          <w:lang w:val="en-US" w:eastAsia="zh-CN"/>
        </w:rPr>
        <w:t>导致</w:t>
      </w:r>
      <w:r>
        <w:rPr>
          <w:rFonts w:hint="default" w:ascii="Times New Roman" w:hAnsi="Times New Roman" w:eastAsia="方正仿宋_GBK" w:cs="Times New Roman"/>
          <w:sz w:val="32"/>
          <w:szCs w:val="32"/>
          <w:shd w:val="clear" w:color="auto" w:fill="FFFFFF"/>
        </w:rPr>
        <w:t>人员经费增加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人员经费用途主要包括工资福利支出和对个人和家庭的补助支出。公用经费</w:t>
      </w:r>
      <w:r>
        <w:rPr>
          <w:rFonts w:hint="default" w:ascii="Times New Roman" w:hAnsi="Times New Roman" w:eastAsia="方正仿宋_GBK" w:cs="Times New Roman"/>
          <w:sz w:val="32"/>
          <w:szCs w:val="32"/>
        </w:rPr>
        <w:t>57.70</w:t>
      </w:r>
      <w:r>
        <w:rPr>
          <w:rFonts w:hint="default" w:ascii="Times New Roman" w:hAnsi="Times New Roman" w:eastAsia="方正仿宋_GBK" w:cs="Times New Roman"/>
          <w:sz w:val="32"/>
          <w:szCs w:val="32"/>
          <w:shd w:val="clear" w:color="auto" w:fill="FFFFFF"/>
        </w:rPr>
        <w:t>万元，较上年决算数增加3.85万元，增长7.15%，主要原因是</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eastAsia" w:ascii="Times New Roman" w:hAnsi="Times New Roman" w:eastAsia="方正仿宋_GBK" w:cs="Times New Roman"/>
          <w:sz w:val="32"/>
          <w:szCs w:val="32"/>
          <w:shd w:val="clear" w:color="auto" w:fill="FFFFFF"/>
          <w:lang w:val="en-US" w:eastAsia="zh-CN"/>
        </w:rPr>
        <w:t>开支增加</w:t>
      </w:r>
      <w:r>
        <w:rPr>
          <w:rFonts w:hint="default" w:ascii="Times New Roman" w:hAnsi="Times New Roman" w:eastAsia="方正仿宋_GBK" w:cs="Times New Roman"/>
          <w:sz w:val="32"/>
          <w:szCs w:val="32"/>
          <w:shd w:val="clear" w:color="auto" w:fill="FFFFFF"/>
        </w:rPr>
        <w:t>。公用经费用途主要包括办公费、差旅费、水费、电费、</w:t>
      </w:r>
      <w:r>
        <w:rPr>
          <w:rFonts w:hint="eastAsia" w:ascii="Times New Roman" w:hAnsi="Times New Roman" w:eastAsia="方正仿宋_GBK" w:cs="Times New Roman"/>
          <w:sz w:val="32"/>
          <w:szCs w:val="32"/>
          <w:shd w:val="clear" w:color="auto" w:fill="FFFFFF"/>
          <w:lang w:val="en-US" w:eastAsia="zh-CN"/>
        </w:rPr>
        <w:t>邮电费、培训费、公务接待费、</w:t>
      </w:r>
      <w:r>
        <w:rPr>
          <w:rFonts w:hint="default" w:ascii="Times New Roman" w:hAnsi="Times New Roman" w:eastAsia="方正仿宋_GBK" w:cs="Times New Roman"/>
          <w:sz w:val="32"/>
          <w:szCs w:val="32"/>
          <w:shd w:val="clear" w:color="auto" w:fill="FFFFFF"/>
        </w:rPr>
        <w:t>其他交通费、工会经费、劳务费、其他商品和服务支出等。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三、“三公”经费情况说明</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1"/>
          <w:rFonts w:hint="default" w:ascii="方正楷体_GBK" w:hAnsi="方正楷体_GBK" w:eastAsia="方正楷体_GBK" w:cs="方正楷体_GBK"/>
          <w:b w:val="0"/>
          <w:bCs/>
          <w:kern w:val="0"/>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rPr>
        <w:t xml:space="preserve"> </w:t>
      </w:r>
      <w:r>
        <w:rPr>
          <w:rStyle w:val="11"/>
          <w:rFonts w:hint="default" w:ascii="方正楷体_GBK" w:hAnsi="方正楷体_GBK" w:eastAsia="方正楷体_GBK" w:cs="方正楷体_GBK"/>
          <w:b w:val="0"/>
          <w:bCs/>
          <w:kern w:val="0"/>
          <w:sz w:val="32"/>
          <w:szCs w:val="32"/>
          <w:shd w:val="clear" w:color="auto" w:fill="FFFFFF"/>
          <w:lang w:val="en-US" w:eastAsia="zh-CN" w:bidi="ar"/>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万元，较年初预算数减少5.04万元，下降91.64%，主要原因</w:t>
      </w:r>
      <w:r>
        <w:rPr>
          <w:rFonts w:hint="eastAsia" w:ascii="Times New Roman" w:hAnsi="Times New Roman" w:eastAsia="方正仿宋_GBK" w:cs="Times New Roman"/>
          <w:sz w:val="32"/>
          <w:szCs w:val="32"/>
          <w:shd w:val="clear" w:color="auto" w:fill="FFFFFF"/>
          <w:lang w:val="en-US" w:eastAsia="zh-CN"/>
        </w:rPr>
        <w:t>是严格落实政府过紧日子的政策要求，压减“三公”经费</w:t>
      </w:r>
      <w:r>
        <w:rPr>
          <w:rFonts w:hint="eastAsia"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较上年支出数减少3.18万元，下降87.36%，主要原因是</w:t>
      </w:r>
      <w:r>
        <w:rPr>
          <w:rFonts w:hint="eastAsia" w:ascii="Times New Roman" w:hAnsi="Times New Roman" w:eastAsia="方正仿宋_GBK" w:cs="Times New Roman"/>
          <w:sz w:val="32"/>
          <w:szCs w:val="32"/>
          <w:shd w:val="clear" w:color="auto" w:fill="FFFFFF"/>
          <w:lang w:val="en-US" w:eastAsia="zh-CN"/>
        </w:rPr>
        <w:t>严格落实政府过紧日子的政策要求，压减“三公”经费</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因公出国（境）费用</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因公务车购置费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万元，费用支出较年初预算数减少2.00万元，下降100.00%，主要原因是</w:t>
      </w:r>
      <w:r>
        <w:rPr>
          <w:rFonts w:hint="eastAsia" w:ascii="方正仿宋_GBK" w:hAnsi="微软雅黑" w:eastAsia="方正仿宋_GBK" w:cs="方正仿宋_GBK"/>
          <w:color w:val="333333"/>
          <w:sz w:val="32"/>
          <w:szCs w:val="32"/>
          <w:shd w:val="clear" w:fill="FFFFFF"/>
          <w:lang w:eastAsia="zh-CN"/>
        </w:rPr>
        <w:t>本单</w:t>
      </w:r>
      <w:r>
        <w:rPr>
          <w:rFonts w:hint="eastAsia" w:ascii="Times New Roman" w:hAnsi="Times New Roman" w:eastAsia="方正仿宋_GBK" w:cs="Times New Roman"/>
          <w:sz w:val="32"/>
          <w:szCs w:val="32"/>
          <w:shd w:val="clear" w:color="auto" w:fill="FFFFFF"/>
          <w:lang w:eastAsia="zh-CN"/>
        </w:rPr>
        <w:t>位</w:t>
      </w:r>
      <w:r>
        <w:rPr>
          <w:rFonts w:hint="eastAsia" w:ascii="Times New Roman" w:hAnsi="Times New Roman" w:eastAsia="方正仿宋_GBK" w:cs="Times New Roman"/>
          <w:sz w:val="32"/>
          <w:szCs w:val="32"/>
          <w:shd w:val="clear" w:color="auto" w:fill="FFFFFF"/>
          <w:lang w:val="en-US"/>
        </w:rPr>
        <w:t>202</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年度未发生</w:t>
      </w:r>
      <w:r>
        <w:rPr>
          <w:rFonts w:hint="default" w:ascii="Times New Roman" w:hAnsi="Times New Roman" w:eastAsia="方正仿宋_GBK" w:cs="Times New Roman"/>
          <w:sz w:val="32"/>
          <w:szCs w:val="32"/>
          <w:shd w:val="clear" w:color="auto" w:fill="FFFFFF"/>
        </w:rPr>
        <w:t>公务车运行维护费</w:t>
      </w:r>
      <w:r>
        <w:rPr>
          <w:rFonts w:hint="eastAsia" w:ascii="Times New Roman" w:hAnsi="Times New Roman" w:eastAsia="方正仿宋_GBK" w:cs="Times New Roman"/>
          <w:color w:val="auto"/>
          <w:sz w:val="32"/>
          <w:szCs w:val="32"/>
          <w:shd w:val="clear" w:color="auto" w:fill="FFFFFF"/>
          <w:lang w:eastAsia="zh-CN"/>
        </w:rPr>
        <w:t>支出</w:t>
      </w:r>
      <w:r>
        <w:rPr>
          <w:rFonts w:hint="default" w:ascii="Times New Roman" w:hAnsi="Times New Roman" w:eastAsia="方正仿宋_GBK" w:cs="Times New Roman"/>
          <w:color w:val="auto"/>
          <w:sz w:val="32"/>
          <w:szCs w:val="32"/>
          <w:shd w:val="clear" w:color="auto" w:fill="FFFFFF"/>
        </w:rPr>
        <w:t>。较上年支出数无增减。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0.46</w:t>
      </w:r>
      <w:r>
        <w:rPr>
          <w:rFonts w:hint="default" w:ascii="Times New Roman" w:hAnsi="Times New Roman" w:eastAsia="方正仿宋_GBK" w:cs="Times New Roman"/>
          <w:sz w:val="32"/>
          <w:szCs w:val="32"/>
          <w:shd w:val="clear" w:color="auto" w:fill="FFFFFF"/>
        </w:rPr>
        <w:t>万元，主要用于接待上级部门</w:t>
      </w:r>
      <w:r>
        <w:rPr>
          <w:rFonts w:hint="eastAsia" w:ascii="Times New Roman" w:hAnsi="Times New Roman" w:eastAsia="方正仿宋_GBK" w:cs="Times New Roman"/>
          <w:sz w:val="32"/>
          <w:szCs w:val="32"/>
          <w:shd w:val="clear" w:color="auto" w:fill="FFFFFF"/>
          <w:lang w:val="en-US" w:eastAsia="zh-CN"/>
        </w:rPr>
        <w:t>来石</w:t>
      </w:r>
      <w:r>
        <w:rPr>
          <w:rFonts w:hint="default" w:ascii="Times New Roman" w:hAnsi="Times New Roman" w:eastAsia="方正仿宋_GBK" w:cs="Times New Roman"/>
          <w:sz w:val="32"/>
          <w:szCs w:val="32"/>
          <w:shd w:val="clear" w:color="auto" w:fill="FFFFFF"/>
        </w:rPr>
        <w:t>检查指导安全稳定等方面</w:t>
      </w:r>
      <w:r>
        <w:rPr>
          <w:rFonts w:hint="eastAsia" w:ascii="Times New Roman" w:hAnsi="Times New Roman" w:eastAsia="方正仿宋_GBK" w:cs="Times New Roman"/>
          <w:sz w:val="32"/>
          <w:szCs w:val="32"/>
          <w:shd w:val="clear" w:color="auto" w:fill="FFFFFF"/>
          <w:lang w:val="en-US" w:eastAsia="zh-CN"/>
        </w:rPr>
        <w:t>工作</w:t>
      </w:r>
      <w:r>
        <w:rPr>
          <w:rFonts w:hint="default" w:ascii="Times New Roman" w:hAnsi="Times New Roman" w:eastAsia="方正仿宋_GBK" w:cs="Times New Roman"/>
          <w:sz w:val="32"/>
          <w:szCs w:val="32"/>
          <w:shd w:val="clear" w:color="auto" w:fill="FFFFFF"/>
        </w:rPr>
        <w:t>。费用支出较年初预算数减少3.04万元，下降86.86%，主要原因是严格落实政府过紧日子的政策要求，强化公务接待支出管理，严格遵守公务接待开支范围和开支标准，严格控制陪餐人数。较上年支出数减少3.18万元，下降87.36%，主要原因是严格落实政府过紧日子的政策要求，强化公务接待支出管理，严格遵守公务接待开支范围和开支标准，严格控制陪餐人数。</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56</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81.39</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3"/>
        <w:textAlignment w:val="auto"/>
        <w:rPr>
          <w:rStyle w:val="11"/>
          <w:rFonts w:hint="default" w:ascii="方正楷体_GBK" w:hAnsi="方正楷体_GBK" w:eastAsia="方正楷体_GBK" w:cs="方正楷体_GBK"/>
          <w:b w:val="0"/>
          <w:bCs/>
          <w:kern w:val="0"/>
          <w:sz w:val="32"/>
          <w:szCs w:val="32"/>
          <w:shd w:val="clear" w:color="auto" w:fill="FFFFFF"/>
          <w:lang w:val="en-US" w:eastAsia="zh-CN" w:bidi="ar"/>
        </w:rPr>
      </w:pPr>
      <w:r>
        <w:rPr>
          <w:rFonts w:hint="default" w:ascii="Times New Roman" w:hAnsi="Times New Roman" w:eastAsia="楷体" w:cs="Times New Roman"/>
          <w:b/>
          <w:bCs/>
          <w:sz w:val="32"/>
          <w:szCs w:val="32"/>
          <w:shd w:val="clear" w:color="auto" w:fill="FFFFFF"/>
        </w:rPr>
        <w:t> </w:t>
      </w:r>
      <w:r>
        <w:rPr>
          <w:rStyle w:val="11"/>
          <w:rFonts w:hint="default" w:ascii="方正楷体_GBK" w:hAnsi="方正楷体_GBK" w:eastAsia="方正楷体_GBK" w:cs="方正楷体_GBK"/>
          <w:b w:val="0"/>
          <w:bCs/>
          <w:kern w:val="0"/>
          <w:sz w:val="32"/>
          <w:szCs w:val="32"/>
          <w:shd w:val="clear" w:color="auto" w:fill="FFFFFF"/>
          <w:lang w:val="en-US" w:eastAsia="zh-CN" w:bidi="ar"/>
        </w:rPr>
        <w:t xml:space="preserve"> （一）财政拨款会议费和培训费情况说明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eastAsia" w:ascii="Times New Roman" w:hAnsi="Times New Roman" w:eastAsia="方正仿宋_GBK" w:cs="Times New Roman"/>
          <w:sz w:val="32"/>
          <w:szCs w:val="32"/>
          <w:lang w:eastAsia="zh-CN"/>
        </w:rPr>
        <w:t>本单位</w:t>
      </w:r>
      <w:r>
        <w:rPr>
          <w:rFonts w:hint="eastAsia" w:ascii="Times New Roman" w:hAnsi="Times New Roman" w:eastAsia="方正仿宋_GBK" w:cs="Times New Roman"/>
          <w:sz w:val="32"/>
          <w:szCs w:val="32"/>
          <w:lang w:val="en-US"/>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年度未</w:t>
      </w:r>
      <w:r>
        <w:rPr>
          <w:rFonts w:hint="eastAsia" w:ascii="方正仿宋_GBK" w:hAnsi="微软雅黑" w:eastAsia="方正仿宋_GBK" w:cs="方正仿宋_GBK"/>
          <w:color w:val="333333"/>
          <w:sz w:val="32"/>
          <w:szCs w:val="32"/>
          <w:shd w:val="clear" w:fill="FFFFFF"/>
          <w:lang w:eastAsia="zh-CN"/>
        </w:rPr>
        <w:t>发生会议费支出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万元，较上年决算数减少0.25万元，下降71.43%，主要原因是</w:t>
      </w:r>
      <w:r>
        <w:rPr>
          <w:rFonts w:hint="eastAsia" w:ascii="Times New Roman" w:hAnsi="Times New Roman" w:eastAsia="方正仿宋_GBK" w:cs="Times New Roman"/>
          <w:sz w:val="32"/>
          <w:szCs w:val="32"/>
          <w:shd w:val="clear" w:color="auto" w:fill="FFFFFF"/>
          <w:lang w:val="en-US" w:eastAsia="zh-CN"/>
        </w:rPr>
        <w:t>培训减少</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57.70</w:t>
      </w:r>
      <w:r>
        <w:rPr>
          <w:rFonts w:hint="default" w:ascii="Times New Roman" w:hAnsi="Times New Roman" w:eastAsia="方正仿宋_GBK" w:cs="Times New Roman"/>
          <w:sz w:val="32"/>
          <w:szCs w:val="32"/>
          <w:shd w:val="clear" w:color="auto" w:fill="FFFFFF"/>
        </w:rPr>
        <w:t>万元，机关运行经费主要用于开支办公费、差旅费、水费、电费、</w:t>
      </w:r>
      <w:r>
        <w:rPr>
          <w:rFonts w:hint="eastAsia" w:ascii="Times New Roman" w:hAnsi="Times New Roman" w:eastAsia="方正仿宋_GBK" w:cs="Times New Roman"/>
          <w:sz w:val="32"/>
          <w:szCs w:val="32"/>
          <w:shd w:val="clear" w:color="auto" w:fill="FFFFFF"/>
          <w:lang w:val="en-US" w:eastAsia="zh-CN"/>
        </w:rPr>
        <w:t>邮电费、培训费、公务接待费、</w:t>
      </w:r>
      <w:r>
        <w:rPr>
          <w:rFonts w:hint="default" w:ascii="Times New Roman" w:hAnsi="Times New Roman" w:eastAsia="方正仿宋_GBK" w:cs="Times New Roman"/>
          <w:sz w:val="32"/>
          <w:szCs w:val="32"/>
          <w:shd w:val="clear" w:color="auto" w:fill="FFFFFF"/>
        </w:rPr>
        <w:t>其他交通费、工会经费、劳务费、其他商品和服务支出等。机关运行经费较上年支出数增加3.85万元，增长7.15%，主要原因是</w:t>
      </w:r>
      <w:r>
        <w:rPr>
          <w:rFonts w:hint="default" w:ascii="Times New Roman" w:hAnsi="Times New Roman" w:eastAsia="方正仿宋_GBK" w:cs="Times New Roman"/>
          <w:sz w:val="32"/>
          <w:szCs w:val="32"/>
          <w:shd w:val="clear" w:color="auto" w:fill="FFFFFF"/>
          <w:lang w:val="en-US" w:eastAsia="zh-CN"/>
        </w:rPr>
        <w:t>单位</w:t>
      </w:r>
      <w:r>
        <w:rPr>
          <w:rFonts w:hint="eastAsia" w:ascii="Times New Roman" w:hAnsi="Times New Roman" w:eastAsia="方正仿宋_GBK" w:cs="Times New Roman"/>
          <w:sz w:val="32"/>
          <w:szCs w:val="32"/>
          <w:shd w:val="clear" w:color="auto" w:fill="FFFFFF"/>
          <w:lang w:val="en-US" w:eastAsia="zh-CN"/>
        </w:rPr>
        <w:t>新进</w:t>
      </w:r>
      <w:r>
        <w:rPr>
          <w:rFonts w:hint="default" w:ascii="Times New Roman" w:hAnsi="Times New Roman" w:eastAsia="方正仿宋_GBK" w:cs="Times New Roman"/>
          <w:sz w:val="32"/>
          <w:szCs w:val="32"/>
          <w:shd w:val="clear" w:color="auto" w:fill="FFFFFF"/>
        </w:rPr>
        <w:t>2人</w:t>
      </w:r>
      <w:r>
        <w:rPr>
          <w:rFonts w:hint="eastAsia" w:ascii="Times New Roman" w:hAnsi="Times New Roman" w:eastAsia="方正仿宋_GBK" w:cs="Times New Roman"/>
          <w:sz w:val="32"/>
          <w:szCs w:val="32"/>
          <w:shd w:val="clear" w:color="auto" w:fill="FFFFFF"/>
          <w:lang w:val="en-US" w:eastAsia="zh-CN"/>
        </w:rPr>
        <w:t>开支增加</w:t>
      </w:r>
      <w:r>
        <w:rPr>
          <w:rFonts w:hint="default" w:ascii="Times New Roman" w:hAnsi="Times New Roman" w:eastAsia="方正仿宋_GBK" w:cs="Times New Roman"/>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42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w:t>
      </w:r>
      <w:r>
        <w:rPr>
          <w:rFonts w:hint="eastAsia" w:ascii="Times New Roman" w:hAnsi="Times New Roman" w:eastAsia="方正仿宋_GBK" w:cs="Times New Roman"/>
          <w:sz w:val="32"/>
          <w:szCs w:val="32"/>
          <w:shd w:val="clear" w:color="auto" w:fill="FFFFFF"/>
          <w:lang w:val="en-US" w:eastAsia="zh-CN"/>
        </w:rPr>
        <w:t>本</w:t>
      </w:r>
      <w:r>
        <w:rPr>
          <w:rFonts w:hint="default" w:ascii="Times New Roman" w:hAnsi="Times New Roman" w:eastAsia="方正仿宋_GBK" w:cs="Times New Roman"/>
          <w:sz w:val="32"/>
          <w:szCs w:val="32"/>
          <w:shd w:val="clear" w:color="auto" w:fill="FFFFFF"/>
        </w:rPr>
        <w:t>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Style w:val="11"/>
          <w:rFonts w:hint="default" w:ascii="Times New Roman" w:hAnsi="Times New Roman" w:eastAsia="方正楷体_GBK" w:cs="Times New Roman"/>
          <w:b w:val="0"/>
          <w:bCs/>
          <w:sz w:val="32"/>
          <w:szCs w:val="32"/>
          <w:shd w:val="clear" w:color="auto" w:fill="FFFFFF"/>
          <w:lang w:val="en-US" w:eastAsia="zh-CN" w:bidi="ar-SA"/>
        </w:rPr>
      </w:pPr>
      <w:r>
        <w:rPr>
          <w:rStyle w:val="11"/>
          <w:rFonts w:hint="default" w:ascii="Times New Roman" w:hAnsi="Times New Roman" w:eastAsia="方正楷体_GBK" w:cs="Times New Roman"/>
          <w:b w:val="0"/>
          <w:bCs/>
          <w:sz w:val="32"/>
          <w:szCs w:val="32"/>
          <w:shd w:val="clear" w:color="auto" w:fill="FFFFFF"/>
          <w:lang w:val="en-US" w:eastAsia="zh-CN" w:bidi="ar-SA"/>
        </w:rPr>
        <w:t>（一）单位自评情况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eastAsia" w:ascii="方正仿宋_GBK" w:hAnsi="微软雅黑" w:eastAsia="方正仿宋_GBK" w:cs="方正仿宋_GBK"/>
          <w:color w:val="333333"/>
          <w:sz w:val="32"/>
          <w:szCs w:val="32"/>
          <w:shd w:val="clear" w:fill="FFFFFF"/>
          <w:lang w:eastAsia="zh-CN"/>
        </w:rPr>
      </w:pPr>
      <w:r>
        <w:rPr>
          <w:rFonts w:hint="eastAsia" w:ascii="方正仿宋_GBK" w:hAnsi="微软雅黑" w:eastAsia="方正仿宋_GBK" w:cs="方正仿宋_GBK"/>
          <w:color w:val="333333"/>
          <w:sz w:val="32"/>
          <w:szCs w:val="32"/>
          <w:shd w:val="clear" w:fill="FFFFFF"/>
          <w:lang w:eastAsia="zh-CN"/>
        </w:rPr>
        <w:t>本单位为商务委下属二级预算单位，预算绩效管理工作由商务委机关开展，本单位未开展预算绩效管理工作。</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（二）单位绩效评价情况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方正仿宋_GBK" w:hAnsi="微软雅黑" w:eastAsia="方正仿宋_GBK" w:cs="方正仿宋_GBK"/>
          <w:color w:val="333333"/>
          <w:sz w:val="32"/>
          <w:szCs w:val="32"/>
          <w:shd w:val="clear" w:fill="FFFFFF"/>
          <w:lang w:eastAsia="zh-CN"/>
        </w:rPr>
      </w:pPr>
      <w:r>
        <w:rPr>
          <w:rFonts w:hint="eastAsia" w:ascii="方正仿宋_GBK" w:hAnsi="微软雅黑" w:eastAsia="方正仿宋_GBK" w:cs="方正仿宋_GBK"/>
          <w:color w:val="333333"/>
          <w:sz w:val="32"/>
          <w:szCs w:val="32"/>
          <w:shd w:val="clear" w:fill="FFFFFF"/>
          <w:lang w:val="en-US" w:eastAsia="zh-CN"/>
        </w:rPr>
        <w:t>本</w:t>
      </w:r>
      <w:r>
        <w:rPr>
          <w:rFonts w:hint="default" w:ascii="方正仿宋_GBK" w:hAnsi="微软雅黑" w:eastAsia="方正仿宋_GBK" w:cs="方正仿宋_GBK"/>
          <w:color w:val="333333"/>
          <w:sz w:val="32"/>
          <w:szCs w:val="32"/>
          <w:shd w:val="clear" w:fill="FFFFFF"/>
          <w:lang w:eastAsia="zh-CN"/>
        </w:rPr>
        <w:t>单位未组织开展绩效评价</w:t>
      </w:r>
      <w:r>
        <w:rPr>
          <w:rFonts w:hint="eastAsia" w:ascii="方正仿宋_GBK" w:hAnsi="微软雅黑" w:eastAsia="方正仿宋_GBK" w:cs="方正仿宋_GBK"/>
          <w:color w:val="333333"/>
          <w:sz w:val="32"/>
          <w:szCs w:val="32"/>
          <w:shd w:val="clear" w:fill="FFFFFF"/>
          <w:lang w:eastAsia="zh-CN"/>
        </w:rPr>
        <w:t>。</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Style w:val="11"/>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方正仿宋_GBK" w:hAnsi="微软雅黑" w:eastAsia="方正仿宋_GBK" w:cs="方正仿宋_GBK"/>
          <w:color w:val="333333"/>
          <w:sz w:val="32"/>
          <w:szCs w:val="32"/>
          <w:shd w:val="clear" w:fill="FFFFFF"/>
          <w:lang w:eastAsia="zh-CN"/>
        </w:rPr>
      </w:pPr>
      <w:r>
        <w:rPr>
          <w:rFonts w:hint="default" w:ascii="方正仿宋_GBK" w:hAnsi="微软雅黑" w:eastAsia="方正仿宋_GBK" w:cs="方正仿宋_GBK"/>
          <w:color w:val="333333"/>
          <w:sz w:val="32"/>
          <w:szCs w:val="32"/>
          <w:shd w:val="clear" w:fill="FFFFFF"/>
          <w:lang w:eastAsia="zh-CN"/>
        </w:rPr>
        <w:t>市财政局未委托第三方对</w:t>
      </w:r>
      <w:r>
        <w:rPr>
          <w:rFonts w:hint="eastAsia" w:ascii="方正仿宋_GBK" w:hAnsi="微软雅黑" w:eastAsia="方正仿宋_GBK" w:cs="方正仿宋_GBK"/>
          <w:color w:val="333333"/>
          <w:sz w:val="32"/>
          <w:szCs w:val="32"/>
          <w:shd w:val="clear" w:fill="FFFFFF"/>
          <w:lang w:val="en-US" w:eastAsia="zh-CN"/>
        </w:rPr>
        <w:t>本</w:t>
      </w:r>
      <w:r>
        <w:rPr>
          <w:rFonts w:hint="default" w:ascii="方正仿宋_GBK" w:hAnsi="微软雅黑" w:eastAsia="方正仿宋_GBK" w:cs="方正仿宋_GBK"/>
          <w:color w:val="333333"/>
          <w:sz w:val="32"/>
          <w:szCs w:val="32"/>
          <w:shd w:val="clear" w:fill="FFFFFF"/>
          <w:lang w:eastAsia="zh-CN"/>
        </w:rPr>
        <w:t>单位开展绩效评价</w:t>
      </w:r>
      <w:r>
        <w:rPr>
          <w:rFonts w:hint="eastAsia" w:ascii="方正仿宋_GBK" w:hAnsi="微软雅黑" w:eastAsia="方正仿宋_GBK" w:cs="方正仿宋_GBK"/>
          <w:color w:val="333333"/>
          <w:sz w:val="32"/>
          <w:szCs w:val="32"/>
          <w:shd w:val="clear"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11"/>
          <w:rFonts w:hint="default" w:ascii="Times New Roman" w:hAnsi="Times New Roman" w:eastAsia="方正黑体_GBK" w:cs="Times New Roman"/>
          <w:b w:val="0"/>
          <w:bCs/>
          <w:sz w:val="32"/>
          <w:szCs w:val="32"/>
          <w:shd w:val="clear" w:color="auto" w:fill="FFFFFF"/>
          <w:lang w:val="en-US" w:eastAsia="zh-CN"/>
        </w:rPr>
      </w:pPr>
      <w:r>
        <w:rPr>
          <w:rStyle w:val="11"/>
          <w:rFonts w:hint="default" w:ascii="Times New Roman" w:hAnsi="Times New Roman" w:eastAsia="方正黑体_GBK" w:cs="Times New Roman"/>
          <w:b w:val="0"/>
          <w:bCs/>
          <w:sz w:val="32"/>
          <w:szCs w:val="32"/>
          <w:shd w:val="clear" w:color="auto" w:fill="FFFFFF"/>
          <w:lang w:val="en-US" w:eastAsia="zh-CN"/>
        </w:rPr>
        <w:t>  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楷体_GBK" w:cs="Times New Roman"/>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textAlignment w:val="auto"/>
        <w:rPr>
          <w:rStyle w:val="11"/>
          <w:rFonts w:hint="default"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  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本单位决算公开信息反馈和联系方式：付巧灵，023-64720022。</w:t>
      </w:r>
    </w:p>
    <w:p>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重庆市石柱土家族自治县商务行政执法支队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229.04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341.55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341.55</w:t>
            </w:r>
            <w:r>
              <w:rPr>
                <w:color w:val="000000"/>
                <w:sz w:val="20"/>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eastAsia" w:eastAsia="宋体" w:cs="宋体"/>
          <w:sz w:val="20"/>
          <w:szCs w:val="20"/>
          <w:lang w:eastAsia="zh-CN"/>
        </w:rPr>
      </w:pP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重庆市石柱土家族自治县商务行政执法支队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pPr>
        <w:ind w:left="600" w:hanging="600" w:hangingChars="300"/>
        <w:rPr>
          <w:rFonts w:hint="eastAsia" w:eastAsia="宋体" w:cs="宋体"/>
          <w:sz w:val="20"/>
          <w:szCs w:val="20"/>
          <w:lang w:eastAsia="zh-CN"/>
        </w:rPr>
      </w:pPr>
    </w:p>
    <w:p>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重庆市石柱土家族自治县商务行政执法支队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229.04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21.90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备注：1.本表反映单位本年度各项支出情况。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default" w:cs="宋体"/>
          <w:sz w:val="21"/>
          <w:szCs w:val="21"/>
        </w:rPr>
      </w:pPr>
    </w:p>
    <w:p>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229.04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40" w:lineRule="exact"/>
        <w:rPr>
          <w:rFonts w:hint="eastAsia" w:eastAsia="宋体" w:cs="宋体"/>
          <w:sz w:val="20"/>
          <w:szCs w:val="20"/>
          <w:lang w:eastAsia="zh-CN"/>
        </w:rPr>
      </w:pPr>
    </w:p>
    <w:p>
      <w:pPr>
        <w:spacing w:line="24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341.55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229.04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229.04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74.54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16.79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21.90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0"/>
          <w:szCs w:val="20"/>
          <w:lang w:eastAsia="zh-CN"/>
        </w:rPr>
      </w:pPr>
      <w:r>
        <w:rPr>
          <w:rFonts w:cs="宋体"/>
          <w:sz w:val="20"/>
          <w:szCs w:val="20"/>
        </w:rPr>
        <w:t>备注：1.本表反映单位本年度一般公共预算财政拨款支出情况。</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p>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256.76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283.85</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57.70</w:t>
            </w:r>
            <w:r>
              <w:rPr>
                <w:color w:val="000000"/>
                <w:sz w:val="18"/>
                <w:u w:color="auto"/>
              </w:rPr>
              <w:t xml:space="preserve"> </w:t>
            </w:r>
          </w:p>
        </w:tc>
      </w:tr>
    </w:tbl>
    <w:p>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pPr>
        <w:spacing w:line="280" w:lineRule="exact"/>
        <w:rPr>
          <w:rFonts w:hint="eastAsia" w:eastAsia="宋体" w:cs="宋体"/>
          <w:sz w:val="20"/>
          <w:szCs w:val="20"/>
          <w:lang w:eastAsia="zh-CN"/>
        </w:rPr>
      </w:pPr>
    </w:p>
    <w:p>
      <w:pPr>
        <w:spacing w:line="280" w:lineRule="exact"/>
        <w:rPr>
          <w:rFonts w:hint="default" w:cs="宋体"/>
          <w:sz w:val="20"/>
          <w:szCs w:val="20"/>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pPr>
        <w:rPr>
          <w:rFonts w:hint="eastAsia" w:eastAsia="宋体" w:cs="宋体"/>
          <w:sz w:val="20"/>
          <w:szCs w:val="20"/>
          <w:lang w:eastAsia="zh-CN"/>
        </w:rPr>
      </w:pPr>
    </w:p>
    <w:p>
      <w:pPr>
        <w:rPr>
          <w:rFonts w:hint="eastAsia" w:eastAsia="宋体" w:cs="宋体"/>
          <w:sz w:val="20"/>
          <w:szCs w:val="20"/>
          <w:lang w:eastAsia="zh-CN"/>
        </w:rPr>
      </w:pPr>
    </w:p>
    <w:p>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pPr>
        <w:rPr>
          <w:rFonts w:hint="eastAsia" w:eastAsia="宋体" w:cs="宋体"/>
          <w:sz w:val="20"/>
          <w:szCs w:val="20"/>
          <w:lang w:eastAsia="zh-CN"/>
        </w:rPr>
      </w:pPr>
    </w:p>
    <w:p>
      <w:pPr>
        <w:rPr>
          <w:rFonts w:hint="default" w:cs="宋体"/>
          <w:sz w:val="21"/>
          <w:szCs w:val="21"/>
        </w:rPr>
      </w:pP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重庆市石柱土家族自治县商务行政执法支队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57.70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57.70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eastAsia="宋体" w:cs="宋体"/>
          <w:sz w:val="20"/>
          <w:szCs w:val="20"/>
          <w:lang w:eastAsia="zh-CN"/>
        </w:rPr>
      </w:pPr>
      <w:r>
        <w:rPr>
          <w:rFonts w:cs="宋体"/>
          <w:sz w:val="20"/>
          <w:szCs w:val="20"/>
        </w:rPr>
        <w:t xml:space="preserve">      2.本套报表金额单位转换时可能存在尾数误差。</w:t>
      </w:r>
    </w:p>
    <w:p>
      <w:pPr>
        <w:rPr>
          <w:rFonts w:hint="eastAsia" w:eastAsia="宋体" w:cs="宋体"/>
          <w:sz w:val="20"/>
          <w:szCs w:val="20"/>
          <w:lang w:eastAsia="zh-CN"/>
        </w:rPr>
      </w:pPr>
    </w:p>
    <w:p>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Q5N2RhMGY1OThhYWRjZDc1ZTBmZmJlMWUyZDQwYz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A52CD4"/>
    <w:rsid w:val="05BC6D49"/>
    <w:rsid w:val="06046527"/>
    <w:rsid w:val="06194FF1"/>
    <w:rsid w:val="06A2550B"/>
    <w:rsid w:val="06F80EE2"/>
    <w:rsid w:val="07001CCA"/>
    <w:rsid w:val="075678DB"/>
    <w:rsid w:val="07814244"/>
    <w:rsid w:val="079D7CC7"/>
    <w:rsid w:val="08051BCA"/>
    <w:rsid w:val="086C12F4"/>
    <w:rsid w:val="08705944"/>
    <w:rsid w:val="08BA052C"/>
    <w:rsid w:val="08DB07BA"/>
    <w:rsid w:val="0969353F"/>
    <w:rsid w:val="098305D0"/>
    <w:rsid w:val="0A3317EA"/>
    <w:rsid w:val="0A5C4B69"/>
    <w:rsid w:val="0A7C3C8A"/>
    <w:rsid w:val="0A86124A"/>
    <w:rsid w:val="0AB54CC0"/>
    <w:rsid w:val="0B5D2170"/>
    <w:rsid w:val="0B9335CE"/>
    <w:rsid w:val="0BF2311A"/>
    <w:rsid w:val="0C7927C4"/>
    <w:rsid w:val="0C9B098C"/>
    <w:rsid w:val="0D026C5D"/>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7653F"/>
    <w:rsid w:val="12C921C4"/>
    <w:rsid w:val="12D355F6"/>
    <w:rsid w:val="13871C70"/>
    <w:rsid w:val="13A71CB4"/>
    <w:rsid w:val="13AF1D43"/>
    <w:rsid w:val="13CE1647"/>
    <w:rsid w:val="13FD55AB"/>
    <w:rsid w:val="14200702"/>
    <w:rsid w:val="146E0DBE"/>
    <w:rsid w:val="163A6CEE"/>
    <w:rsid w:val="173708E3"/>
    <w:rsid w:val="178C5920"/>
    <w:rsid w:val="179121A0"/>
    <w:rsid w:val="17C374FC"/>
    <w:rsid w:val="182E4AB6"/>
    <w:rsid w:val="189079DC"/>
    <w:rsid w:val="189B0D0B"/>
    <w:rsid w:val="18B43F7C"/>
    <w:rsid w:val="194A1770"/>
    <w:rsid w:val="19B906A4"/>
    <w:rsid w:val="1A352420"/>
    <w:rsid w:val="1A46462D"/>
    <w:rsid w:val="1A862C7C"/>
    <w:rsid w:val="1B6F15B6"/>
    <w:rsid w:val="1BAA2EDC"/>
    <w:rsid w:val="1CA55E64"/>
    <w:rsid w:val="1CE741E9"/>
    <w:rsid w:val="1D014A01"/>
    <w:rsid w:val="1D022362"/>
    <w:rsid w:val="1D1B04B0"/>
    <w:rsid w:val="1D216C8C"/>
    <w:rsid w:val="1DA52501"/>
    <w:rsid w:val="1DBD6767"/>
    <w:rsid w:val="1DC52125"/>
    <w:rsid w:val="1DD26311"/>
    <w:rsid w:val="1E374ACB"/>
    <w:rsid w:val="1ECF0A66"/>
    <w:rsid w:val="1EF67CA4"/>
    <w:rsid w:val="1F020D3A"/>
    <w:rsid w:val="1F2C5189"/>
    <w:rsid w:val="1F4B0B02"/>
    <w:rsid w:val="1F6E1F30"/>
    <w:rsid w:val="1F770DE5"/>
    <w:rsid w:val="1F777037"/>
    <w:rsid w:val="1FBB35CD"/>
    <w:rsid w:val="1FCD26AF"/>
    <w:rsid w:val="20642787"/>
    <w:rsid w:val="21556F04"/>
    <w:rsid w:val="22403BD3"/>
    <w:rsid w:val="238638A3"/>
    <w:rsid w:val="24286B52"/>
    <w:rsid w:val="2474284C"/>
    <w:rsid w:val="24B92327"/>
    <w:rsid w:val="24C14514"/>
    <w:rsid w:val="250749B9"/>
    <w:rsid w:val="2533755C"/>
    <w:rsid w:val="25791755"/>
    <w:rsid w:val="263104B0"/>
    <w:rsid w:val="26396DF4"/>
    <w:rsid w:val="27167136"/>
    <w:rsid w:val="271B442C"/>
    <w:rsid w:val="275C4D33"/>
    <w:rsid w:val="27B23302"/>
    <w:rsid w:val="28074CD0"/>
    <w:rsid w:val="29096D87"/>
    <w:rsid w:val="29127DD1"/>
    <w:rsid w:val="292C2C40"/>
    <w:rsid w:val="29310A5F"/>
    <w:rsid w:val="29C37A35"/>
    <w:rsid w:val="2A076083"/>
    <w:rsid w:val="2A0C4820"/>
    <w:rsid w:val="2A73162E"/>
    <w:rsid w:val="2B167953"/>
    <w:rsid w:val="2B200583"/>
    <w:rsid w:val="2B8209DE"/>
    <w:rsid w:val="2C636760"/>
    <w:rsid w:val="2C6762A3"/>
    <w:rsid w:val="2FA07EE4"/>
    <w:rsid w:val="2FCA4B37"/>
    <w:rsid w:val="2FE029D7"/>
    <w:rsid w:val="2FF06E00"/>
    <w:rsid w:val="2FFE4C0B"/>
    <w:rsid w:val="30586FEC"/>
    <w:rsid w:val="30FA3624"/>
    <w:rsid w:val="315F0B22"/>
    <w:rsid w:val="31D84415"/>
    <w:rsid w:val="32202632"/>
    <w:rsid w:val="32285F6F"/>
    <w:rsid w:val="32770556"/>
    <w:rsid w:val="329C0913"/>
    <w:rsid w:val="32AA0460"/>
    <w:rsid w:val="3337290D"/>
    <w:rsid w:val="33E31118"/>
    <w:rsid w:val="33EF7674"/>
    <w:rsid w:val="342D7BC6"/>
    <w:rsid w:val="352930DB"/>
    <w:rsid w:val="35573069"/>
    <w:rsid w:val="355F6038"/>
    <w:rsid w:val="358C217E"/>
    <w:rsid w:val="366E2AEA"/>
    <w:rsid w:val="36767BF1"/>
    <w:rsid w:val="369938DF"/>
    <w:rsid w:val="36C9128A"/>
    <w:rsid w:val="37841E99"/>
    <w:rsid w:val="37BF1123"/>
    <w:rsid w:val="383C3F15"/>
    <w:rsid w:val="38BE4696"/>
    <w:rsid w:val="3939115E"/>
    <w:rsid w:val="39B82A39"/>
    <w:rsid w:val="39C42CA8"/>
    <w:rsid w:val="39DC4FD6"/>
    <w:rsid w:val="39F03D7A"/>
    <w:rsid w:val="39F33306"/>
    <w:rsid w:val="3A2C1C67"/>
    <w:rsid w:val="3ADD7F09"/>
    <w:rsid w:val="3AFC485D"/>
    <w:rsid w:val="3B1705E5"/>
    <w:rsid w:val="3B18334B"/>
    <w:rsid w:val="3B36794F"/>
    <w:rsid w:val="3B6F6EE0"/>
    <w:rsid w:val="3C566AD6"/>
    <w:rsid w:val="3C594871"/>
    <w:rsid w:val="3C6A5B02"/>
    <w:rsid w:val="3CA45047"/>
    <w:rsid w:val="3CF46067"/>
    <w:rsid w:val="3D2757A1"/>
    <w:rsid w:val="3D3D4FC4"/>
    <w:rsid w:val="3D5B7E94"/>
    <w:rsid w:val="3D7E738B"/>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6F1162"/>
    <w:rsid w:val="42736402"/>
    <w:rsid w:val="42E3660E"/>
    <w:rsid w:val="42E86A87"/>
    <w:rsid w:val="43307B09"/>
    <w:rsid w:val="439A3EB9"/>
    <w:rsid w:val="43BB152F"/>
    <w:rsid w:val="43CE2E1A"/>
    <w:rsid w:val="44C37687"/>
    <w:rsid w:val="45AA51C1"/>
    <w:rsid w:val="45CB699A"/>
    <w:rsid w:val="465B470D"/>
    <w:rsid w:val="469D6AD4"/>
    <w:rsid w:val="471E6C84"/>
    <w:rsid w:val="4748792B"/>
    <w:rsid w:val="475D719D"/>
    <w:rsid w:val="47674801"/>
    <w:rsid w:val="48225EF7"/>
    <w:rsid w:val="482C010F"/>
    <w:rsid w:val="488F422B"/>
    <w:rsid w:val="48E36915"/>
    <w:rsid w:val="48EB6572"/>
    <w:rsid w:val="495C4A24"/>
    <w:rsid w:val="497135DF"/>
    <w:rsid w:val="49845D29"/>
    <w:rsid w:val="4A263DF2"/>
    <w:rsid w:val="4A6F6675"/>
    <w:rsid w:val="4B135857"/>
    <w:rsid w:val="4B7951CB"/>
    <w:rsid w:val="4B7C315C"/>
    <w:rsid w:val="4B9C55AC"/>
    <w:rsid w:val="4DAC4ACA"/>
    <w:rsid w:val="4DBE01D2"/>
    <w:rsid w:val="4E881E17"/>
    <w:rsid w:val="4E9702AC"/>
    <w:rsid w:val="4F0C6BA3"/>
    <w:rsid w:val="4F186D58"/>
    <w:rsid w:val="4F5E3989"/>
    <w:rsid w:val="50F06B6E"/>
    <w:rsid w:val="510718D5"/>
    <w:rsid w:val="51D21804"/>
    <w:rsid w:val="52234D33"/>
    <w:rsid w:val="522F6E0C"/>
    <w:rsid w:val="52463BA1"/>
    <w:rsid w:val="52F163D4"/>
    <w:rsid w:val="531A2DB4"/>
    <w:rsid w:val="53663062"/>
    <w:rsid w:val="53C0244D"/>
    <w:rsid w:val="53DD4D4E"/>
    <w:rsid w:val="53E578CE"/>
    <w:rsid w:val="541330F0"/>
    <w:rsid w:val="54272666"/>
    <w:rsid w:val="543B029D"/>
    <w:rsid w:val="54861779"/>
    <w:rsid w:val="54E30A43"/>
    <w:rsid w:val="552256E1"/>
    <w:rsid w:val="554E5773"/>
    <w:rsid w:val="555829E0"/>
    <w:rsid w:val="555A3CBC"/>
    <w:rsid w:val="5582012B"/>
    <w:rsid w:val="558E4E05"/>
    <w:rsid w:val="55BE2E85"/>
    <w:rsid w:val="55DB3175"/>
    <w:rsid w:val="56530F5D"/>
    <w:rsid w:val="567700D3"/>
    <w:rsid w:val="56FF7E9E"/>
    <w:rsid w:val="578867FC"/>
    <w:rsid w:val="5842572D"/>
    <w:rsid w:val="59AB1EEB"/>
    <w:rsid w:val="5A185B07"/>
    <w:rsid w:val="5A3B59D6"/>
    <w:rsid w:val="5AAF5D14"/>
    <w:rsid w:val="5AD134D8"/>
    <w:rsid w:val="5AD46E31"/>
    <w:rsid w:val="5B94004E"/>
    <w:rsid w:val="5C263CE4"/>
    <w:rsid w:val="5C5D2777"/>
    <w:rsid w:val="5CF66BF3"/>
    <w:rsid w:val="5D290C69"/>
    <w:rsid w:val="5E1D07CE"/>
    <w:rsid w:val="5F2D4A41"/>
    <w:rsid w:val="5F512214"/>
    <w:rsid w:val="5F9920D6"/>
    <w:rsid w:val="5FCD1D80"/>
    <w:rsid w:val="60C74F6C"/>
    <w:rsid w:val="60D94755"/>
    <w:rsid w:val="61025A59"/>
    <w:rsid w:val="613D5BBC"/>
    <w:rsid w:val="61536C39"/>
    <w:rsid w:val="61EB6DE5"/>
    <w:rsid w:val="62944DD7"/>
    <w:rsid w:val="62E21FE6"/>
    <w:rsid w:val="6319381F"/>
    <w:rsid w:val="63C25DC5"/>
    <w:rsid w:val="63C62057"/>
    <w:rsid w:val="64124205"/>
    <w:rsid w:val="641965CC"/>
    <w:rsid w:val="64436AB5"/>
    <w:rsid w:val="64571EF5"/>
    <w:rsid w:val="64FB113D"/>
    <w:rsid w:val="653308D7"/>
    <w:rsid w:val="656152C6"/>
    <w:rsid w:val="6587477F"/>
    <w:rsid w:val="658C3A08"/>
    <w:rsid w:val="65C031CA"/>
    <w:rsid w:val="65CE6852"/>
    <w:rsid w:val="66267C04"/>
    <w:rsid w:val="663F505A"/>
    <w:rsid w:val="66EE5541"/>
    <w:rsid w:val="67924660"/>
    <w:rsid w:val="67B53825"/>
    <w:rsid w:val="68407834"/>
    <w:rsid w:val="6883293E"/>
    <w:rsid w:val="688412AD"/>
    <w:rsid w:val="68C0149A"/>
    <w:rsid w:val="68EB1B71"/>
    <w:rsid w:val="6A2F026F"/>
    <w:rsid w:val="6A6C7940"/>
    <w:rsid w:val="6AAD2300"/>
    <w:rsid w:val="6B474EF5"/>
    <w:rsid w:val="6BEB5EFE"/>
    <w:rsid w:val="6BF3491C"/>
    <w:rsid w:val="6C0A5AC5"/>
    <w:rsid w:val="6C560CAE"/>
    <w:rsid w:val="6C576495"/>
    <w:rsid w:val="6C9205D9"/>
    <w:rsid w:val="6D903FF5"/>
    <w:rsid w:val="6DA955B8"/>
    <w:rsid w:val="6DE346AB"/>
    <w:rsid w:val="6DE5391A"/>
    <w:rsid w:val="6EFD1324"/>
    <w:rsid w:val="6F4D6BE2"/>
    <w:rsid w:val="6F5A53AC"/>
    <w:rsid w:val="6FAC003D"/>
    <w:rsid w:val="6FE55E12"/>
    <w:rsid w:val="6FFB2E76"/>
    <w:rsid w:val="708F6F7F"/>
    <w:rsid w:val="70D94BD3"/>
    <w:rsid w:val="71C34D91"/>
    <w:rsid w:val="72DB435C"/>
    <w:rsid w:val="72E2613A"/>
    <w:rsid w:val="72F771F4"/>
    <w:rsid w:val="73934AD2"/>
    <w:rsid w:val="750837F0"/>
    <w:rsid w:val="754758CF"/>
    <w:rsid w:val="759A1C61"/>
    <w:rsid w:val="764F62AB"/>
    <w:rsid w:val="765C45EC"/>
    <w:rsid w:val="76634D94"/>
    <w:rsid w:val="768A7619"/>
    <w:rsid w:val="772E1EBA"/>
    <w:rsid w:val="781926BC"/>
    <w:rsid w:val="796D60A4"/>
    <w:rsid w:val="79A031D5"/>
    <w:rsid w:val="7A1525F7"/>
    <w:rsid w:val="7AE852BF"/>
    <w:rsid w:val="7B420052"/>
    <w:rsid w:val="7B5632EB"/>
    <w:rsid w:val="7BD06A28"/>
    <w:rsid w:val="7C06069C"/>
    <w:rsid w:val="7C1E59E5"/>
    <w:rsid w:val="7C2428D0"/>
    <w:rsid w:val="7C3A7C0B"/>
    <w:rsid w:val="7C5248E4"/>
    <w:rsid w:val="7C566698"/>
    <w:rsid w:val="7C5866A3"/>
    <w:rsid w:val="7D7406BB"/>
    <w:rsid w:val="7DE94331"/>
    <w:rsid w:val="7F446A19"/>
    <w:rsid w:val="7F736EE8"/>
    <w:rsid w:val="7F7452B9"/>
    <w:rsid w:val="7FB8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6"/>
    <w:autoRedefine/>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autoRedefine/>
    <w:qFormat/>
    <w:uiPriority w:val="0"/>
    <w:pP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7"/>
    <w:autoRedefine/>
    <w:unhideWhenUsed/>
    <w:qFormat/>
    <w:uiPriority w:val="0"/>
    <w:pPr>
      <w:spacing w:before="100" w:beforeAutospacing="1" w:after="100" w:afterAutospacing="1"/>
    </w:pPr>
  </w:style>
  <w:style w:type="paragraph" w:customStyle="1" w:styleId="7">
    <w:name w:val="msonormal"/>
    <w:basedOn w:val="1"/>
    <w:autoRedefine/>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autoRedefine/>
    <w:qFormat/>
    <w:uiPriority w:val="0"/>
    <w:rPr>
      <w:b/>
    </w:rPr>
  </w:style>
  <w:style w:type="paragraph" w:customStyle="1" w:styleId="12">
    <w:name w:val="列出段落1"/>
    <w:basedOn w:val="1"/>
    <w:autoRedefine/>
    <w:qFormat/>
    <w:uiPriority w:val="99"/>
    <w:pPr>
      <w:ind w:firstLine="420" w:firstLineChars="200"/>
    </w:pPr>
    <w:rPr>
      <w:rFonts w:hint="default"/>
    </w:rPr>
  </w:style>
  <w:style w:type="paragraph" w:customStyle="1" w:styleId="13">
    <w:name w:val="普通(网站) Char"/>
    <w:autoRedefine/>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autoRedefine/>
    <w:qFormat/>
    <w:uiPriority w:val="0"/>
    <w:rPr>
      <w:rFonts w:hint="default" w:ascii="Wingdings" w:hAnsi="Wingdings" w:cs="Wingdings"/>
      <w:b/>
      <w:bCs/>
    </w:rPr>
  </w:style>
  <w:style w:type="paragraph" w:customStyle="1" w:styleId="15">
    <w:name w:val="列出段落2"/>
    <w:autoRedefine/>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2"/>
    <w:autoRedefine/>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4001</Words>
  <Characters>22811</Characters>
  <Lines>190</Lines>
  <Paragraphs>53</Paragraphs>
  <TotalTime>0</TotalTime>
  <ScaleCrop>false</ScaleCrop>
  <LinksUpToDate>false</LinksUpToDate>
  <CharactersWithSpaces>26759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付巧灵</cp:lastModifiedBy>
  <dcterms:modified xsi:type="dcterms:W3CDTF">2024-10-21T02:03:31Z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BB46EABDBB2749749395447164B066B3_12</vt:lpwstr>
  </property>
</Properties>
</file>