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1E7C6"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32"/>
          <w:lang w:val="en-US" w:eastAsia="zh-CN"/>
        </w:rPr>
        <w:t>商贸领域防范非法集资倡议书</w:t>
      </w:r>
    </w:p>
    <w:p w14:paraId="013CDBEB">
      <w:pP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各商贸企业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</w:p>
    <w:p w14:paraId="231E493B">
      <w:pPr>
        <w:ind w:firstLine="640" w:firstLineChars="200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近年来全国部分地区发生的非法集资案件为我们敲响了警钟，不法分子以高息为诱饵，通过吸收公众存款、变相非法吸收存款等方式，实施非法集资活动，严重扰乱经济金融秩序，侵害人民群众合法权益。为落实国务院令（第737号）《防范和处置非法集资条例》，发动社会各界对涉非集资风险进行监督举报，保护社会公众合法权益，防范化解金融风险，维护经济秩序和社会稳定，现倡议：</w:t>
      </w:r>
    </w:p>
    <w:p w14:paraId="2171683F">
      <w:pPr>
        <w:pStyle w:val="6"/>
        <w:snapToGrid w:val="0"/>
        <w:spacing w:line="580" w:lineRule="exact"/>
        <w:ind w:firstLine="640" w:firstLineChars="200"/>
        <w:jc w:val="both"/>
        <w:rPr>
          <w:rFonts w:hint="eastAsia" w:ascii="方正黑体_GBK" w:eastAsia="方正黑体_GBK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napToGrid w:val="0"/>
          <w:kern w:val="32"/>
          <w:sz w:val="32"/>
          <w:szCs w:val="32"/>
          <w:lang w:val="en-US" w:eastAsia="zh-CN"/>
        </w:rPr>
        <w:t>一、认清商贸领域非法集资的特点</w:t>
      </w:r>
    </w:p>
    <w:p w14:paraId="0E058EE8">
      <w:pPr>
        <w:ind w:firstLine="640" w:firstLineChars="200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在商贸领域，非法集资往往借助商品交易、电子商务、物流、预付卡等渠道进行。这些领域资金流动量大、交易频繁、涉及面广，容易成为非法集资的温床。非法集资者往往假借“投资”“理财”名义，通过保本、高收益、无风险、有担保等虚假宣传，诱骗企业和群众签订合同、出借资金，实施非法集资活动，最终导致投资者血本无归。</w:t>
      </w:r>
    </w:p>
    <w:p w14:paraId="0AEB7C6B">
      <w:pPr>
        <w:pStyle w:val="6"/>
        <w:snapToGrid w:val="0"/>
        <w:spacing w:line="580" w:lineRule="exact"/>
        <w:ind w:firstLine="640" w:firstLineChars="200"/>
        <w:jc w:val="both"/>
        <w:rPr>
          <w:rFonts w:hint="eastAsia" w:ascii="方正黑体_GBK" w:eastAsia="方正黑体_GBK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napToGrid w:val="0"/>
          <w:kern w:val="32"/>
          <w:sz w:val="32"/>
          <w:szCs w:val="32"/>
          <w:lang w:val="en-US" w:eastAsia="zh-CN"/>
        </w:rPr>
        <w:t>二、提高法律和风险意识，不盲目投资或参与非法集资</w:t>
      </w:r>
    </w:p>
    <w:p w14:paraId="688E1B87">
      <w:pPr>
        <w:numPr>
          <w:ilvl w:val="0"/>
          <w:numId w:val="0"/>
        </w:numPr>
        <w:ind w:firstLine="640" w:firstLineChars="200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广大商贸企业要端正心态，懂得“天上不会掉馅饼”的道理，时刻具备风险意识，理性投资，依法保护自身权益，以免因小失大，造成血本无归。非法集资是违法犯罪行为。根据我国法律法规，因参与非法集资活动受到损失，由参与者自行承担，投入资金及相关利益不受法律保护。</w:t>
      </w:r>
    </w:p>
    <w:p w14:paraId="2F6FFF16">
      <w:pPr>
        <w:ind w:firstLine="640" w:firstLineChars="200"/>
        <w:rPr>
          <w:rFonts w:hint="eastAsia" w:ascii="方正黑体_GBK" w:hAnsi="Calibri" w:eastAsia="方正黑体_GBK" w:cs="仿宋_GB2312"/>
          <w:snapToGrid w:val="0"/>
          <w:color w:val="000000"/>
          <w:kern w:val="32"/>
          <w:sz w:val="32"/>
          <w:szCs w:val="32"/>
          <w:lang w:val="en-US" w:eastAsia="zh-CN" w:bidi="ar-SA"/>
        </w:rPr>
      </w:pPr>
      <w:r>
        <w:rPr>
          <w:rFonts w:hint="eastAsia" w:ascii="方正黑体_GBK" w:hAnsi="Calibri" w:eastAsia="方正黑体_GBK" w:cs="仿宋_GB2312"/>
          <w:snapToGrid w:val="0"/>
          <w:color w:val="000000"/>
          <w:kern w:val="32"/>
          <w:sz w:val="32"/>
          <w:szCs w:val="32"/>
          <w:lang w:val="en-US" w:eastAsia="zh-CN" w:bidi="ar-SA"/>
        </w:rPr>
        <w:t>三、自觉抵制非法集资行为，共建打击非法集资氛围</w:t>
      </w:r>
    </w:p>
    <w:p w14:paraId="4AC46780">
      <w:pPr>
        <w:ind w:firstLine="640" w:firstLineChars="200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勤劳致富是中华民族的传统美德，广大商贸企业经营者及其员工要树立正确的致富观，坚持劳动致富，守法经营；提高防范意识，抵制非法集资活动。如发现非法集资活动苗头，请及时劝告身边的亲属、朋友不要上当受骗，同时第一时间向县打非办举报。</w:t>
      </w:r>
    </w:p>
    <w:p w14:paraId="4050EBA4">
      <w:pPr>
        <w:ind w:firstLine="640" w:firstLineChars="200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举报电话：023－73339113、023—73334141。 </w:t>
      </w:r>
    </w:p>
    <w:p w14:paraId="3FD47AB7">
      <w:pPr>
        <w:ind w:firstLine="640" w:firstLineChars="200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线上举报渠道：</w:t>
      </w:r>
    </w:p>
    <w:p w14:paraId="0987D134">
      <w:pPr>
        <w:ind w:firstLine="640" w:firstLineChars="200"/>
        <w:jc w:val="center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drawing>
          <wp:inline distT="0" distB="0" distL="114300" distR="114300">
            <wp:extent cx="2296160" cy="2296160"/>
            <wp:effectExtent l="0" t="0" r="889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61A73E">
      <w:pPr>
        <w:ind w:firstLine="640" w:firstLineChars="200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关注“重庆金融安全卫士”微信公众号，选择“举报入口”进行举报。</w:t>
      </w:r>
    </w:p>
    <w:p w14:paraId="607A4142">
      <w:pPr>
        <w:ind w:firstLine="640" w:firstLineChars="200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信件举报：石柱县政府综合办大楼213办公室，邮政编码：409100。</w:t>
      </w:r>
    </w:p>
    <w:p w14:paraId="697DCCE5">
      <w:pPr>
        <w:ind w:firstLine="960" w:firstLineChars="3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 xml:space="preserve">              石柱土家族自治县商务委员会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 w14:paraId="0A90C5C7">
      <w:pPr>
        <w:ind w:firstLine="960" w:firstLineChars="300"/>
        <w:jc w:val="center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 xml:space="preserve">                        2024年8月26日</w:t>
      </w:r>
    </w:p>
    <w:p w14:paraId="7DE45F69">
      <w:pPr>
        <w:ind w:firstLine="960" w:firstLineChars="300"/>
        <w:jc w:val="center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bookmarkStart w:id="0" w:name="_GoBack"/>
      <w:bookmarkEnd w:id="0"/>
    </w:p>
    <w:p w14:paraId="3572B756">
      <w:pPr>
        <w:ind w:firstLine="960" w:firstLineChars="300"/>
        <w:jc w:val="both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（主动公开）</w:t>
      </w:r>
    </w:p>
    <w:p w14:paraId="59ED541F">
      <w:pPr>
        <w:ind w:firstLine="960" w:firstLineChars="300"/>
        <w:jc w:val="center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</w:p>
    <w:p w14:paraId="577993C7">
      <w:pPr>
        <w:ind w:firstLine="960" w:firstLineChars="300"/>
        <w:jc w:val="center"/>
        <w:rPr>
          <w:rFonts w:hint="eastAsia" w:ascii="方正仿宋_GBK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TViMjMyOGQwNzRiNTZhNmI2ODEwOTEyY2EzMGYifQ=="/>
  </w:docVars>
  <w:rsids>
    <w:rsidRoot w:val="2EC67339"/>
    <w:rsid w:val="0AB71D6C"/>
    <w:rsid w:val="107F196B"/>
    <w:rsid w:val="22AA5E4C"/>
    <w:rsid w:val="2EC67339"/>
    <w:rsid w:val="34780B0C"/>
    <w:rsid w:val="5EB17167"/>
    <w:rsid w:val="5FF22EBC"/>
    <w:rsid w:val="725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200" w:firstLineChars="200"/>
      <w:jc w:val="left"/>
    </w:pPr>
    <w:rPr>
      <w:rFonts w:ascii="宋体" w:hAnsi="宋体" w:eastAsia="仿宋"/>
      <w:kern w:val="0"/>
      <w:sz w:val="32"/>
      <w:szCs w:val="23"/>
      <w:lang w:eastAsia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767</Characters>
  <Lines>0</Lines>
  <Paragraphs>0</Paragraphs>
  <TotalTime>23</TotalTime>
  <ScaleCrop>false</ScaleCrop>
  <LinksUpToDate>false</LinksUpToDate>
  <CharactersWithSpaces>806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2024-08-21T01:07:00Z</dcterms:created>
  <dc:creator>MoMosy</dc:creator>
  <cp:lastModifiedBy>白茶清欢</cp:lastModifiedBy>
  <dcterms:modified xsi:type="dcterms:W3CDTF">2024-08-27T07:59:56Z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BCD923D3651447699DE1A38D3C5548F3_11</vt:lpwstr>
  </property>
</Properties>
</file>