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19499D">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黑体" w:hAnsi="黑体" w:eastAsia="黑体" w:cs="黑体"/>
          <w:color w:val="auto"/>
          <w:sz w:val="48"/>
          <w:szCs w:val="48"/>
        </w:rPr>
      </w:pPr>
      <w:bookmarkStart w:id="215" w:name="_GoBack"/>
      <w:bookmarkEnd w:id="215"/>
    </w:p>
    <w:p w14:paraId="205788B7">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黑体" w:hAnsi="黑体" w:eastAsia="黑体" w:cs="黑体"/>
          <w:color w:val="auto"/>
          <w:sz w:val="48"/>
          <w:szCs w:val="48"/>
        </w:rPr>
      </w:pPr>
    </w:p>
    <w:p w14:paraId="1AF43C36">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黑体" w:hAnsi="黑体" w:eastAsia="黑体" w:cs="黑体"/>
          <w:color w:val="auto"/>
          <w:sz w:val="48"/>
          <w:szCs w:val="48"/>
        </w:rPr>
      </w:pPr>
    </w:p>
    <w:p w14:paraId="58DFD8D1">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黑体" w:hAnsi="黑体" w:eastAsia="黑体" w:cs="黑体"/>
          <w:sz w:val="32"/>
          <w:szCs w:val="32"/>
        </w:rPr>
      </w:pPr>
      <w:r>
        <w:rPr>
          <w:rFonts w:hint="eastAsia" w:ascii="黑体" w:hAnsi="黑体" w:eastAsia="黑体" w:cs="黑体"/>
          <w:color w:val="auto"/>
          <w:sz w:val="44"/>
          <w:szCs w:val="44"/>
        </w:rPr>
        <w:t>石柱县海创环保科技有限责任公司</w:t>
      </w:r>
    </w:p>
    <w:p w14:paraId="536CAC80">
      <w:pPr>
        <w:pStyle w:val="2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黑体" w:hAnsi="黑体" w:eastAsia="黑体" w:cs="黑体"/>
          <w:sz w:val="56"/>
          <w:szCs w:val="56"/>
        </w:rPr>
      </w:pPr>
    </w:p>
    <w:p w14:paraId="068FD578">
      <w:pPr>
        <w:pStyle w:val="2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黑体" w:hAnsi="黑体" w:eastAsia="黑体" w:cs="黑体"/>
          <w:sz w:val="56"/>
          <w:szCs w:val="56"/>
        </w:rPr>
      </w:pPr>
    </w:p>
    <w:p w14:paraId="3E8DFDE8">
      <w:pPr>
        <w:pStyle w:val="2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黑体" w:hAnsi="黑体" w:eastAsia="黑体" w:cs="黑体"/>
          <w:sz w:val="56"/>
          <w:szCs w:val="56"/>
        </w:rPr>
      </w:pPr>
      <w:r>
        <w:rPr>
          <w:rFonts w:hint="eastAsia" w:ascii="黑体" w:hAnsi="黑体" w:eastAsia="黑体" w:cs="黑体"/>
          <w:sz w:val="56"/>
          <w:szCs w:val="56"/>
        </w:rPr>
        <w:t>土壤污染隐患排查</w:t>
      </w:r>
      <w:r>
        <w:rPr>
          <w:rFonts w:hint="eastAsia" w:ascii="黑体" w:hAnsi="黑体" w:eastAsia="黑体" w:cs="黑体"/>
          <w:sz w:val="56"/>
          <w:szCs w:val="56"/>
          <w:lang w:val="en-US" w:eastAsia="zh-CN"/>
        </w:rPr>
        <w:t>防治</w:t>
      </w:r>
      <w:r>
        <w:rPr>
          <w:rFonts w:hint="eastAsia" w:ascii="黑体" w:hAnsi="黑体" w:eastAsia="黑体" w:cs="黑体"/>
          <w:sz w:val="56"/>
          <w:szCs w:val="56"/>
        </w:rPr>
        <w:t>报告</w:t>
      </w:r>
    </w:p>
    <w:p w14:paraId="13AEB7FA">
      <w:pPr>
        <w:pStyle w:val="27"/>
        <w:bidi w:val="0"/>
        <w:rPr>
          <w:rFonts w:hint="eastAsia"/>
        </w:rPr>
      </w:pPr>
    </w:p>
    <w:p w14:paraId="5E03950D">
      <w:pPr>
        <w:pStyle w:val="27"/>
        <w:bidi w:val="0"/>
        <w:rPr>
          <w:rFonts w:hint="eastAsia"/>
        </w:rPr>
      </w:pPr>
    </w:p>
    <w:p w14:paraId="65669266">
      <w:pPr>
        <w:pStyle w:val="27"/>
        <w:bidi w:val="0"/>
        <w:rPr>
          <w:rFonts w:hint="eastAsia"/>
        </w:rPr>
      </w:pPr>
    </w:p>
    <w:p w14:paraId="2ED464F3">
      <w:pPr>
        <w:pStyle w:val="27"/>
        <w:bidi w:val="0"/>
        <w:rPr>
          <w:rFonts w:hint="eastAsia"/>
        </w:rPr>
      </w:pPr>
    </w:p>
    <w:p w14:paraId="1371ACD5">
      <w:pPr>
        <w:pStyle w:val="27"/>
        <w:bidi w:val="0"/>
        <w:rPr>
          <w:rFonts w:hint="eastAsia"/>
        </w:rPr>
      </w:pPr>
    </w:p>
    <w:p w14:paraId="7847CFBF">
      <w:pPr>
        <w:pStyle w:val="27"/>
        <w:bidi w:val="0"/>
        <w:rPr>
          <w:rFonts w:hint="eastAsia"/>
        </w:rPr>
      </w:pPr>
    </w:p>
    <w:p w14:paraId="67FDC718">
      <w:pPr>
        <w:pStyle w:val="27"/>
        <w:bidi w:val="0"/>
        <w:rPr>
          <w:rFonts w:hint="eastAsia"/>
        </w:rPr>
      </w:pPr>
    </w:p>
    <w:p w14:paraId="57709B73">
      <w:pPr>
        <w:pStyle w:val="27"/>
        <w:bidi w:val="0"/>
        <w:rPr>
          <w:rFonts w:hint="eastAsia"/>
        </w:rPr>
      </w:pPr>
    </w:p>
    <w:p w14:paraId="11C2E84F">
      <w:pPr>
        <w:pStyle w:val="27"/>
        <w:bidi w:val="0"/>
        <w:rPr>
          <w:rFonts w:hint="eastAsia"/>
        </w:rPr>
      </w:pPr>
    </w:p>
    <w:p w14:paraId="2D422F04">
      <w:pPr>
        <w:pStyle w:val="27"/>
        <w:bidi w:val="0"/>
        <w:rPr>
          <w:rFonts w:hint="eastAsia"/>
        </w:rPr>
      </w:pPr>
    </w:p>
    <w:p w14:paraId="1C2F9693">
      <w:pPr>
        <w:pStyle w:val="27"/>
        <w:bidi w:val="0"/>
        <w:rPr>
          <w:rFonts w:hint="eastAsia"/>
        </w:rPr>
      </w:pPr>
    </w:p>
    <w:p w14:paraId="336288BA">
      <w:pPr>
        <w:pStyle w:val="27"/>
        <w:keepNext w:val="0"/>
        <w:keepLines w:val="0"/>
        <w:pageBreakBefore w:val="0"/>
        <w:widowControl w:val="0"/>
        <w:kinsoku/>
        <w:wordWrap/>
        <w:overflowPunct/>
        <w:topLinePunct w:val="0"/>
        <w:autoSpaceDE/>
        <w:autoSpaceDN/>
        <w:bidi w:val="0"/>
        <w:adjustRightInd/>
        <w:snapToGrid/>
        <w:spacing w:after="0"/>
        <w:textAlignment w:val="auto"/>
        <w:rPr>
          <w:rFonts w:hint="eastAsia"/>
        </w:rPr>
      </w:pPr>
    </w:p>
    <w:p w14:paraId="1C9A721F">
      <w:pPr>
        <w:pStyle w:val="27"/>
        <w:keepNext w:val="0"/>
        <w:keepLines w:val="0"/>
        <w:pageBreakBefore w:val="0"/>
        <w:widowControl w:val="0"/>
        <w:kinsoku/>
        <w:wordWrap/>
        <w:overflowPunct/>
        <w:topLinePunct w:val="0"/>
        <w:autoSpaceDE/>
        <w:autoSpaceDN/>
        <w:bidi w:val="0"/>
        <w:adjustRightInd/>
        <w:snapToGrid/>
        <w:spacing w:after="0"/>
        <w:textAlignment w:val="auto"/>
        <w:rPr>
          <w:rFonts w:hint="eastAsia"/>
        </w:rPr>
      </w:pPr>
    </w:p>
    <w:p w14:paraId="7FEEC96D">
      <w:pPr>
        <w:pStyle w:val="27"/>
        <w:keepNext w:val="0"/>
        <w:keepLines w:val="0"/>
        <w:pageBreakBefore w:val="0"/>
        <w:widowControl w:val="0"/>
        <w:kinsoku/>
        <w:wordWrap/>
        <w:overflowPunct/>
        <w:topLinePunct w:val="0"/>
        <w:autoSpaceDE/>
        <w:autoSpaceDN/>
        <w:bidi w:val="0"/>
        <w:adjustRightInd/>
        <w:snapToGrid/>
        <w:spacing w:after="0"/>
        <w:textAlignment w:val="auto"/>
        <w:rPr>
          <w:rFonts w:hint="eastAsia"/>
        </w:rPr>
      </w:pPr>
    </w:p>
    <w:p w14:paraId="32443B22">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仿宋_GB2312" w:hAnsi="仿宋_GB2312" w:eastAsia="仿宋_GB2312" w:cs="仿宋_GB2312"/>
        </w:rPr>
      </w:pPr>
      <w:r>
        <w:rPr>
          <w:rFonts w:hint="eastAsia" w:ascii="仿宋_GB2312" w:hAnsi="仿宋_GB2312" w:eastAsia="仿宋_GB2312" w:cs="仿宋_GB2312"/>
          <w:color w:val="000000"/>
          <w:spacing w:val="0"/>
          <w:w w:val="100"/>
          <w:position w:val="0"/>
        </w:rPr>
        <w:t>石柱县海创环保科技有限责任公司</w:t>
      </w:r>
    </w:p>
    <w:p w14:paraId="213A286D">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仿宋_GB2312" w:hAnsi="仿宋_GB2312" w:eastAsia="仿宋_GB2312" w:cs="仿宋_GB2312"/>
          <w:b w:val="0"/>
          <w:bCs w:val="0"/>
          <w:color w:val="000000"/>
          <w:spacing w:val="0"/>
          <w:w w:val="100"/>
          <w:position w:val="0"/>
        </w:rPr>
      </w:pPr>
      <w:r>
        <w:rPr>
          <w:rFonts w:hint="eastAsia" w:ascii="仿宋_GB2312" w:hAnsi="仿宋_GB2312" w:eastAsia="仿宋_GB2312" w:cs="仿宋_GB2312"/>
          <w:b w:val="0"/>
          <w:bCs w:val="0"/>
          <w:color w:val="000000"/>
          <w:spacing w:val="0"/>
          <w:w w:val="100"/>
          <w:position w:val="0"/>
        </w:rPr>
        <w:t>二</w:t>
      </w:r>
      <w:r>
        <w:rPr>
          <w:rFonts w:hint="eastAsia" w:ascii="仿宋_GB2312" w:hAnsi="仿宋_GB2312" w:eastAsia="仿宋_GB2312" w:cs="仿宋_GB2312"/>
          <w:b w:val="0"/>
          <w:bCs w:val="0"/>
          <w:color w:val="000000"/>
          <w:spacing w:val="0"/>
          <w:w w:val="100"/>
          <w:position w:val="0"/>
          <w:lang w:val="en-US" w:eastAsia="zh-CN" w:bidi="zh-CN"/>
        </w:rPr>
        <w:t>〇</w:t>
      </w:r>
      <w:r>
        <w:rPr>
          <w:rFonts w:hint="eastAsia" w:ascii="仿宋_GB2312" w:hAnsi="仿宋_GB2312" w:eastAsia="仿宋_GB2312" w:cs="仿宋_GB2312"/>
          <w:b w:val="0"/>
          <w:bCs w:val="0"/>
          <w:color w:val="000000"/>
          <w:spacing w:val="0"/>
          <w:w w:val="100"/>
          <w:position w:val="0"/>
          <w:lang w:val="zh-CN" w:eastAsia="zh-CN" w:bidi="zh-CN"/>
        </w:rPr>
        <w:t>二二</w:t>
      </w:r>
      <w:r>
        <w:rPr>
          <w:rFonts w:hint="eastAsia" w:ascii="仿宋_GB2312" w:hAnsi="仿宋_GB2312" w:eastAsia="仿宋_GB2312" w:cs="仿宋_GB2312"/>
          <w:b w:val="0"/>
          <w:bCs w:val="0"/>
          <w:color w:val="000000"/>
          <w:spacing w:val="0"/>
          <w:w w:val="100"/>
          <w:position w:val="0"/>
        </w:rPr>
        <w:t>年</w:t>
      </w:r>
      <w:r>
        <w:rPr>
          <w:rFonts w:hint="eastAsia" w:ascii="仿宋_GB2312" w:hAnsi="仿宋_GB2312" w:eastAsia="仿宋_GB2312" w:cs="仿宋_GB2312"/>
          <w:b w:val="0"/>
          <w:bCs w:val="0"/>
          <w:color w:val="000000"/>
          <w:spacing w:val="0"/>
          <w:w w:val="100"/>
          <w:position w:val="0"/>
          <w:lang w:val="en-US" w:eastAsia="zh-CN"/>
        </w:rPr>
        <w:t>七</w:t>
      </w:r>
      <w:r>
        <w:rPr>
          <w:rFonts w:hint="eastAsia" w:ascii="仿宋_GB2312" w:hAnsi="仿宋_GB2312" w:eastAsia="仿宋_GB2312" w:cs="仿宋_GB2312"/>
          <w:b w:val="0"/>
          <w:bCs w:val="0"/>
          <w:color w:val="000000"/>
          <w:spacing w:val="0"/>
          <w:w w:val="100"/>
          <w:position w:val="0"/>
        </w:rPr>
        <w:t>月</w:t>
      </w:r>
    </w:p>
    <w:p w14:paraId="3499B962">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仿宋_GB2312" w:hAnsi="仿宋_GB2312" w:eastAsia="仿宋_GB2312" w:cs="仿宋_GB2312"/>
          <w:b w:val="0"/>
          <w:bCs w:val="0"/>
          <w:color w:val="000000"/>
          <w:spacing w:val="0"/>
          <w:w w:val="100"/>
          <w:position w:val="0"/>
        </w:rPr>
      </w:pPr>
    </w:p>
    <w:p w14:paraId="39EF89CB">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仿宋_GB2312" w:hAnsi="仿宋_GB2312" w:eastAsia="仿宋_GB2312" w:cs="仿宋_GB2312"/>
          <w:b w:val="0"/>
          <w:bCs w:val="0"/>
          <w:color w:val="000000"/>
          <w:spacing w:val="0"/>
          <w:w w:val="100"/>
          <w:position w:val="0"/>
        </w:rPr>
      </w:pPr>
    </w:p>
    <w:p w14:paraId="120FD8A6">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仿宋_GB2312" w:hAnsi="仿宋_GB2312" w:eastAsia="仿宋_GB2312" w:cs="仿宋_GB2312"/>
          <w:b w:val="0"/>
          <w:bCs w:val="0"/>
          <w:color w:val="000000"/>
          <w:spacing w:val="0"/>
          <w:w w:val="100"/>
          <w:position w:val="0"/>
        </w:rPr>
      </w:pPr>
    </w:p>
    <w:p w14:paraId="4A144618">
      <w:pPr>
        <w:widowControl w:val="0"/>
        <w:spacing w:line="1" w:lineRule="exact"/>
        <w:rPr>
          <w:sz w:val="28"/>
          <w:szCs w:val="28"/>
        </w:rPr>
      </w:pPr>
    </w:p>
    <w:p w14:paraId="406BE679">
      <w:pPr>
        <w:pStyle w:val="7"/>
        <w:tabs>
          <w:tab w:val="right" w:leader="dot" w:pos="8501"/>
        </w:tabs>
        <w:rPr>
          <w:rFonts w:hint="eastAsia" w:ascii="仿宋_GB2312" w:hAnsi="仿宋_GB2312" w:eastAsia="仿宋_GB2312" w:cs="仿宋_GB2312"/>
          <w:sz w:val="28"/>
          <w:szCs w:val="28"/>
        </w:rPr>
      </w:pPr>
      <w:r>
        <w:rPr>
          <w:sz w:val="28"/>
          <w:szCs w:val="28"/>
        </w:rPr>
        <w:fldChar w:fldCharType="begin"/>
      </w:r>
      <w:r>
        <w:rPr>
          <w:sz w:val="28"/>
          <w:szCs w:val="28"/>
        </w:rPr>
        <w:instrText xml:space="preserve"> TOC \o "1-5" \h \z </w:instrText>
      </w:r>
      <w:r>
        <w:rPr>
          <w:sz w:val="28"/>
          <w:szCs w:val="28"/>
        </w:rPr>
        <w:fldChar w:fldCharType="separate"/>
      </w:r>
      <w:r>
        <w:rPr>
          <w:rFonts w:hint="eastAsia" w:ascii="仿宋_GB2312" w:hAnsi="仿宋_GB2312" w:eastAsia="仿宋_GB2312" w:cs="仿宋_GB2312"/>
          <w:sz w:val="28"/>
          <w:szCs w:val="32"/>
        </w:rPr>
        <w:fldChar w:fldCharType="begin"/>
      </w:r>
      <w:r>
        <w:rPr>
          <w:rFonts w:hint="eastAsia" w:ascii="仿宋_GB2312" w:hAnsi="仿宋_GB2312" w:eastAsia="仿宋_GB2312" w:cs="仿宋_GB2312"/>
          <w:sz w:val="28"/>
          <w:szCs w:val="32"/>
        </w:rPr>
        <w:instrText xml:space="preserve"> HYPERLINK \l _Toc8335 </w:instrText>
      </w:r>
      <w:r>
        <w:rPr>
          <w:rFonts w:hint="eastAsia" w:ascii="仿宋_GB2312" w:hAnsi="仿宋_GB2312" w:eastAsia="仿宋_GB2312" w:cs="仿宋_GB2312"/>
          <w:sz w:val="28"/>
          <w:szCs w:val="32"/>
        </w:rPr>
        <w:fldChar w:fldCharType="separate"/>
      </w:r>
      <w:r>
        <w:rPr>
          <w:rFonts w:hint="eastAsia" w:ascii="仿宋_GB2312" w:hAnsi="仿宋_GB2312" w:eastAsia="仿宋_GB2312" w:cs="仿宋_GB2312"/>
          <w:sz w:val="28"/>
          <w:szCs w:val="28"/>
          <w:lang w:val="zh-CN" w:eastAsia="zh-CN"/>
        </w:rPr>
        <w:t>1</w:t>
      </w:r>
      <w:r>
        <w:rPr>
          <w:rFonts w:hint="eastAsia" w:ascii="仿宋_GB2312" w:hAnsi="仿宋_GB2312" w:eastAsia="仿宋_GB2312" w:cs="仿宋_GB2312"/>
          <w:sz w:val="28"/>
          <w:szCs w:val="28"/>
        </w:rPr>
        <w:t>.总论</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32"/>
        </w:rPr>
        <w:fldChar w:fldCharType="end"/>
      </w:r>
    </w:p>
    <w:p w14:paraId="2B25333E">
      <w:pPr>
        <w:pStyle w:val="8"/>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_Toc17690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28"/>
          <w:lang w:val="en-US" w:eastAsia="en-US"/>
        </w:rPr>
        <w:t>1.</w:t>
      </w:r>
      <w:r>
        <w:rPr>
          <w:rFonts w:hint="eastAsia" w:ascii="仿宋_GB2312" w:hAnsi="仿宋_GB2312" w:eastAsia="仿宋_GB2312" w:cs="仿宋_GB2312"/>
          <w:sz w:val="28"/>
          <w:szCs w:val="28"/>
        </w:rPr>
        <w:t>1编制背景</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36"/>
        </w:rPr>
        <w:fldChar w:fldCharType="end"/>
      </w:r>
    </w:p>
    <w:p w14:paraId="4C2A562F">
      <w:pPr>
        <w:pStyle w:val="8"/>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_Toc6066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28"/>
          <w:lang w:val="en-US" w:eastAsia="en-US"/>
        </w:rPr>
        <w:t>1.2</w:t>
      </w:r>
      <w:r>
        <w:rPr>
          <w:rFonts w:hint="eastAsia" w:ascii="仿宋_GB2312" w:hAnsi="仿宋_GB2312" w:eastAsia="仿宋_GB2312" w:cs="仿宋_GB2312"/>
          <w:sz w:val="28"/>
          <w:szCs w:val="28"/>
        </w:rPr>
        <w:t>排查目的和原则</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_Toc6066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1707050D">
      <w:pPr>
        <w:pStyle w:val="4"/>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_Toc6191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28"/>
          <w:lang w:val="en-US" w:eastAsia="en-US"/>
        </w:rPr>
        <w:t>1.2.1</w:t>
      </w:r>
      <w:r>
        <w:rPr>
          <w:rFonts w:hint="eastAsia" w:ascii="仿宋_GB2312" w:hAnsi="仿宋_GB2312" w:eastAsia="仿宋_GB2312" w:cs="仿宋_GB2312"/>
          <w:sz w:val="28"/>
          <w:szCs w:val="28"/>
        </w:rPr>
        <w:t>排査目的</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_Toc6191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050E53C6">
      <w:pPr>
        <w:pStyle w:val="4"/>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_Toc17180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28"/>
          <w:lang w:val="en-US" w:eastAsia="en-US"/>
        </w:rPr>
        <w:t>1.2.</w:t>
      </w:r>
      <w:r>
        <w:rPr>
          <w:rFonts w:hint="eastAsia" w:ascii="仿宋_GB2312" w:hAnsi="仿宋_GB2312" w:eastAsia="仿宋_GB2312" w:cs="仿宋_GB2312"/>
          <w:sz w:val="28"/>
          <w:szCs w:val="28"/>
        </w:rPr>
        <w:t>2排査原则</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_Toc17180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32B57E38">
      <w:pPr>
        <w:pStyle w:val="8"/>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_Toc15767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28"/>
          <w:lang w:val="en-US" w:eastAsia="en-US"/>
        </w:rPr>
        <w:t>1.3</w:t>
      </w:r>
      <w:r>
        <w:rPr>
          <w:rFonts w:hint="eastAsia" w:ascii="仿宋_GB2312" w:hAnsi="仿宋_GB2312" w:eastAsia="仿宋_GB2312" w:cs="仿宋_GB2312"/>
          <w:sz w:val="28"/>
          <w:szCs w:val="28"/>
        </w:rPr>
        <w:t>排查范围</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_Toc15767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61A479EC">
      <w:pPr>
        <w:pStyle w:val="8"/>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_Toc6932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28"/>
          <w:lang w:val="en-US" w:eastAsia="en-US"/>
        </w:rPr>
        <w:t>1.4</w:t>
      </w:r>
      <w:r>
        <w:rPr>
          <w:rFonts w:hint="eastAsia" w:ascii="仿宋_GB2312" w:hAnsi="仿宋_GB2312" w:eastAsia="仿宋_GB2312" w:cs="仿宋_GB2312"/>
          <w:sz w:val="28"/>
          <w:szCs w:val="28"/>
        </w:rPr>
        <w:t>编制依据</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_Toc6932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14AB433E">
      <w:pPr>
        <w:pStyle w:val="4"/>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_Toc8124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28"/>
          <w:lang w:val="en-US" w:eastAsia="en-US"/>
        </w:rPr>
        <w:t>1.4.1</w:t>
      </w:r>
      <w:r>
        <w:rPr>
          <w:rFonts w:hint="eastAsia" w:ascii="仿宋_GB2312" w:hAnsi="仿宋_GB2312" w:eastAsia="仿宋_GB2312" w:cs="仿宋_GB2312"/>
          <w:sz w:val="28"/>
          <w:szCs w:val="28"/>
        </w:rPr>
        <w:t>法律法规</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_Toc8124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3478E8B3">
      <w:pPr>
        <w:pStyle w:val="4"/>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_Toc28312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28"/>
          <w:lang w:val="en-US" w:eastAsia="en-US"/>
        </w:rPr>
        <w:t>1.4.2</w:t>
      </w:r>
      <w:r>
        <w:rPr>
          <w:rFonts w:hint="eastAsia" w:ascii="仿宋_GB2312" w:hAnsi="仿宋_GB2312" w:eastAsia="仿宋_GB2312" w:cs="仿宋_GB2312"/>
          <w:sz w:val="28"/>
          <w:szCs w:val="28"/>
        </w:rPr>
        <w:t>技术导则、标准及规范</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_Toc28312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5</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3C38D5E7">
      <w:pPr>
        <w:pStyle w:val="4"/>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_Toc3838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28"/>
          <w:lang w:val="en-US" w:eastAsia="en-US"/>
        </w:rPr>
        <w:t>1.4.</w:t>
      </w:r>
      <w:r>
        <w:rPr>
          <w:rFonts w:hint="eastAsia" w:ascii="仿宋_GB2312" w:hAnsi="仿宋_GB2312" w:eastAsia="仿宋_GB2312" w:cs="仿宋_GB2312"/>
          <w:sz w:val="28"/>
          <w:szCs w:val="28"/>
        </w:rPr>
        <w:t>3相关规定及政策</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_Toc3838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6</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248ED046">
      <w:pPr>
        <w:pStyle w:val="7"/>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_Toc23694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28"/>
          <w:lang w:val="zh-CN" w:eastAsia="zh-CN"/>
        </w:rPr>
        <w:t>2</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rPr>
        <w:t>企业概况</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_Toc23694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7</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2975196C">
      <w:pPr>
        <w:pStyle w:val="8"/>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_Toc9862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28"/>
          <w:lang w:val="en-US" w:eastAsia="en-US"/>
        </w:rPr>
        <w:t>2.</w:t>
      </w:r>
      <w:r>
        <w:rPr>
          <w:rFonts w:hint="eastAsia" w:ascii="仿宋_GB2312" w:hAnsi="仿宋_GB2312" w:eastAsia="仿宋_GB2312" w:cs="仿宋_GB2312"/>
          <w:sz w:val="28"/>
          <w:szCs w:val="28"/>
        </w:rPr>
        <w:t>1企业基础信息</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_Toc9862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7</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27FE180B">
      <w:pPr>
        <w:pStyle w:val="8"/>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_Toc13272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28"/>
          <w:lang w:val="en-US" w:eastAsia="en-US"/>
        </w:rPr>
        <w:t>2.2</w:t>
      </w:r>
      <w:r>
        <w:rPr>
          <w:rFonts w:hint="eastAsia" w:ascii="仿宋_GB2312" w:hAnsi="仿宋_GB2312" w:eastAsia="仿宋_GB2312" w:cs="仿宋_GB2312"/>
          <w:sz w:val="28"/>
          <w:szCs w:val="28"/>
        </w:rPr>
        <w:t>建设项目概况</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_Toc13272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8</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27550811">
      <w:pPr>
        <w:pStyle w:val="8"/>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_Toc163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rPr>
        <w:t>3原辅料及产品情况</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_Toc163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9</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4C5E3DBE">
      <w:pPr>
        <w:pStyle w:val="8"/>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_Toc22707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28"/>
          <w:lang w:val="en-US" w:eastAsia="en-US"/>
        </w:rPr>
        <w:t>2.</w:t>
      </w:r>
      <w:r>
        <w:rPr>
          <w:rFonts w:hint="eastAsia" w:ascii="仿宋_GB2312" w:hAnsi="仿宋_GB2312" w:eastAsia="仿宋_GB2312" w:cs="仿宋_GB2312"/>
          <w:sz w:val="28"/>
          <w:szCs w:val="28"/>
        </w:rPr>
        <w:t>4生产工艺及产排污环节</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_Toc22707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9</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2F79497E">
      <w:pPr>
        <w:pStyle w:val="4"/>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_Toc32541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28"/>
          <w:lang w:val="en-US" w:eastAsia="zh-CN"/>
        </w:rPr>
        <w:t>2.4.1垃圾接收及贮存系统</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_Toc32541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12</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10A8A3C7">
      <w:pPr>
        <w:pStyle w:val="4"/>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_Toc576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28"/>
          <w:lang w:val="en-US" w:eastAsia="zh-CN"/>
        </w:rPr>
        <w:t>2.4.2生活垃圾焚烧系统</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_Toc576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13</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01E16099">
      <w:pPr>
        <w:pStyle w:val="4"/>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_Toc20263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28"/>
          <w:lang w:val="en-US" w:eastAsia="zh-CN"/>
        </w:rPr>
        <w:t>2.4.3余热锅炉系统</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_Toc20263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7C65E5E6">
      <w:pPr>
        <w:pStyle w:val="4"/>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_Toc31021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28"/>
          <w:lang w:val="en-US" w:eastAsia="zh-CN"/>
        </w:rPr>
        <w:t>2.4.4汽轮发电机组系统</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_Toc31021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15</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7E74BC10">
      <w:pPr>
        <w:pStyle w:val="4"/>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_Toc19927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28"/>
          <w:lang w:val="en-US" w:eastAsia="zh-CN"/>
        </w:rPr>
        <w:t>2.4.5炉内脱硝系统</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_Toc19927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15</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6A5CF0E2">
      <w:pPr>
        <w:pStyle w:val="4"/>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_Toc2265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28"/>
          <w:lang w:val="en-US" w:eastAsia="zh-CN"/>
        </w:rPr>
        <w:t>2.4.6烟气净化系统</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_Toc2265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17</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62D00EDB">
      <w:pPr>
        <w:pStyle w:val="4"/>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_Toc22850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28"/>
          <w:lang w:val="en-US" w:eastAsia="zh-CN"/>
        </w:rPr>
        <w:t>2.4.7污水处理站</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_Toc22850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19</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6DD0958C">
      <w:pPr>
        <w:pStyle w:val="4"/>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_Toc7785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28"/>
          <w:lang w:val="en-US" w:eastAsia="zh-CN"/>
        </w:rPr>
        <w:t>2.4.8灰渣系统</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_Toc7785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19</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3F0E9F64">
      <w:pPr>
        <w:pStyle w:val="4"/>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_Toc15291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28"/>
          <w:lang w:val="en-US" w:eastAsia="zh-CN"/>
        </w:rPr>
        <w:t>2.4.9循环冷却水处理系统</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_Toc15291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20</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6D9484AE">
      <w:pPr>
        <w:pStyle w:val="4"/>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_Toc11684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28"/>
          <w:lang w:val="en-US" w:eastAsia="zh-CN"/>
        </w:rPr>
        <w:t>2.4.10除盐水系统</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_Toc11684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20</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3FF4F6AF">
      <w:pPr>
        <w:pStyle w:val="4"/>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_Toc2496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28"/>
          <w:lang w:val="en-US" w:eastAsia="zh-CN"/>
        </w:rPr>
        <w:t>2.4.11空压站</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_Toc2496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20</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42091071">
      <w:pPr>
        <w:pStyle w:val="4"/>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_Toc29073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28"/>
          <w:lang w:val="en-US" w:eastAsia="zh-CN"/>
        </w:rPr>
        <w:t>2.4.12沼气处理系统</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_Toc29073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20</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0ECF1A3F">
      <w:pPr>
        <w:pStyle w:val="4"/>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_Toc20637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28"/>
          <w:lang w:val="en-US" w:eastAsia="zh-CN"/>
        </w:rPr>
        <w:t>2.4.13净水站</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_Toc20637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20</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1F48CA45">
      <w:pPr>
        <w:pStyle w:val="8"/>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_Toc3886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pacing w:val="0"/>
          <w:w w:val="100"/>
          <w:position w:val="0"/>
          <w:sz w:val="28"/>
          <w:szCs w:val="28"/>
          <w:lang w:val="en-US" w:eastAsia="en-US" w:bidi="en-US"/>
        </w:rPr>
        <w:t>2.</w:t>
      </w:r>
      <w:r>
        <w:rPr>
          <w:rFonts w:hint="eastAsia" w:ascii="仿宋_GB2312" w:hAnsi="仿宋_GB2312" w:eastAsia="仿宋_GB2312" w:cs="仿宋_GB2312"/>
          <w:spacing w:val="0"/>
          <w:w w:val="100"/>
          <w:position w:val="0"/>
          <w:sz w:val="28"/>
          <w:szCs w:val="28"/>
          <w:lang w:val="zh-CN" w:eastAsia="zh-CN" w:bidi="zh-CN"/>
        </w:rPr>
        <w:t>5</w:t>
      </w:r>
      <w:r>
        <w:rPr>
          <w:rFonts w:hint="eastAsia" w:ascii="仿宋_GB2312" w:hAnsi="仿宋_GB2312" w:eastAsia="仿宋_GB2312" w:cs="仿宋_GB2312"/>
          <w:spacing w:val="0"/>
          <w:w w:val="100"/>
          <w:position w:val="0"/>
          <w:sz w:val="28"/>
          <w:szCs w:val="28"/>
        </w:rPr>
        <w:t>涉及的</w:t>
      </w:r>
      <w:r>
        <w:rPr>
          <w:rFonts w:hint="eastAsia" w:ascii="仿宋_GB2312" w:hAnsi="仿宋_GB2312" w:eastAsia="仿宋_GB2312" w:cs="仿宋_GB2312"/>
          <w:sz w:val="28"/>
          <w:szCs w:val="28"/>
          <w:lang w:val="en-US" w:eastAsia="zh-CN"/>
        </w:rPr>
        <w:t>化学品信息</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_Toc3886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3E83DBF0">
      <w:pPr>
        <w:pStyle w:val="4"/>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_Toc8906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28"/>
          <w:lang w:val="en-US" w:eastAsia="zh-CN"/>
        </w:rPr>
        <w:t>2.5.1分析结果</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_Toc8906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3BD18B33">
      <w:pPr>
        <w:pStyle w:val="4"/>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_Toc4795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28"/>
          <w:lang w:val="en-US" w:eastAsia="zh-CN"/>
        </w:rPr>
        <w:t>2.5.2应急措施</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_Toc4795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5B838A5F">
      <w:pPr>
        <w:pStyle w:val="4"/>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_Toc14475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28"/>
          <w:lang w:val="en-US" w:eastAsia="zh-CN"/>
        </w:rPr>
        <w:t>2.5.3防渗漏建设信息</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_Toc14475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23</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0BE49E10">
      <w:pPr>
        <w:pStyle w:val="8"/>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_Toc17509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28"/>
          <w:lang w:val="en-US" w:eastAsia="en-US"/>
        </w:rPr>
        <w:t>2.</w:t>
      </w:r>
      <w:r>
        <w:rPr>
          <w:rFonts w:hint="eastAsia" w:ascii="仿宋_GB2312" w:hAnsi="仿宋_GB2312" w:eastAsia="仿宋_GB2312" w:cs="仿宋_GB2312"/>
          <w:sz w:val="28"/>
          <w:szCs w:val="28"/>
        </w:rPr>
        <w:t>6污染防治措施</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_Toc17509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7BD57371">
      <w:pPr>
        <w:pStyle w:val="4"/>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_Toc20071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28"/>
          <w:lang w:val="en-US" w:eastAsia="en-US"/>
        </w:rPr>
        <w:t>2.6.</w:t>
      </w:r>
      <w:r>
        <w:rPr>
          <w:rFonts w:hint="eastAsia" w:ascii="仿宋_GB2312" w:hAnsi="仿宋_GB2312" w:eastAsia="仿宋_GB2312" w:cs="仿宋_GB2312"/>
          <w:sz w:val="28"/>
          <w:szCs w:val="28"/>
        </w:rPr>
        <w:t>1水污染防治措施</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_Toc20071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76395572">
      <w:pPr>
        <w:pStyle w:val="4"/>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_Toc30560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28"/>
          <w:lang w:val="en-US" w:eastAsia="en-US"/>
        </w:rPr>
        <w:t>2.6.</w:t>
      </w:r>
      <w:r>
        <w:rPr>
          <w:rFonts w:hint="eastAsia" w:ascii="仿宋_GB2312" w:hAnsi="仿宋_GB2312" w:eastAsia="仿宋_GB2312" w:cs="仿宋_GB2312"/>
          <w:sz w:val="28"/>
          <w:szCs w:val="28"/>
        </w:rPr>
        <w:t>2大气污染防治措施</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_Toc30560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27</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0873C60F">
      <w:pPr>
        <w:pStyle w:val="4"/>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_Toc30824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pacing w:val="0"/>
          <w:w w:val="100"/>
          <w:position w:val="0"/>
          <w:sz w:val="28"/>
          <w:szCs w:val="28"/>
          <w:lang w:val="en-US" w:eastAsia="en-US" w:bidi="en-US"/>
        </w:rPr>
        <w:t>2.6.</w:t>
      </w:r>
      <w:r>
        <w:rPr>
          <w:rFonts w:hint="eastAsia" w:ascii="仿宋_GB2312" w:hAnsi="仿宋_GB2312" w:eastAsia="仿宋_GB2312" w:cs="仿宋_GB2312"/>
          <w:spacing w:val="0"/>
          <w:w w:val="100"/>
          <w:position w:val="0"/>
          <w:sz w:val="28"/>
          <w:szCs w:val="28"/>
        </w:rPr>
        <w:t>3</w:t>
      </w:r>
      <w:r>
        <w:rPr>
          <w:rFonts w:hint="eastAsia" w:ascii="仿宋_GB2312" w:hAnsi="仿宋_GB2312" w:eastAsia="仿宋_GB2312" w:cs="仿宋_GB2312"/>
          <w:spacing w:val="0"/>
          <w:w w:val="100"/>
          <w:position w:val="0"/>
          <w:sz w:val="28"/>
          <w:szCs w:val="32"/>
        </w:rPr>
        <w:t>固体废物污染防治措施</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_Toc30824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28</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498F7311">
      <w:pPr>
        <w:pStyle w:val="4"/>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_Toc20138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28"/>
          <w:lang w:val="en-US" w:eastAsia="en-US"/>
        </w:rPr>
        <w:t>2.6.4</w:t>
      </w:r>
      <w:r>
        <w:rPr>
          <w:rFonts w:hint="eastAsia" w:ascii="仿宋_GB2312" w:hAnsi="仿宋_GB2312" w:eastAsia="仿宋_GB2312" w:cs="仿宋_GB2312"/>
          <w:sz w:val="28"/>
          <w:szCs w:val="28"/>
        </w:rPr>
        <w:t>噪声污染防治措施</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_Toc20138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30</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1E13D7DD">
      <w:pPr>
        <w:pStyle w:val="4"/>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_Toc6211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28"/>
          <w:lang w:val="en-US" w:eastAsia="en-US"/>
        </w:rPr>
        <w:t>2.6.5</w:t>
      </w:r>
      <w:r>
        <w:rPr>
          <w:rFonts w:hint="eastAsia" w:ascii="仿宋_GB2312" w:hAnsi="仿宋_GB2312" w:eastAsia="仿宋_GB2312" w:cs="仿宋_GB2312"/>
          <w:sz w:val="28"/>
          <w:szCs w:val="28"/>
        </w:rPr>
        <w:t>土壤及地下水污染防治措施</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_Toc6211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30</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36B191F6">
      <w:pPr>
        <w:pStyle w:val="7"/>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_Toc3343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28"/>
          <w:lang w:val="zh-CN" w:eastAsia="zh-CN"/>
        </w:rPr>
        <w:t>3</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rPr>
        <w:t>排查方法</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_Toc3343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7C8336FC">
      <w:pPr>
        <w:pStyle w:val="8"/>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_Toc21975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1资料收集</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_Toc21975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607BFFC4">
      <w:pPr>
        <w:pStyle w:val="8"/>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_Toc29223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28"/>
          <w:lang w:val="en-US" w:eastAsia="en-US"/>
        </w:rPr>
        <w:t>3.</w:t>
      </w:r>
      <w:r>
        <w:rPr>
          <w:rFonts w:hint="eastAsia" w:ascii="仿宋_GB2312" w:hAnsi="仿宋_GB2312" w:eastAsia="仿宋_GB2312" w:cs="仿宋_GB2312"/>
          <w:sz w:val="28"/>
          <w:szCs w:val="28"/>
        </w:rPr>
        <w:t>2人员访谈</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_Toc29223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33</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502299AA">
      <w:pPr>
        <w:pStyle w:val="8"/>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_Toc13486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28"/>
          <w:lang w:val="en-US" w:eastAsia="en-US"/>
        </w:rPr>
        <w:t>3.</w:t>
      </w:r>
      <w:r>
        <w:rPr>
          <w:rFonts w:hint="eastAsia" w:ascii="仿宋_GB2312" w:hAnsi="仿宋_GB2312" w:eastAsia="仿宋_GB2312" w:cs="仿宋_GB2312"/>
          <w:sz w:val="28"/>
          <w:szCs w:val="28"/>
        </w:rPr>
        <w:t>3重点场所或者重点设施设备确定</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_Toc13486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33</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271CA12A">
      <w:pPr>
        <w:pStyle w:val="8"/>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_Toc29794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28"/>
          <w:lang w:val="en-US" w:eastAsia="en-US"/>
        </w:rPr>
        <w:t>3.4</w:t>
      </w:r>
      <w:r>
        <w:rPr>
          <w:rFonts w:hint="eastAsia" w:ascii="仿宋_GB2312" w:hAnsi="仿宋_GB2312" w:eastAsia="仿宋_GB2312" w:cs="仿宋_GB2312"/>
          <w:sz w:val="28"/>
          <w:szCs w:val="28"/>
        </w:rPr>
        <w:t>现场排查方法</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_Toc29794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587BFDDB">
      <w:pPr>
        <w:pStyle w:val="7"/>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_Toc30299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28"/>
          <w:lang w:val="zh-CN" w:eastAsia="zh-CN"/>
        </w:rPr>
        <w:t>4.</w:t>
      </w:r>
      <w:r>
        <w:rPr>
          <w:rFonts w:hint="eastAsia" w:ascii="仿宋_GB2312" w:hAnsi="仿宋_GB2312" w:eastAsia="仿宋_GB2312" w:cs="仿宋_GB2312"/>
          <w:sz w:val="28"/>
          <w:szCs w:val="28"/>
        </w:rPr>
        <w:t>土壤污染隐患排查</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_Toc30299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43</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5040468F">
      <w:pPr>
        <w:pStyle w:val="8"/>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_Toc26723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28"/>
          <w:lang w:val="en-US" w:eastAsia="en-US"/>
        </w:rPr>
        <w:t>4.</w:t>
      </w:r>
      <w:r>
        <w:rPr>
          <w:rFonts w:hint="eastAsia" w:ascii="仿宋_GB2312" w:hAnsi="仿宋_GB2312" w:eastAsia="仿宋_GB2312" w:cs="仿宋_GB2312"/>
          <w:sz w:val="28"/>
          <w:szCs w:val="28"/>
        </w:rPr>
        <w:t>1重点场所、重点设施设备隐患排査</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_Toc26723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43</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16A37A76">
      <w:pPr>
        <w:pStyle w:val="4"/>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_Toc14567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28"/>
          <w:lang w:val="en-US" w:eastAsia="en-US"/>
        </w:rPr>
        <w:t>4.1.</w:t>
      </w:r>
      <w:r>
        <w:rPr>
          <w:rFonts w:hint="eastAsia" w:ascii="仿宋_GB2312" w:hAnsi="仿宋_GB2312" w:eastAsia="仿宋_GB2312" w:cs="仿宋_GB2312"/>
          <w:sz w:val="28"/>
          <w:szCs w:val="28"/>
        </w:rPr>
        <w:t>1液体储存区</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_Toc14567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43</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02005D45">
      <w:pPr>
        <w:pStyle w:val="4"/>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_Toc26674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28"/>
          <w:lang w:eastAsia="zh-CN"/>
        </w:rPr>
        <w:t>4.1.2散状液体转运与厂内运输</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_Toc26674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4CB55FBF">
      <w:pPr>
        <w:pStyle w:val="4"/>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_Toc31164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28"/>
          <w:lang w:eastAsia="zh-CN"/>
        </w:rPr>
        <w:t>4.1.3货物的储存和运输区</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_Toc31164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46</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37BD47D0">
      <w:pPr>
        <w:pStyle w:val="4"/>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_Toc8467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28"/>
          <w:lang w:eastAsia="zh-CN"/>
        </w:rPr>
        <w:t>4.1.4生产区</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_Toc8467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47</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3DE029EA">
      <w:pPr>
        <w:pStyle w:val="4"/>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_Toc10395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28"/>
          <w:lang w:eastAsia="zh-CN"/>
        </w:rPr>
        <w:t>4.1.5其他活动区</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_Toc10395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47</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6FBC7747">
      <w:pPr>
        <w:pStyle w:val="8"/>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_Toc9479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28"/>
          <w:lang w:eastAsia="zh-CN"/>
        </w:rPr>
        <w:t>4.2隐患排査台账</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_Toc9479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49</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41B0F07B">
      <w:pPr>
        <w:pStyle w:val="7"/>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_Toc5036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28"/>
          <w:lang w:val="en-US" w:eastAsia="zh-CN"/>
        </w:rPr>
        <w:t>5.结论及建议</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_Toc5036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49</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7D4DA3C7">
      <w:pPr>
        <w:pStyle w:val="8"/>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_Toc1332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28"/>
          <w:lang w:val="en-US" w:eastAsia="zh-CN"/>
        </w:rPr>
        <w:t>5.1结论</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_Toc1332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49</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3E45B373">
      <w:pPr>
        <w:pStyle w:val="8"/>
        <w:tabs>
          <w:tab w:val="right" w:leader="dot" w:pos="8501"/>
        </w:tabs>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_Toc31913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28"/>
          <w:lang w:val="en-US" w:eastAsia="zh-CN"/>
        </w:rPr>
        <w:t>5.2建议</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_Toc31913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49</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729EEC94">
      <w:pPr>
        <w:pStyle w:val="21"/>
        <w:keepNext w:val="0"/>
        <w:keepLines w:val="0"/>
        <w:widowControl w:val="0"/>
        <w:numPr>
          <w:ilvl w:val="0"/>
          <w:numId w:val="0"/>
        </w:numPr>
        <w:shd w:val="clear" w:color="auto" w:fill="auto"/>
        <w:tabs>
          <w:tab w:val="left" w:pos="1858"/>
          <w:tab w:val="right" w:leader="dot" w:pos="7735"/>
        </w:tabs>
        <w:bidi w:val="0"/>
        <w:spacing w:before="0" w:after="120" w:line="240" w:lineRule="auto"/>
        <w:ind w:right="0" w:rightChars="0"/>
        <w:jc w:val="both"/>
        <w:rPr>
          <w:szCs w:val="32"/>
        </w:rPr>
      </w:pPr>
      <w:r>
        <w:rPr>
          <w:szCs w:val="32"/>
        </w:rPr>
        <w:fldChar w:fldCharType="end"/>
      </w:r>
      <w:bookmarkStart w:id="0" w:name="bookmark9"/>
      <w:bookmarkStart w:id="1" w:name="bookmark6"/>
      <w:bookmarkStart w:id="2" w:name="_Toc8335"/>
      <w:bookmarkStart w:id="3" w:name="bookmark7"/>
    </w:p>
    <w:p w14:paraId="794BC483">
      <w:pPr>
        <w:pStyle w:val="21"/>
        <w:keepNext w:val="0"/>
        <w:keepLines w:val="0"/>
        <w:widowControl w:val="0"/>
        <w:numPr>
          <w:ilvl w:val="0"/>
          <w:numId w:val="0"/>
        </w:numPr>
        <w:shd w:val="clear" w:color="auto" w:fill="auto"/>
        <w:tabs>
          <w:tab w:val="left" w:pos="1858"/>
          <w:tab w:val="right" w:leader="dot" w:pos="7735"/>
        </w:tabs>
        <w:bidi w:val="0"/>
        <w:spacing w:before="0" w:after="120" w:line="240" w:lineRule="auto"/>
        <w:ind w:right="0" w:rightChars="0"/>
        <w:jc w:val="both"/>
        <w:rPr>
          <w:lang w:val="zh-CN" w:eastAsia="zh-CN"/>
        </w:rPr>
      </w:pPr>
    </w:p>
    <w:p w14:paraId="2DFFE728">
      <w:pPr>
        <w:pStyle w:val="21"/>
        <w:keepNext w:val="0"/>
        <w:keepLines w:val="0"/>
        <w:widowControl w:val="0"/>
        <w:numPr>
          <w:ilvl w:val="0"/>
          <w:numId w:val="0"/>
        </w:numPr>
        <w:shd w:val="clear" w:color="auto" w:fill="auto"/>
        <w:tabs>
          <w:tab w:val="left" w:pos="1858"/>
          <w:tab w:val="right" w:leader="dot" w:pos="7735"/>
        </w:tabs>
        <w:bidi w:val="0"/>
        <w:spacing w:before="0" w:after="120" w:line="240" w:lineRule="auto"/>
        <w:ind w:right="0" w:rightChars="0"/>
        <w:jc w:val="both"/>
        <w:rPr>
          <w:lang w:val="zh-CN" w:eastAsia="zh-CN"/>
        </w:rPr>
      </w:pPr>
    </w:p>
    <w:p w14:paraId="43CBC607">
      <w:pPr>
        <w:pStyle w:val="21"/>
        <w:keepNext w:val="0"/>
        <w:keepLines w:val="0"/>
        <w:widowControl w:val="0"/>
        <w:numPr>
          <w:ilvl w:val="0"/>
          <w:numId w:val="0"/>
        </w:numPr>
        <w:shd w:val="clear" w:color="auto" w:fill="auto"/>
        <w:tabs>
          <w:tab w:val="left" w:pos="1858"/>
          <w:tab w:val="right" w:leader="dot" w:pos="7735"/>
        </w:tabs>
        <w:bidi w:val="0"/>
        <w:spacing w:before="0" w:after="120" w:line="240" w:lineRule="auto"/>
        <w:ind w:right="0" w:rightChars="0"/>
        <w:jc w:val="both"/>
        <w:rPr>
          <w:lang w:val="zh-CN" w:eastAsia="zh-CN"/>
        </w:rPr>
      </w:pPr>
    </w:p>
    <w:p w14:paraId="4CB52ED4">
      <w:pPr>
        <w:pStyle w:val="21"/>
        <w:keepNext w:val="0"/>
        <w:keepLines w:val="0"/>
        <w:widowControl w:val="0"/>
        <w:numPr>
          <w:ilvl w:val="0"/>
          <w:numId w:val="0"/>
        </w:numPr>
        <w:shd w:val="clear" w:color="auto" w:fill="auto"/>
        <w:tabs>
          <w:tab w:val="left" w:pos="1858"/>
          <w:tab w:val="right" w:leader="dot" w:pos="7735"/>
        </w:tabs>
        <w:bidi w:val="0"/>
        <w:spacing w:before="0" w:after="120" w:line="240" w:lineRule="auto"/>
        <w:ind w:right="0" w:rightChars="0"/>
        <w:jc w:val="both"/>
        <w:rPr>
          <w:lang w:val="zh-CN" w:eastAsia="zh-CN"/>
        </w:rPr>
      </w:pPr>
    </w:p>
    <w:p w14:paraId="0FC26E43">
      <w:pPr>
        <w:pStyle w:val="21"/>
        <w:keepNext w:val="0"/>
        <w:keepLines w:val="0"/>
        <w:widowControl w:val="0"/>
        <w:numPr>
          <w:ilvl w:val="0"/>
          <w:numId w:val="0"/>
        </w:numPr>
        <w:shd w:val="clear" w:color="auto" w:fill="auto"/>
        <w:tabs>
          <w:tab w:val="left" w:pos="1858"/>
          <w:tab w:val="right" w:leader="dot" w:pos="7735"/>
        </w:tabs>
        <w:bidi w:val="0"/>
        <w:spacing w:before="0" w:after="120" w:line="240" w:lineRule="auto"/>
        <w:ind w:right="0" w:rightChars="0"/>
        <w:jc w:val="both"/>
        <w:rPr>
          <w:lang w:val="zh-CN" w:eastAsia="zh-CN"/>
        </w:rPr>
      </w:pPr>
    </w:p>
    <w:p w14:paraId="1C47E077">
      <w:pPr>
        <w:pStyle w:val="21"/>
        <w:keepNext w:val="0"/>
        <w:keepLines w:val="0"/>
        <w:widowControl w:val="0"/>
        <w:numPr>
          <w:ilvl w:val="0"/>
          <w:numId w:val="0"/>
        </w:numPr>
        <w:shd w:val="clear" w:color="auto" w:fill="auto"/>
        <w:tabs>
          <w:tab w:val="left" w:pos="1858"/>
          <w:tab w:val="right" w:leader="dot" w:pos="7735"/>
        </w:tabs>
        <w:bidi w:val="0"/>
        <w:spacing w:before="0" w:after="120" w:line="240" w:lineRule="auto"/>
        <w:ind w:right="0" w:rightChars="0"/>
        <w:jc w:val="both"/>
        <w:rPr>
          <w:lang w:val="zh-CN" w:eastAsia="zh-CN"/>
        </w:rPr>
      </w:pPr>
    </w:p>
    <w:p w14:paraId="07437EBB">
      <w:pPr>
        <w:pStyle w:val="21"/>
        <w:keepNext w:val="0"/>
        <w:keepLines w:val="0"/>
        <w:widowControl w:val="0"/>
        <w:numPr>
          <w:ilvl w:val="0"/>
          <w:numId w:val="0"/>
        </w:numPr>
        <w:shd w:val="clear" w:color="auto" w:fill="auto"/>
        <w:tabs>
          <w:tab w:val="left" w:pos="1858"/>
          <w:tab w:val="right" w:leader="dot" w:pos="7735"/>
        </w:tabs>
        <w:bidi w:val="0"/>
        <w:spacing w:before="0" w:after="120" w:line="240" w:lineRule="auto"/>
        <w:ind w:right="0" w:rightChars="0"/>
        <w:jc w:val="both"/>
        <w:rPr>
          <w:lang w:val="zh-CN" w:eastAsia="zh-CN"/>
        </w:rPr>
      </w:pPr>
    </w:p>
    <w:p w14:paraId="33BAC8EC">
      <w:pPr>
        <w:pStyle w:val="21"/>
        <w:keepNext w:val="0"/>
        <w:keepLines w:val="0"/>
        <w:widowControl w:val="0"/>
        <w:numPr>
          <w:ilvl w:val="0"/>
          <w:numId w:val="0"/>
        </w:numPr>
        <w:shd w:val="clear" w:color="auto" w:fill="auto"/>
        <w:tabs>
          <w:tab w:val="left" w:pos="1858"/>
          <w:tab w:val="right" w:leader="dot" w:pos="7735"/>
        </w:tabs>
        <w:bidi w:val="0"/>
        <w:spacing w:before="0" w:after="120" w:line="240" w:lineRule="auto"/>
        <w:ind w:right="0" w:rightChars="0"/>
        <w:jc w:val="both"/>
        <w:rPr>
          <w:lang w:val="zh-CN" w:eastAsia="zh-CN"/>
        </w:rPr>
      </w:pPr>
    </w:p>
    <w:p w14:paraId="6EFFA877">
      <w:pPr>
        <w:pStyle w:val="21"/>
        <w:keepNext w:val="0"/>
        <w:keepLines w:val="0"/>
        <w:widowControl w:val="0"/>
        <w:numPr>
          <w:ilvl w:val="0"/>
          <w:numId w:val="0"/>
        </w:numPr>
        <w:shd w:val="clear" w:color="auto" w:fill="auto"/>
        <w:tabs>
          <w:tab w:val="left" w:pos="1858"/>
          <w:tab w:val="right" w:leader="dot" w:pos="7735"/>
        </w:tabs>
        <w:bidi w:val="0"/>
        <w:spacing w:before="0" w:after="120" w:line="240" w:lineRule="auto"/>
        <w:ind w:right="0" w:rightChars="0"/>
        <w:jc w:val="both"/>
        <w:rPr>
          <w:lang w:val="zh-CN" w:eastAsia="zh-CN"/>
        </w:rPr>
      </w:pPr>
    </w:p>
    <w:p w14:paraId="295A0CAB">
      <w:pPr>
        <w:pStyle w:val="21"/>
        <w:keepNext w:val="0"/>
        <w:keepLines w:val="0"/>
        <w:widowControl w:val="0"/>
        <w:numPr>
          <w:ilvl w:val="0"/>
          <w:numId w:val="0"/>
        </w:numPr>
        <w:shd w:val="clear" w:color="auto" w:fill="auto"/>
        <w:tabs>
          <w:tab w:val="left" w:pos="1858"/>
          <w:tab w:val="right" w:leader="dot" w:pos="7735"/>
        </w:tabs>
        <w:bidi w:val="0"/>
        <w:spacing w:before="0" w:after="120" w:line="240" w:lineRule="auto"/>
        <w:ind w:right="0" w:rightChars="0"/>
        <w:jc w:val="both"/>
        <w:rPr>
          <w:lang w:val="zh-CN" w:eastAsia="zh-CN"/>
        </w:rPr>
      </w:pPr>
    </w:p>
    <w:p w14:paraId="174BCF5A">
      <w:pPr>
        <w:pStyle w:val="21"/>
        <w:keepNext w:val="0"/>
        <w:keepLines w:val="0"/>
        <w:widowControl w:val="0"/>
        <w:numPr>
          <w:ilvl w:val="0"/>
          <w:numId w:val="0"/>
        </w:numPr>
        <w:shd w:val="clear" w:color="auto" w:fill="auto"/>
        <w:tabs>
          <w:tab w:val="left" w:pos="1858"/>
          <w:tab w:val="right" w:leader="dot" w:pos="7735"/>
        </w:tabs>
        <w:bidi w:val="0"/>
        <w:spacing w:before="0" w:after="120" w:line="240" w:lineRule="auto"/>
        <w:ind w:right="0" w:rightChars="0"/>
        <w:jc w:val="both"/>
        <w:rPr>
          <w:lang w:val="zh-CN" w:eastAsia="zh-CN"/>
        </w:rPr>
      </w:pPr>
    </w:p>
    <w:p w14:paraId="47246DB1">
      <w:pPr>
        <w:pStyle w:val="21"/>
        <w:keepNext w:val="0"/>
        <w:keepLines w:val="0"/>
        <w:widowControl w:val="0"/>
        <w:numPr>
          <w:ilvl w:val="0"/>
          <w:numId w:val="0"/>
        </w:numPr>
        <w:shd w:val="clear" w:color="auto" w:fill="auto"/>
        <w:tabs>
          <w:tab w:val="left" w:pos="1858"/>
          <w:tab w:val="right" w:leader="dot" w:pos="7735"/>
        </w:tabs>
        <w:bidi w:val="0"/>
        <w:spacing w:before="0" w:after="120" w:line="240" w:lineRule="auto"/>
        <w:ind w:right="0" w:rightChars="0"/>
        <w:jc w:val="both"/>
        <w:rPr>
          <w:lang w:val="zh-CN" w:eastAsia="zh-CN"/>
        </w:rPr>
      </w:pPr>
    </w:p>
    <w:p w14:paraId="74CD9219">
      <w:pPr>
        <w:pStyle w:val="21"/>
        <w:keepNext w:val="0"/>
        <w:keepLines w:val="0"/>
        <w:widowControl w:val="0"/>
        <w:numPr>
          <w:ilvl w:val="0"/>
          <w:numId w:val="0"/>
        </w:numPr>
        <w:shd w:val="clear" w:color="auto" w:fill="auto"/>
        <w:tabs>
          <w:tab w:val="left" w:pos="1858"/>
          <w:tab w:val="right" w:leader="dot" w:pos="7735"/>
        </w:tabs>
        <w:bidi w:val="0"/>
        <w:spacing w:before="0" w:after="120" w:line="240" w:lineRule="auto"/>
        <w:ind w:right="0" w:rightChars="0"/>
        <w:jc w:val="both"/>
        <w:rPr>
          <w:lang w:val="zh-CN" w:eastAsia="zh-CN"/>
        </w:rPr>
      </w:pPr>
    </w:p>
    <w:p w14:paraId="4814CB54">
      <w:pPr>
        <w:pStyle w:val="21"/>
        <w:keepNext w:val="0"/>
        <w:keepLines w:val="0"/>
        <w:widowControl w:val="0"/>
        <w:numPr>
          <w:ilvl w:val="0"/>
          <w:numId w:val="0"/>
        </w:numPr>
        <w:shd w:val="clear" w:color="auto" w:fill="auto"/>
        <w:tabs>
          <w:tab w:val="left" w:pos="1858"/>
          <w:tab w:val="right" w:leader="dot" w:pos="7735"/>
        </w:tabs>
        <w:bidi w:val="0"/>
        <w:spacing w:before="0" w:after="120" w:line="240" w:lineRule="auto"/>
        <w:ind w:right="0" w:rightChars="0"/>
        <w:jc w:val="both"/>
        <w:rPr>
          <w:lang w:val="zh-CN" w:eastAsia="zh-CN"/>
        </w:rPr>
      </w:pPr>
    </w:p>
    <w:p w14:paraId="6EB2E712">
      <w:pPr>
        <w:pStyle w:val="21"/>
        <w:keepNext w:val="0"/>
        <w:keepLines w:val="0"/>
        <w:widowControl w:val="0"/>
        <w:numPr>
          <w:ilvl w:val="0"/>
          <w:numId w:val="0"/>
        </w:numPr>
        <w:shd w:val="clear" w:color="auto" w:fill="auto"/>
        <w:tabs>
          <w:tab w:val="left" w:pos="1858"/>
          <w:tab w:val="right" w:leader="dot" w:pos="7735"/>
        </w:tabs>
        <w:bidi w:val="0"/>
        <w:spacing w:before="0" w:after="120" w:line="240" w:lineRule="auto"/>
        <w:ind w:right="0" w:rightChars="0"/>
        <w:jc w:val="both"/>
        <w:rPr>
          <w:lang w:val="zh-CN" w:eastAsia="zh-CN"/>
        </w:rPr>
      </w:pPr>
    </w:p>
    <w:p w14:paraId="5D1F582C">
      <w:pPr>
        <w:pStyle w:val="21"/>
        <w:keepNext w:val="0"/>
        <w:keepLines w:val="0"/>
        <w:widowControl w:val="0"/>
        <w:numPr>
          <w:ilvl w:val="0"/>
          <w:numId w:val="0"/>
        </w:numPr>
        <w:shd w:val="clear" w:color="auto" w:fill="auto"/>
        <w:tabs>
          <w:tab w:val="left" w:pos="1858"/>
          <w:tab w:val="right" w:leader="dot" w:pos="7735"/>
        </w:tabs>
        <w:bidi w:val="0"/>
        <w:spacing w:before="0" w:after="120" w:line="240" w:lineRule="auto"/>
        <w:ind w:right="0" w:rightChars="0"/>
        <w:jc w:val="both"/>
        <w:rPr>
          <w:lang w:val="zh-CN" w:eastAsia="zh-CN"/>
        </w:rPr>
      </w:pPr>
    </w:p>
    <w:p w14:paraId="661A1A08">
      <w:pPr>
        <w:pStyle w:val="21"/>
        <w:keepNext w:val="0"/>
        <w:keepLines w:val="0"/>
        <w:widowControl w:val="0"/>
        <w:numPr>
          <w:ilvl w:val="0"/>
          <w:numId w:val="0"/>
        </w:numPr>
        <w:shd w:val="clear" w:color="auto" w:fill="auto"/>
        <w:tabs>
          <w:tab w:val="left" w:pos="1858"/>
          <w:tab w:val="right" w:leader="dot" w:pos="7735"/>
        </w:tabs>
        <w:bidi w:val="0"/>
        <w:spacing w:before="0" w:after="120" w:line="240" w:lineRule="auto"/>
        <w:ind w:right="0" w:rightChars="0"/>
        <w:jc w:val="both"/>
        <w:rPr>
          <w:lang w:val="zh-CN" w:eastAsia="zh-CN"/>
        </w:rPr>
      </w:pPr>
    </w:p>
    <w:p w14:paraId="10DE57B5">
      <w:pPr>
        <w:pStyle w:val="21"/>
        <w:keepNext w:val="0"/>
        <w:keepLines w:val="0"/>
        <w:widowControl w:val="0"/>
        <w:numPr>
          <w:ilvl w:val="0"/>
          <w:numId w:val="0"/>
        </w:numPr>
        <w:shd w:val="clear" w:color="auto" w:fill="auto"/>
        <w:tabs>
          <w:tab w:val="left" w:pos="1858"/>
          <w:tab w:val="right" w:leader="dot" w:pos="7735"/>
        </w:tabs>
        <w:bidi w:val="0"/>
        <w:spacing w:before="0" w:after="120" w:line="240" w:lineRule="auto"/>
        <w:ind w:right="0" w:rightChars="0"/>
        <w:jc w:val="both"/>
        <w:rPr>
          <w:lang w:val="zh-CN" w:eastAsia="zh-CN"/>
        </w:rPr>
        <w:sectPr>
          <w:headerReference r:id="rId5" w:type="default"/>
          <w:footerReference r:id="rId7" w:type="default"/>
          <w:headerReference r:id="rId6" w:type="even"/>
          <w:footerReference r:id="rId8" w:type="even"/>
          <w:footnotePr>
            <w:numFmt w:val="decimal"/>
          </w:footnotePr>
          <w:pgSz w:w="11900" w:h="16840"/>
          <w:pgMar w:top="1284" w:right="1507" w:bottom="1284" w:left="1303" w:header="0" w:footer="3" w:gutter="0"/>
          <w:pgNumType w:fmt="decimal" w:start="1"/>
          <w:cols w:space="720" w:num="1"/>
          <w:rtlGutter w:val="0"/>
          <w:docGrid w:linePitch="360" w:charSpace="0"/>
        </w:sectPr>
      </w:pPr>
    </w:p>
    <w:p w14:paraId="3CEB97F9">
      <w:pPr>
        <w:pStyle w:val="17"/>
        <w:bidi w:val="0"/>
        <w:rPr>
          <w:rFonts w:hint="eastAsia" w:ascii="仿宋_GB2312" w:hAnsi="仿宋_GB2312" w:eastAsia="仿宋_GB2312" w:cs="仿宋_GB2312"/>
        </w:rPr>
      </w:pPr>
      <w:r>
        <w:rPr>
          <w:rFonts w:hint="eastAsia" w:ascii="仿宋_GB2312" w:hAnsi="仿宋_GB2312" w:eastAsia="仿宋_GB2312" w:cs="仿宋_GB2312"/>
          <w:lang w:val="zh-CN" w:eastAsia="zh-CN"/>
        </w:rPr>
        <w:t>1</w:t>
      </w:r>
      <w:r>
        <w:rPr>
          <w:rFonts w:hint="eastAsia" w:ascii="仿宋_GB2312" w:hAnsi="仿宋_GB2312" w:eastAsia="仿宋_GB2312" w:cs="仿宋_GB2312"/>
        </w:rPr>
        <w:t>.总论</w:t>
      </w:r>
      <w:bookmarkEnd w:id="0"/>
      <w:bookmarkEnd w:id="1"/>
      <w:bookmarkEnd w:id="2"/>
      <w:bookmarkEnd w:id="3"/>
    </w:p>
    <w:p w14:paraId="5DA8982B">
      <w:pPr>
        <w:pStyle w:val="25"/>
        <w:bidi w:val="0"/>
        <w:rPr>
          <w:rFonts w:hint="eastAsia" w:ascii="仿宋_GB2312" w:hAnsi="仿宋_GB2312" w:eastAsia="仿宋_GB2312" w:cs="仿宋_GB2312"/>
        </w:rPr>
      </w:pPr>
      <w:bookmarkStart w:id="4" w:name="bookmark13"/>
      <w:bookmarkStart w:id="5" w:name="_Toc17690"/>
      <w:bookmarkStart w:id="6" w:name="bookmark11"/>
      <w:bookmarkStart w:id="7" w:name="bookmark10"/>
      <w:r>
        <w:rPr>
          <w:rFonts w:hint="eastAsia" w:ascii="仿宋_GB2312" w:hAnsi="仿宋_GB2312" w:eastAsia="仿宋_GB2312" w:cs="仿宋_GB2312"/>
          <w:lang w:val="en-US" w:eastAsia="en-US"/>
        </w:rPr>
        <w:t>1.</w:t>
      </w:r>
      <w:r>
        <w:rPr>
          <w:rFonts w:hint="eastAsia" w:ascii="仿宋_GB2312" w:hAnsi="仿宋_GB2312" w:eastAsia="仿宋_GB2312" w:cs="仿宋_GB2312"/>
        </w:rPr>
        <w:t>1编制背景</w:t>
      </w:r>
      <w:bookmarkEnd w:id="4"/>
      <w:bookmarkEnd w:id="5"/>
      <w:bookmarkEnd w:id="6"/>
      <w:bookmarkEnd w:id="7"/>
    </w:p>
    <w:p w14:paraId="3090A9F1">
      <w:pPr>
        <w:pStyle w:val="27"/>
        <w:bidi w:val="0"/>
        <w:rPr>
          <w:rFonts w:hint="eastAsia" w:ascii="仿宋_GB2312" w:hAnsi="仿宋_GB2312" w:eastAsia="仿宋_GB2312" w:cs="仿宋_GB2312"/>
        </w:rPr>
      </w:pPr>
      <w:r>
        <w:rPr>
          <w:rFonts w:hint="eastAsia" w:ascii="仿宋_GB2312" w:hAnsi="仿宋_GB2312" w:eastAsia="仿宋_GB2312" w:cs="仿宋_GB2312"/>
        </w:rPr>
        <w:t>土壤是经济社会可持续发展的物质基础，关系人民群众身体健康，关系美丽中国建设，保护好土壤环境是推进生态文明建设和维护国家生态安全的重要内容。当前，我国土壤环境总体状况堪忧，部分地区污染较为严重，已成为全面建成小康社会的突出短板之一。为切实加强土壤污染防治，逐步改善土壤环境质量，国务院于2016年5月28日印发了《土壤污染防治行动计划》（国发[2016]31号），重庆市人民政府于2016年11月3日印发《重庆市贯彻落实土壤污染防治行动计划工作方案》，其中第21条中明确</w:t>
      </w:r>
      <w:r>
        <w:rPr>
          <w:rFonts w:hint="eastAsia" w:ascii="仿宋_GB2312" w:hAnsi="仿宋_GB2312" w:eastAsia="仿宋_GB2312" w:cs="仿宋_GB2312"/>
          <w:lang w:eastAsia="zh-CN"/>
        </w:rPr>
        <w:t>：</w:t>
      </w:r>
      <w:r>
        <w:rPr>
          <w:rFonts w:hint="eastAsia" w:ascii="仿宋_GB2312" w:hAnsi="仿宋_GB2312" w:eastAsia="仿宋_GB2312" w:cs="仿宋_GB2312"/>
          <w:lang w:val="zh-CN" w:eastAsia="zh-CN"/>
        </w:rPr>
        <w:t>“推</w:t>
      </w:r>
      <w:r>
        <w:rPr>
          <w:rFonts w:hint="eastAsia" w:ascii="仿宋_GB2312" w:hAnsi="仿宋_GB2312" w:eastAsia="仿宋_GB2312" w:cs="仿宋_GB2312"/>
        </w:rPr>
        <w:t>进重点工业企业及园区土壤环境管控。各区县（自治县）人民政府应根据重点工业企业分布、规模和污染排放情况，确定本辖区土壤环境重点监管企业名单，实行动态管理，并向社会公布。列入名单的企业每年要自行对其用地土壤进行监测，结果向社会公开，并依据监测结果采取有效的土壤污染防治措施。环保部门要定期对重点监管企业周边土壤开展监督性监测，数据及时上传土壤环境大数据平台，监测结果作为环境执法和风险预警的依据。”为贯彻《土壤污染防治行动计划》（国发[2016]31号）、《重庆市贯彻落实土壤污染防治行动计划工作方案》中落实企业污染防治的主体责任，</w:t>
      </w:r>
      <w:r>
        <w:rPr>
          <w:rFonts w:hint="eastAsia" w:ascii="仿宋_GB2312" w:hAnsi="仿宋_GB2312" w:eastAsia="仿宋_GB2312" w:cs="仿宋_GB2312"/>
          <w:lang w:val="en-US" w:eastAsia="zh-CN"/>
        </w:rPr>
        <w:t>石柱县海创环保科技</w:t>
      </w:r>
      <w:r>
        <w:rPr>
          <w:rFonts w:hint="eastAsia" w:ascii="仿宋_GB2312" w:hAnsi="仿宋_GB2312" w:eastAsia="仿宋_GB2312" w:cs="仿宋_GB2312"/>
        </w:rPr>
        <w:t>有限责任公司列入重庆市石柱县土壤污染重点监管企业名单，</w:t>
      </w:r>
      <w:r>
        <w:rPr>
          <w:rFonts w:hint="eastAsia" w:ascii="仿宋_GB2312" w:hAnsi="仿宋_GB2312" w:eastAsia="仿宋_GB2312" w:cs="仿宋_GB2312"/>
          <w:lang w:val="en-US" w:eastAsia="zh-CN"/>
        </w:rPr>
        <w:t>石柱县海创环保科技</w:t>
      </w:r>
      <w:r>
        <w:rPr>
          <w:rFonts w:hint="eastAsia" w:ascii="仿宋_GB2312" w:hAnsi="仿宋_GB2312" w:eastAsia="仿宋_GB2312" w:cs="仿宋_GB2312"/>
        </w:rPr>
        <w:t>有限责任公司应采取有效措施，防范企业用地新增污染，其中</w:t>
      </w:r>
      <w:r>
        <w:rPr>
          <w:rFonts w:hint="eastAsia" w:ascii="仿宋_GB2312" w:hAnsi="仿宋_GB2312" w:eastAsia="仿宋_GB2312" w:cs="仿宋_GB2312"/>
          <w:lang w:val="zh-CN" w:eastAsia="zh-CN"/>
        </w:rPr>
        <w:t>“排查</w:t>
      </w:r>
      <w:r>
        <w:rPr>
          <w:rFonts w:hint="eastAsia" w:ascii="仿宋_GB2312" w:hAnsi="仿宋_GB2312" w:eastAsia="仿宋_GB2312" w:cs="仿宋_GB2312"/>
        </w:rPr>
        <w:t>及整改土壤污染隐患</w:t>
      </w:r>
      <w:r>
        <w:rPr>
          <w:rFonts w:hint="eastAsia" w:ascii="仿宋_GB2312" w:hAnsi="仿宋_GB2312" w:eastAsia="仿宋_GB2312" w:cs="仿宋_GB2312"/>
          <w:lang w:val="zh-CN" w:eastAsia="zh-CN"/>
        </w:rPr>
        <w:t>”要求</w:t>
      </w:r>
      <w:r>
        <w:rPr>
          <w:rFonts w:hint="eastAsia" w:ascii="仿宋_GB2312" w:hAnsi="仿宋_GB2312" w:eastAsia="仿宋_GB2312" w:cs="仿宋_GB2312"/>
        </w:rPr>
        <w:t>自行对其用地进行土壤环境监测、开展土壤污染隐患排查、制定土壤污染隐患整改方案、按整改方案落实整改措施、建立隐患定期排查制度。</w:t>
      </w:r>
    </w:p>
    <w:p w14:paraId="5CB8EFB2">
      <w:pPr>
        <w:pStyle w:val="27"/>
        <w:bidi w:val="0"/>
        <w:rPr>
          <w:rFonts w:hint="eastAsia" w:ascii="仿宋_GB2312" w:hAnsi="仿宋_GB2312" w:eastAsia="仿宋_GB2312" w:cs="仿宋_GB2312"/>
        </w:rPr>
      </w:pPr>
      <w:r>
        <w:rPr>
          <w:rFonts w:hint="eastAsia" w:ascii="仿宋_GB2312" w:hAnsi="仿宋_GB2312" w:eastAsia="仿宋_GB2312" w:cs="仿宋_GB2312"/>
        </w:rPr>
        <w:t>在任何工业活动中都有可能发生事故，尤其是随着现代化工业的发展，生产过程中存在的巨大能量和有害物质，一旦发生重大事故，往往造成惨重的生命、财产损失和环境破坏。由于自然或人为、技术等原因，当事故或灾害不可能完全避免的时候，建立重大事故环境应急救援体系，组织及时有效的应急救援行动及提前预防，已成为抵御事故风险或控制灾害蔓延、降低危害后果的关键甚至是</w:t>
      </w:r>
      <w:r>
        <w:rPr>
          <w:rFonts w:hint="eastAsia" w:ascii="仿宋_GB2312" w:hAnsi="仿宋_GB2312" w:eastAsia="仿宋_GB2312" w:cs="仿宋_GB2312"/>
          <w:lang w:val="en-US" w:eastAsia="zh-CN"/>
        </w:rPr>
        <w:t>唯</w:t>
      </w:r>
      <w:r>
        <w:rPr>
          <w:rFonts w:hint="eastAsia" w:ascii="仿宋_GB2312" w:hAnsi="仿宋_GB2312" w:eastAsia="仿宋_GB2312" w:cs="仿宋_GB2312"/>
        </w:rPr>
        <w:t>一手段。</w:t>
      </w:r>
    </w:p>
    <w:p w14:paraId="6010CC4C">
      <w:pPr>
        <w:pStyle w:val="27"/>
        <w:bidi w:val="0"/>
        <w:rPr>
          <w:rFonts w:hint="eastAsia" w:ascii="仿宋_GB2312" w:hAnsi="仿宋_GB2312" w:eastAsia="仿宋_GB2312" w:cs="仿宋_GB2312"/>
          <w:color w:val="000000"/>
          <w:spacing w:val="0"/>
          <w:w w:val="100"/>
          <w:position w:val="0"/>
        </w:rPr>
      </w:pPr>
      <w:r>
        <w:rPr>
          <w:rFonts w:hint="eastAsia" w:ascii="仿宋_GB2312" w:hAnsi="仿宋_GB2312" w:eastAsia="仿宋_GB2312" w:cs="仿宋_GB2312"/>
        </w:rPr>
        <w:t>为了在石柱县海创环保科技有限责任公司环境风险物质发生泄漏与火灾事故后能迅速、有序有效地开展应急处置行动，阻止和控制在正常生产活动中污染物向周边环境的无序排放，最大可能避免对公共环境（土壤）造成的污染冲击，预防和减少突发环境事件的发生，控制、减轻和消除突发事件引起的严重社会危害，规范突发事件应对活动，根据《重点监管单位土壤污染隐患排查指南》、《工业企业土壤污染隐患排查和整改指南》，参照《在产企业土壤及地下水自行监测技术指南（征求意见稿）》、《工矿用地土壤环境管理办法（试行）》等相关技术文件要求，通过资料收集、现场踏勘情况，石柱县海创环保科技有限责任公司编制了《石柱县海创环保科技有限责任公司土壤污染隐患排查防治报告》。</w:t>
      </w:r>
    </w:p>
    <w:p w14:paraId="7907018E">
      <w:pPr>
        <w:pStyle w:val="25"/>
        <w:bidi w:val="0"/>
        <w:rPr>
          <w:rFonts w:hint="eastAsia" w:ascii="仿宋_GB2312" w:hAnsi="仿宋_GB2312" w:eastAsia="仿宋_GB2312" w:cs="仿宋_GB2312"/>
        </w:rPr>
      </w:pPr>
      <w:bookmarkStart w:id="8" w:name="bookmark17"/>
      <w:bookmarkStart w:id="9" w:name="_Toc6066"/>
      <w:bookmarkStart w:id="10" w:name="bookmark14"/>
      <w:bookmarkStart w:id="11" w:name="bookmark15"/>
      <w:r>
        <w:rPr>
          <w:rFonts w:hint="eastAsia" w:ascii="仿宋_GB2312" w:hAnsi="仿宋_GB2312" w:eastAsia="仿宋_GB2312" w:cs="仿宋_GB2312"/>
          <w:lang w:val="en-US" w:eastAsia="en-US"/>
        </w:rPr>
        <w:t>1.2</w:t>
      </w:r>
      <w:r>
        <w:rPr>
          <w:rFonts w:hint="eastAsia" w:ascii="仿宋_GB2312" w:hAnsi="仿宋_GB2312" w:eastAsia="仿宋_GB2312" w:cs="仿宋_GB2312"/>
        </w:rPr>
        <w:t>排查目的和原则</w:t>
      </w:r>
      <w:bookmarkEnd w:id="8"/>
      <w:bookmarkEnd w:id="9"/>
      <w:bookmarkEnd w:id="10"/>
      <w:bookmarkEnd w:id="11"/>
    </w:p>
    <w:p w14:paraId="072A2197">
      <w:pPr>
        <w:pStyle w:val="29"/>
        <w:bidi w:val="0"/>
        <w:rPr>
          <w:rFonts w:hint="eastAsia" w:ascii="仿宋_GB2312" w:hAnsi="仿宋_GB2312" w:eastAsia="仿宋_GB2312" w:cs="仿宋_GB2312"/>
        </w:rPr>
      </w:pPr>
      <w:bookmarkStart w:id="12" w:name="bookmark18"/>
      <w:bookmarkStart w:id="13" w:name="_Toc6191"/>
      <w:bookmarkStart w:id="14" w:name="bookmark19"/>
      <w:bookmarkStart w:id="15" w:name="bookmark21"/>
      <w:r>
        <w:rPr>
          <w:rFonts w:hint="eastAsia" w:ascii="仿宋_GB2312" w:hAnsi="仿宋_GB2312" w:eastAsia="仿宋_GB2312" w:cs="仿宋_GB2312"/>
          <w:lang w:val="en-US" w:eastAsia="en-US"/>
        </w:rPr>
        <w:t>1.2.1</w:t>
      </w:r>
      <w:r>
        <w:rPr>
          <w:rFonts w:hint="eastAsia" w:ascii="仿宋_GB2312" w:hAnsi="仿宋_GB2312" w:eastAsia="仿宋_GB2312" w:cs="仿宋_GB2312"/>
        </w:rPr>
        <w:t>排査目的</w:t>
      </w:r>
      <w:bookmarkEnd w:id="12"/>
      <w:bookmarkEnd w:id="13"/>
      <w:bookmarkEnd w:id="14"/>
      <w:bookmarkEnd w:id="15"/>
    </w:p>
    <w:p w14:paraId="3852591F">
      <w:pPr>
        <w:pStyle w:val="27"/>
        <w:bidi w:val="0"/>
        <w:rPr>
          <w:rFonts w:hint="eastAsia" w:ascii="仿宋_GB2312" w:hAnsi="仿宋_GB2312" w:eastAsia="仿宋_GB2312" w:cs="仿宋_GB2312"/>
        </w:rPr>
      </w:pPr>
      <w:r>
        <w:rPr>
          <w:rFonts w:hint="eastAsia" w:ascii="仿宋_GB2312" w:hAnsi="仿宋_GB2312" w:eastAsia="仿宋_GB2312" w:cs="仿宋_GB2312"/>
        </w:rPr>
        <w:t>通过对</w:t>
      </w:r>
      <w:r>
        <w:rPr>
          <w:rFonts w:hint="eastAsia" w:ascii="仿宋_GB2312" w:hAnsi="仿宋_GB2312" w:eastAsia="仿宋_GB2312" w:cs="仿宋_GB2312"/>
          <w:lang w:val="en-US" w:eastAsia="zh-CN"/>
        </w:rPr>
        <w:t>石柱县海创环保科技</w:t>
      </w:r>
      <w:r>
        <w:rPr>
          <w:rFonts w:hint="eastAsia" w:ascii="仿宋_GB2312" w:hAnsi="仿宋_GB2312" w:eastAsia="仿宋_GB2312" w:cs="仿宋_GB2312"/>
        </w:rPr>
        <w:t>有限责任公司重点区域、重点设施开展土壤污染隐患排查，对发现的污染隐患及时采取技术、管理措施完成整改，防止有毒有害物质渗漏、流失、扬散；并通过开展土壤初步采样监测，确认地块潜在环境污染特征,判定是否存在污染。在隐患排查、监测等活动中发现土壤和地下水存在污染迹象的，参照污染地块土壤环境管理有关规定及时开展土壤和地下水环境详细调查与风险评估，并根据调查与风险评估结果采取风险管控或者治理与修复等措施。具体分为两个阶段：</w:t>
      </w:r>
    </w:p>
    <w:p w14:paraId="5925D298">
      <w:pPr>
        <w:pStyle w:val="27"/>
        <w:bidi w:val="0"/>
        <w:rPr>
          <w:rFonts w:hint="eastAsia" w:ascii="仿宋_GB2312" w:hAnsi="仿宋_GB2312" w:eastAsia="仿宋_GB2312" w:cs="仿宋_GB2312"/>
        </w:rPr>
      </w:pPr>
      <w:r>
        <w:rPr>
          <w:rFonts w:hint="eastAsia" w:ascii="仿宋_GB2312" w:hAnsi="仿宋_GB2312" w:eastAsia="仿宋_GB2312" w:cs="仿宋_GB2312"/>
        </w:rPr>
        <w:t>第一阶段目的是：识别可能存在的污染源和污染物，初步排查所占用地块是否存在污染可能性，必要情况下需要进行应急清理。主要工作内容是通过资料收集与分析、现场踏勘、人员访谈等方式开展调查，初步分</w:t>
      </w:r>
      <w:r>
        <w:rPr>
          <w:rFonts w:hint="eastAsia" w:ascii="仿宋_GB2312" w:hAnsi="仿宋_GB2312" w:eastAsia="仿宋_GB2312" w:cs="仿宋_GB2312"/>
          <w:lang w:val="en-US" w:eastAsia="zh-CN"/>
        </w:rPr>
        <w:t>析</w:t>
      </w:r>
      <w:r>
        <w:rPr>
          <w:rFonts w:hint="eastAsia" w:ascii="仿宋_GB2312" w:hAnsi="仿宋_GB2312" w:eastAsia="仿宋_GB2312" w:cs="仿宋_GB2312"/>
        </w:rPr>
        <w:t>地块土壤污染状况，整理第一阶段土壤污染状况调查结果。本阶段原则上不进行现场采样分析。</w:t>
      </w:r>
    </w:p>
    <w:p w14:paraId="735B2D5B">
      <w:pPr>
        <w:pStyle w:val="27"/>
        <w:bidi w:val="0"/>
        <w:rPr>
          <w:rFonts w:hint="eastAsia" w:ascii="仿宋_GB2312" w:hAnsi="仿宋_GB2312" w:eastAsia="仿宋_GB2312" w:cs="仿宋_GB2312"/>
        </w:rPr>
      </w:pPr>
      <w:r>
        <w:rPr>
          <w:rFonts w:hint="eastAsia" w:ascii="仿宋_GB2312" w:hAnsi="仿宋_GB2312" w:eastAsia="仿宋_GB2312" w:cs="仿宋_GB2312"/>
        </w:rPr>
        <w:t>第二阶段以采样分析为主，确定地块的污染物种类、污染分布及污染程度。主要工作内容为采样、隐患及风险筛选、目的是分析确认地块是否存在潜在风险及关注污染物；确定污染物具体分布及污染程度。</w:t>
      </w:r>
    </w:p>
    <w:p w14:paraId="123B0F27">
      <w:pPr>
        <w:pStyle w:val="29"/>
        <w:bidi w:val="0"/>
        <w:rPr>
          <w:rFonts w:hint="eastAsia" w:ascii="仿宋_GB2312" w:hAnsi="仿宋_GB2312" w:eastAsia="仿宋_GB2312" w:cs="仿宋_GB2312"/>
        </w:rPr>
      </w:pPr>
      <w:bookmarkStart w:id="16" w:name="_Toc17180"/>
      <w:bookmarkStart w:id="17" w:name="bookmark22"/>
      <w:bookmarkStart w:id="18" w:name="bookmark25"/>
      <w:bookmarkStart w:id="19" w:name="bookmark23"/>
      <w:r>
        <w:rPr>
          <w:rFonts w:hint="eastAsia" w:ascii="仿宋_GB2312" w:hAnsi="仿宋_GB2312" w:eastAsia="仿宋_GB2312" w:cs="仿宋_GB2312"/>
          <w:lang w:val="en-US" w:eastAsia="en-US"/>
        </w:rPr>
        <w:t>1.2.</w:t>
      </w:r>
      <w:r>
        <w:rPr>
          <w:rFonts w:hint="eastAsia" w:ascii="仿宋_GB2312" w:hAnsi="仿宋_GB2312" w:eastAsia="仿宋_GB2312" w:cs="仿宋_GB2312"/>
        </w:rPr>
        <w:t>2排査原则</w:t>
      </w:r>
      <w:bookmarkEnd w:id="16"/>
      <w:bookmarkEnd w:id="17"/>
      <w:bookmarkEnd w:id="18"/>
      <w:bookmarkEnd w:id="19"/>
    </w:p>
    <w:p w14:paraId="75D0D338">
      <w:pPr>
        <w:pStyle w:val="27"/>
        <w:bidi w:val="0"/>
        <w:rPr>
          <w:rFonts w:hint="eastAsia" w:ascii="仿宋_GB2312" w:hAnsi="仿宋_GB2312" w:eastAsia="仿宋_GB2312" w:cs="仿宋_GB2312"/>
        </w:rPr>
      </w:pPr>
      <w:r>
        <w:rPr>
          <w:rFonts w:hint="eastAsia" w:ascii="仿宋_GB2312" w:hAnsi="仿宋_GB2312" w:eastAsia="仿宋_GB2312" w:cs="仿宋_GB2312"/>
        </w:rPr>
        <w:t>在土壤污染隐患排查过程中，主要遵循以下原则：</w:t>
      </w:r>
    </w:p>
    <w:p w14:paraId="69876B4C">
      <w:pPr>
        <w:pStyle w:val="27"/>
        <w:bidi w:val="0"/>
        <w:rPr>
          <w:rFonts w:hint="eastAsia" w:ascii="仿宋_GB2312" w:hAnsi="仿宋_GB2312" w:eastAsia="仿宋_GB2312" w:cs="仿宋_GB2312"/>
        </w:rPr>
      </w:pPr>
      <w:bookmarkStart w:id="20" w:name="bookmark26"/>
      <w:bookmarkEnd w:id="20"/>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1</w:t>
      </w:r>
      <w:r>
        <w:rPr>
          <w:rFonts w:hint="eastAsia" w:ascii="仿宋_GB2312" w:hAnsi="仿宋_GB2312" w:eastAsia="仿宋_GB2312" w:cs="仿宋_GB2312"/>
          <w:lang w:eastAsia="zh-CN"/>
        </w:rPr>
        <w:t>）</w:t>
      </w:r>
      <w:r>
        <w:rPr>
          <w:rFonts w:hint="eastAsia" w:ascii="仿宋_GB2312" w:hAnsi="仿宋_GB2312" w:eastAsia="仿宋_GB2312" w:cs="仿宋_GB2312"/>
        </w:rPr>
        <w:t>针对性原则</w:t>
      </w:r>
      <w:r>
        <w:rPr>
          <w:rFonts w:hint="eastAsia" w:ascii="仿宋_GB2312" w:hAnsi="仿宋_GB2312" w:eastAsia="仿宋_GB2312" w:cs="仿宋_GB2312"/>
          <w:lang w:eastAsia="zh-CN"/>
        </w:rPr>
        <w:t>：</w:t>
      </w:r>
      <w:r>
        <w:rPr>
          <w:rFonts w:hint="eastAsia" w:ascii="仿宋_GB2312" w:hAnsi="仿宋_GB2312" w:eastAsia="仿宋_GB2312" w:cs="仿宋_GB2312"/>
        </w:rPr>
        <w:t>针对地块的特征和潜在污染物特性，进行污染浓度和空间分布排查，为地块的环境管理提供依据。</w:t>
      </w:r>
    </w:p>
    <w:p w14:paraId="7ABE5D3A">
      <w:pPr>
        <w:pStyle w:val="27"/>
        <w:bidi w:val="0"/>
        <w:rPr>
          <w:rFonts w:hint="eastAsia" w:ascii="仿宋_GB2312" w:hAnsi="仿宋_GB2312" w:eastAsia="仿宋_GB2312" w:cs="仿宋_GB2312"/>
        </w:rPr>
      </w:pPr>
      <w:bookmarkStart w:id="21" w:name="bookmark27"/>
      <w:bookmarkEnd w:id="21"/>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2</w:t>
      </w:r>
      <w:r>
        <w:rPr>
          <w:rFonts w:hint="eastAsia" w:ascii="仿宋_GB2312" w:hAnsi="仿宋_GB2312" w:eastAsia="仿宋_GB2312" w:cs="仿宋_GB2312"/>
          <w:lang w:eastAsia="zh-CN"/>
        </w:rPr>
        <w:t>）</w:t>
      </w:r>
      <w:r>
        <w:rPr>
          <w:rFonts w:hint="eastAsia" w:ascii="仿宋_GB2312" w:hAnsi="仿宋_GB2312" w:eastAsia="仿宋_GB2312" w:cs="仿宋_GB2312"/>
        </w:rPr>
        <w:t>规范性原则</w:t>
      </w:r>
      <w:r>
        <w:rPr>
          <w:rFonts w:hint="eastAsia" w:ascii="仿宋_GB2312" w:hAnsi="仿宋_GB2312" w:eastAsia="仿宋_GB2312" w:cs="仿宋_GB2312"/>
          <w:lang w:eastAsia="zh-CN"/>
        </w:rPr>
        <w:t>：</w:t>
      </w:r>
      <w:r>
        <w:rPr>
          <w:rFonts w:hint="eastAsia" w:ascii="仿宋_GB2312" w:hAnsi="仿宋_GB2312" w:eastAsia="仿宋_GB2312" w:cs="仿宋_GB2312"/>
        </w:rPr>
        <w:t>采用程序化和系统化的方式规范土壤污染隐患排查过程，保证排查过程的科学性和客观性。</w:t>
      </w:r>
    </w:p>
    <w:p w14:paraId="5A133F57">
      <w:pPr>
        <w:pStyle w:val="27"/>
        <w:bidi w:val="0"/>
        <w:rPr>
          <w:rFonts w:hint="eastAsia" w:ascii="仿宋_GB2312" w:hAnsi="仿宋_GB2312" w:eastAsia="仿宋_GB2312" w:cs="仿宋_GB2312"/>
        </w:rPr>
      </w:pPr>
      <w:bookmarkStart w:id="22" w:name="bookmark28"/>
      <w:bookmarkEnd w:id="22"/>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3</w:t>
      </w:r>
      <w:r>
        <w:rPr>
          <w:rFonts w:hint="eastAsia" w:ascii="仿宋_GB2312" w:hAnsi="仿宋_GB2312" w:eastAsia="仿宋_GB2312" w:cs="仿宋_GB2312"/>
          <w:lang w:eastAsia="zh-CN"/>
        </w:rPr>
        <w:t>）</w:t>
      </w:r>
      <w:r>
        <w:rPr>
          <w:rFonts w:hint="eastAsia" w:ascii="仿宋_GB2312" w:hAnsi="仿宋_GB2312" w:eastAsia="仿宋_GB2312" w:cs="仿宋_GB2312"/>
        </w:rPr>
        <w:t>可操作性原则</w:t>
      </w:r>
      <w:r>
        <w:rPr>
          <w:rFonts w:hint="eastAsia" w:ascii="仿宋_GB2312" w:hAnsi="仿宋_GB2312" w:eastAsia="仿宋_GB2312" w:cs="仿宋_GB2312"/>
          <w:lang w:eastAsia="zh-CN"/>
        </w:rPr>
        <w:t>：</w:t>
      </w:r>
      <w:r>
        <w:rPr>
          <w:rFonts w:hint="eastAsia" w:ascii="仿宋_GB2312" w:hAnsi="仿宋_GB2312" w:eastAsia="仿宋_GB2312" w:cs="仿宋_GB2312"/>
        </w:rPr>
        <w:t>综合考虑调查方法、时间、经费等，结合公司</w:t>
      </w:r>
      <w:r>
        <w:rPr>
          <w:rFonts w:hint="eastAsia" w:ascii="仿宋_GB2312" w:hAnsi="仿宋_GB2312" w:eastAsia="仿宋_GB2312" w:cs="仿宋_GB2312"/>
          <w:lang w:val="en-US" w:eastAsia="zh-CN"/>
        </w:rPr>
        <w:t>实际情况</w:t>
      </w:r>
      <w:r>
        <w:rPr>
          <w:rFonts w:hint="eastAsia" w:ascii="仿宋_GB2312" w:hAnsi="仿宋_GB2312" w:eastAsia="仿宋_GB2312" w:cs="仿宋_GB2312"/>
        </w:rPr>
        <w:t>及现阶段科学技术发展能力和相关人力资源水平，使排查过程切实可行。另外，土壤污染监测作为土壤污染隐患排查的重要手段，应以土壤监测为主，兼顾地块残余废弃污染物、地下水、地表水、环境空气及治理修复过程中排放的污染物的监测。</w:t>
      </w:r>
    </w:p>
    <w:p w14:paraId="6F9A92F1">
      <w:pPr>
        <w:pStyle w:val="25"/>
        <w:bidi w:val="0"/>
        <w:rPr>
          <w:rFonts w:hint="eastAsia" w:ascii="仿宋_GB2312" w:hAnsi="仿宋_GB2312" w:eastAsia="仿宋_GB2312" w:cs="仿宋_GB2312"/>
        </w:rPr>
      </w:pPr>
      <w:bookmarkStart w:id="23" w:name="bookmark32"/>
      <w:bookmarkStart w:id="24" w:name="bookmark29"/>
      <w:bookmarkStart w:id="25" w:name="_Toc15767"/>
      <w:bookmarkStart w:id="26" w:name="bookmark30"/>
      <w:r>
        <w:rPr>
          <w:rFonts w:hint="eastAsia" w:ascii="仿宋_GB2312" w:hAnsi="仿宋_GB2312" w:eastAsia="仿宋_GB2312" w:cs="仿宋_GB2312"/>
          <w:lang w:val="en-US" w:eastAsia="en-US"/>
        </w:rPr>
        <w:t>1.3</w:t>
      </w:r>
      <w:r>
        <w:rPr>
          <w:rFonts w:hint="eastAsia" w:ascii="仿宋_GB2312" w:hAnsi="仿宋_GB2312" w:eastAsia="仿宋_GB2312" w:cs="仿宋_GB2312"/>
        </w:rPr>
        <w:t>排查范围</w:t>
      </w:r>
      <w:bookmarkEnd w:id="23"/>
      <w:bookmarkEnd w:id="24"/>
      <w:bookmarkEnd w:id="25"/>
      <w:bookmarkEnd w:id="26"/>
    </w:p>
    <w:p w14:paraId="3DB2427D">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eastAsia="zh-CN"/>
        </w:rPr>
        <w:t>石柱县海创环保科技有限责任公司</w:t>
      </w:r>
      <w:r>
        <w:rPr>
          <w:rFonts w:hint="eastAsia" w:ascii="仿宋_GB2312" w:hAnsi="仿宋_GB2312" w:eastAsia="仿宋_GB2312" w:cs="仿宋_GB2312"/>
          <w:lang w:val="en-US" w:eastAsia="zh-CN"/>
        </w:rPr>
        <w:t>在石柱县万朝镇原茶园煤矿废弃场地建设规模为300t/d的生活垃圾发电系统1套</w:t>
      </w:r>
      <w:r>
        <w:rPr>
          <w:rFonts w:hint="eastAsia" w:ascii="仿宋_GB2312" w:hAnsi="仿宋_GB2312" w:eastAsia="仿宋_GB2312" w:cs="仿宋_GB2312"/>
        </w:rPr>
        <w:t>。</w:t>
      </w:r>
      <w:r>
        <w:rPr>
          <w:rFonts w:hint="eastAsia" w:ascii="仿宋_GB2312" w:hAnsi="仿宋_GB2312" w:eastAsia="仿宋_GB2312" w:cs="仿宋_GB2312"/>
          <w:lang w:val="en-US" w:eastAsia="zh-CN"/>
        </w:rPr>
        <w:t>公司涉及的环境风险物质有氨水、柴油、硫酸、垃圾渗滤液、危废等环境风险物质。</w:t>
      </w:r>
    </w:p>
    <w:p w14:paraId="73A96CF8">
      <w:pPr>
        <w:pStyle w:val="27"/>
        <w:bidi w:val="0"/>
        <w:rPr>
          <w:rFonts w:hint="eastAsia" w:ascii="仿宋_GB2312" w:hAnsi="仿宋_GB2312" w:eastAsia="仿宋_GB2312" w:cs="仿宋_GB2312"/>
        </w:rPr>
      </w:pPr>
      <w:r>
        <w:rPr>
          <w:rFonts w:hint="eastAsia" w:ascii="仿宋_GB2312" w:hAnsi="仿宋_GB2312" w:eastAsia="仿宋_GB2312" w:cs="仿宋_GB2312"/>
        </w:rPr>
        <w:t>结合</w:t>
      </w:r>
      <w:r>
        <w:rPr>
          <w:rFonts w:hint="eastAsia" w:ascii="仿宋_GB2312" w:hAnsi="仿宋_GB2312" w:eastAsia="仿宋_GB2312" w:cs="仿宋_GB2312"/>
          <w:lang w:val="en-US" w:eastAsia="zh-CN"/>
        </w:rPr>
        <w:t>石柱县海创环保科技</w:t>
      </w:r>
      <w:r>
        <w:rPr>
          <w:rFonts w:hint="eastAsia" w:ascii="仿宋_GB2312" w:hAnsi="仿宋_GB2312" w:eastAsia="仿宋_GB2312" w:cs="仿宋_GB2312"/>
        </w:rPr>
        <w:t>有限责任公司的实际情况，本次隐患排查范围针对公司厂</w:t>
      </w:r>
      <w:r>
        <w:rPr>
          <w:rFonts w:hint="eastAsia" w:ascii="仿宋_GB2312" w:hAnsi="仿宋_GB2312" w:eastAsia="仿宋_GB2312" w:cs="仿宋_GB2312"/>
          <w:lang w:val="en-US" w:eastAsia="zh-CN"/>
        </w:rPr>
        <w:t>址</w:t>
      </w:r>
      <w:r>
        <w:rPr>
          <w:rFonts w:hint="eastAsia" w:ascii="仿宋_GB2312" w:hAnsi="仿宋_GB2312" w:eastAsia="仿宋_GB2312" w:cs="仿宋_GB2312"/>
        </w:rPr>
        <w:t>和地块周边土壤。厂区</w:t>
      </w:r>
      <w:r>
        <w:rPr>
          <w:rFonts w:hint="eastAsia" w:ascii="仿宋_GB2312" w:hAnsi="仿宋_GB2312" w:eastAsia="仿宋_GB2312" w:cs="仿宋_GB2312"/>
          <w:lang w:val="en-US" w:eastAsia="zh-CN"/>
        </w:rPr>
        <w:t>位于S403和S202之间（石柱县万朝镇万康村茶园组），</w:t>
      </w:r>
      <w:r>
        <w:rPr>
          <w:rFonts w:hint="eastAsia" w:ascii="仿宋_GB2312" w:hAnsi="仿宋_GB2312" w:eastAsia="仿宋_GB2312" w:cs="仿宋_GB2312"/>
        </w:rPr>
        <w:t>厂区界线清晰，边界明确。详见</w:t>
      </w:r>
      <w:r>
        <w:rPr>
          <w:rFonts w:hint="eastAsia" w:ascii="仿宋_GB2312" w:hAnsi="仿宋_GB2312" w:eastAsia="仿宋_GB2312" w:cs="仿宋_GB2312"/>
          <w:lang w:val="en-US" w:eastAsia="zh-CN"/>
        </w:rPr>
        <w:t>下</w:t>
      </w:r>
      <w:r>
        <w:rPr>
          <w:rFonts w:hint="eastAsia" w:ascii="仿宋_GB2312" w:hAnsi="仿宋_GB2312" w:eastAsia="仿宋_GB2312" w:cs="仿宋_GB2312"/>
        </w:rPr>
        <w:t>图。</w:t>
      </w:r>
    </w:p>
    <w:p w14:paraId="5C037CD3">
      <w:pPr>
        <w:pStyle w:val="27"/>
        <w:bidi w:val="0"/>
        <w:ind w:left="0" w:leftChars="0" w:firstLine="0" w:firstLineChars="0"/>
        <w:rPr>
          <w:rFonts w:hint="eastAsia" w:ascii="仿宋_GB2312" w:hAnsi="仿宋_GB2312" w:eastAsia="仿宋_GB2312" w:cs="仿宋_GB2312"/>
        </w:rPr>
      </w:pPr>
    </w:p>
    <w:p w14:paraId="2AF6BA5E">
      <w:pPr>
        <w:pStyle w:val="27"/>
        <w:bidi w:val="0"/>
        <w:ind w:left="0" w:leftChars="0" w:firstLine="0" w:firstLineChars="0"/>
      </w:pPr>
    </w:p>
    <w:p w14:paraId="5E1680B3">
      <w:pPr>
        <w:pStyle w:val="2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pPr>
      <w:r>
        <w:rPr>
          <w:sz w:val="22"/>
        </w:rPr>
        <w:drawing>
          <wp:inline distT="0" distB="0" distL="114300" distR="114300">
            <wp:extent cx="5805805" cy="3422650"/>
            <wp:effectExtent l="0" t="0" r="4445" b="6350"/>
            <wp:docPr id="4" name="图片 4" descr="560a610fd98064facf5eb488dedaa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60a610fd98064facf5eb488dedaa7d"/>
                    <pic:cNvPicPr>
                      <a:picLocks noChangeAspect="1"/>
                    </pic:cNvPicPr>
                  </pic:nvPicPr>
                  <pic:blipFill>
                    <a:blip r:embed="rId18"/>
                    <a:stretch>
                      <a:fillRect/>
                    </a:stretch>
                  </pic:blipFill>
                  <pic:spPr>
                    <a:xfrm>
                      <a:off x="0" y="0"/>
                      <a:ext cx="5805805" cy="3422650"/>
                    </a:xfrm>
                    <a:prstGeom prst="rect">
                      <a:avLst/>
                    </a:prstGeom>
                  </pic:spPr>
                </pic:pic>
              </a:graphicData>
            </a:graphic>
          </wp:inline>
        </w:drawing>
      </w:r>
    </w:p>
    <w:p w14:paraId="00B8746A">
      <w:pPr>
        <w:pStyle w:val="27"/>
        <w:bidi w:val="0"/>
        <w:jc w:val="center"/>
        <w:rPr>
          <w:sz w:val="24"/>
          <w:szCs w:val="24"/>
        </w:rPr>
      </w:pPr>
      <w:r>
        <w:rPr>
          <w:rFonts w:hint="eastAsia" w:ascii="仿宋_GB2312" w:hAnsi="仿宋_GB2312" w:eastAsia="仿宋_GB2312" w:cs="仿宋_GB2312"/>
          <w:sz w:val="24"/>
          <w:szCs w:val="24"/>
          <w:lang w:val="en-US" w:eastAsia="zh-CN"/>
        </w:rPr>
        <w:t>石柱海创环保科技有限责任公司厂址</w:t>
      </w:r>
      <w:r>
        <w:rPr>
          <w:rFonts w:hint="eastAsia" w:ascii="仿宋_GB2312" w:hAnsi="仿宋_GB2312" w:eastAsia="仿宋_GB2312" w:cs="仿宋_GB2312"/>
          <w:sz w:val="24"/>
          <w:szCs w:val="24"/>
        </w:rPr>
        <w:t>卫星图</w:t>
      </w:r>
    </w:p>
    <w:p w14:paraId="200CC98D">
      <w:pPr>
        <w:pStyle w:val="25"/>
        <w:bidi w:val="0"/>
        <w:rPr>
          <w:rFonts w:hint="eastAsia" w:ascii="仿宋_GB2312" w:hAnsi="仿宋_GB2312" w:eastAsia="仿宋_GB2312" w:cs="仿宋_GB2312"/>
        </w:rPr>
      </w:pPr>
      <w:bookmarkStart w:id="27" w:name="bookmark33"/>
      <w:bookmarkStart w:id="28" w:name="bookmark36"/>
      <w:bookmarkStart w:id="29" w:name="_Toc6932"/>
      <w:bookmarkStart w:id="30" w:name="bookmark34"/>
      <w:r>
        <w:rPr>
          <w:rFonts w:hint="eastAsia" w:ascii="仿宋_GB2312" w:hAnsi="仿宋_GB2312" w:eastAsia="仿宋_GB2312" w:cs="仿宋_GB2312"/>
          <w:lang w:val="en-US" w:eastAsia="en-US"/>
        </w:rPr>
        <w:t>1.4</w:t>
      </w:r>
      <w:r>
        <w:rPr>
          <w:rFonts w:hint="eastAsia" w:ascii="仿宋_GB2312" w:hAnsi="仿宋_GB2312" w:eastAsia="仿宋_GB2312" w:cs="仿宋_GB2312"/>
        </w:rPr>
        <w:t>编制依据</w:t>
      </w:r>
      <w:bookmarkEnd w:id="27"/>
      <w:bookmarkEnd w:id="28"/>
      <w:bookmarkEnd w:id="29"/>
      <w:bookmarkEnd w:id="30"/>
    </w:p>
    <w:p w14:paraId="06DF7BFE">
      <w:pPr>
        <w:pStyle w:val="29"/>
        <w:bidi w:val="0"/>
        <w:rPr>
          <w:rFonts w:hint="eastAsia" w:ascii="仿宋_GB2312" w:hAnsi="仿宋_GB2312" w:eastAsia="仿宋_GB2312" w:cs="仿宋_GB2312"/>
        </w:rPr>
      </w:pPr>
      <w:bookmarkStart w:id="31" w:name="bookmark40"/>
      <w:bookmarkStart w:id="32" w:name="_Toc8124"/>
      <w:bookmarkStart w:id="33" w:name="bookmark37"/>
      <w:bookmarkStart w:id="34" w:name="bookmark38"/>
      <w:r>
        <w:rPr>
          <w:rFonts w:hint="eastAsia" w:ascii="仿宋_GB2312" w:hAnsi="仿宋_GB2312" w:eastAsia="仿宋_GB2312" w:cs="仿宋_GB2312"/>
          <w:lang w:val="en-US" w:eastAsia="en-US"/>
        </w:rPr>
        <w:t>1.4.1</w:t>
      </w:r>
      <w:r>
        <w:rPr>
          <w:rFonts w:hint="eastAsia" w:ascii="仿宋_GB2312" w:hAnsi="仿宋_GB2312" w:eastAsia="仿宋_GB2312" w:cs="仿宋_GB2312"/>
        </w:rPr>
        <w:t>法律法规</w:t>
      </w:r>
      <w:bookmarkEnd w:id="31"/>
      <w:bookmarkEnd w:id="32"/>
      <w:bookmarkEnd w:id="33"/>
      <w:bookmarkEnd w:id="34"/>
    </w:p>
    <w:p w14:paraId="7A8AE88D">
      <w:pPr>
        <w:pStyle w:val="27"/>
        <w:bidi w:val="0"/>
        <w:rPr>
          <w:rFonts w:hint="eastAsia" w:ascii="仿宋_GB2312" w:hAnsi="仿宋_GB2312" w:eastAsia="仿宋_GB2312" w:cs="仿宋_GB2312"/>
        </w:rPr>
      </w:pPr>
      <w:bookmarkStart w:id="35" w:name="bookmark41"/>
      <w:r>
        <w:rPr>
          <w:rFonts w:hint="eastAsia" w:ascii="仿宋_GB2312" w:hAnsi="仿宋_GB2312" w:eastAsia="仿宋_GB2312" w:cs="仿宋_GB2312"/>
        </w:rPr>
        <w:t>（</w:t>
      </w:r>
      <w:bookmarkEnd w:id="35"/>
      <w:r>
        <w:rPr>
          <w:rFonts w:hint="eastAsia" w:ascii="仿宋_GB2312" w:hAnsi="仿宋_GB2312" w:eastAsia="仿宋_GB2312" w:cs="仿宋_GB2312"/>
        </w:rPr>
        <w:t>1）《中华人民共和国环境保护法》（2015年1月1日施行）；</w:t>
      </w:r>
    </w:p>
    <w:p w14:paraId="271A5778">
      <w:pPr>
        <w:pStyle w:val="27"/>
        <w:bidi w:val="0"/>
        <w:rPr>
          <w:rFonts w:hint="eastAsia" w:ascii="仿宋_GB2312" w:hAnsi="仿宋_GB2312" w:eastAsia="仿宋_GB2312" w:cs="仿宋_GB2312"/>
        </w:rPr>
      </w:pPr>
      <w:bookmarkStart w:id="36" w:name="bookmark42"/>
      <w:r>
        <w:rPr>
          <w:rFonts w:hint="eastAsia" w:ascii="仿宋_GB2312" w:hAnsi="仿宋_GB2312" w:eastAsia="仿宋_GB2312" w:cs="仿宋_GB2312"/>
        </w:rPr>
        <w:t>（</w:t>
      </w:r>
      <w:bookmarkEnd w:id="36"/>
      <w:r>
        <w:rPr>
          <w:rFonts w:hint="eastAsia" w:ascii="仿宋_GB2312" w:hAnsi="仿宋_GB2312" w:eastAsia="仿宋_GB2312" w:cs="仿宋_GB2312"/>
        </w:rPr>
        <w:t>2）《中华人民共和国土壤污染防治法》（2019年1月1日施行）；</w:t>
      </w:r>
    </w:p>
    <w:p w14:paraId="02B5F277">
      <w:pPr>
        <w:pStyle w:val="27"/>
        <w:bidi w:val="0"/>
        <w:rPr>
          <w:rFonts w:hint="eastAsia" w:ascii="仿宋_GB2312" w:hAnsi="仿宋_GB2312" w:eastAsia="仿宋_GB2312" w:cs="仿宋_GB2312"/>
        </w:rPr>
      </w:pPr>
      <w:bookmarkStart w:id="37" w:name="bookmark43"/>
      <w:r>
        <w:rPr>
          <w:rFonts w:hint="eastAsia" w:ascii="仿宋_GB2312" w:hAnsi="仿宋_GB2312" w:eastAsia="仿宋_GB2312" w:cs="仿宋_GB2312"/>
        </w:rPr>
        <w:t>（</w:t>
      </w:r>
      <w:bookmarkEnd w:id="37"/>
      <w:r>
        <w:rPr>
          <w:rFonts w:hint="eastAsia" w:ascii="仿宋_GB2312" w:hAnsi="仿宋_GB2312" w:eastAsia="仿宋_GB2312" w:cs="仿宋_GB2312"/>
        </w:rPr>
        <w:t>3）</w:t>
      </w:r>
      <w:r>
        <w:rPr>
          <w:rFonts w:hint="eastAsia" w:ascii="仿宋_GB2312" w:hAnsi="仿宋_GB2312" w:eastAsia="仿宋_GB2312" w:cs="仿宋_GB2312"/>
          <w:lang w:eastAsia="zh-CN"/>
        </w:rPr>
        <w:t>《中华人民共和国固体废物污染环境防治法》</w:t>
      </w:r>
      <w:r>
        <w:rPr>
          <w:rFonts w:hint="eastAsia" w:ascii="仿宋_GB2312" w:hAnsi="仿宋_GB2312" w:eastAsia="仿宋_GB2312" w:cs="仿宋_GB2312"/>
        </w:rPr>
        <w:t>（2015年4月24日施行）；</w:t>
      </w:r>
    </w:p>
    <w:p w14:paraId="347E19DF">
      <w:pPr>
        <w:pStyle w:val="27"/>
        <w:bidi w:val="0"/>
        <w:rPr>
          <w:rFonts w:hint="eastAsia" w:ascii="仿宋_GB2312" w:hAnsi="仿宋_GB2312" w:eastAsia="仿宋_GB2312" w:cs="仿宋_GB2312"/>
        </w:rPr>
      </w:pPr>
      <w:bookmarkStart w:id="38" w:name="bookmark44"/>
      <w:r>
        <w:rPr>
          <w:rFonts w:hint="eastAsia" w:ascii="仿宋_GB2312" w:hAnsi="仿宋_GB2312" w:eastAsia="仿宋_GB2312" w:cs="仿宋_GB2312"/>
          <w:lang w:val="zh-CN" w:eastAsia="zh-CN"/>
        </w:rPr>
        <w:t>（</w:t>
      </w:r>
      <w:bookmarkEnd w:id="38"/>
      <w:r>
        <w:rPr>
          <w:rFonts w:hint="eastAsia" w:ascii="仿宋_GB2312" w:hAnsi="仿宋_GB2312" w:eastAsia="仿宋_GB2312" w:cs="仿宋_GB2312"/>
          <w:lang w:val="zh-CN" w:eastAsia="zh-CN"/>
        </w:rPr>
        <w:t>4）</w:t>
      </w:r>
      <w:r>
        <w:rPr>
          <w:rFonts w:hint="eastAsia" w:ascii="仿宋_GB2312" w:hAnsi="仿宋_GB2312" w:eastAsia="仿宋_GB2312" w:cs="仿宋_GB2312"/>
        </w:rPr>
        <w:t>《中华人民共和国水污染防治法》（2008年6月1日施行）;</w:t>
      </w:r>
    </w:p>
    <w:p w14:paraId="2296265F">
      <w:pPr>
        <w:pStyle w:val="27"/>
        <w:bidi w:val="0"/>
        <w:rPr>
          <w:rFonts w:hint="eastAsia" w:ascii="仿宋_GB2312" w:hAnsi="仿宋_GB2312" w:eastAsia="仿宋_GB2312" w:cs="仿宋_GB2312"/>
        </w:rPr>
      </w:pPr>
      <w:bookmarkStart w:id="39" w:name="bookmark45"/>
      <w:r>
        <w:rPr>
          <w:rFonts w:hint="eastAsia" w:ascii="仿宋_GB2312" w:hAnsi="仿宋_GB2312" w:eastAsia="仿宋_GB2312" w:cs="仿宋_GB2312"/>
        </w:rPr>
        <w:t>（</w:t>
      </w:r>
      <w:bookmarkEnd w:id="39"/>
      <w:r>
        <w:rPr>
          <w:rFonts w:hint="eastAsia" w:ascii="仿宋_GB2312" w:hAnsi="仿宋_GB2312" w:eastAsia="仿宋_GB2312" w:cs="仿宋_GB2312"/>
        </w:rPr>
        <w:t>5）《中华人民共和国水污染防治法实施细则》（2000年3月20日施行）；</w:t>
      </w:r>
    </w:p>
    <w:p w14:paraId="62159B42">
      <w:pPr>
        <w:pStyle w:val="27"/>
        <w:bidi w:val="0"/>
        <w:rPr>
          <w:rFonts w:hint="eastAsia" w:ascii="仿宋_GB2312" w:hAnsi="仿宋_GB2312" w:eastAsia="仿宋_GB2312" w:cs="仿宋_GB2312"/>
        </w:rPr>
      </w:pPr>
      <w:bookmarkStart w:id="40" w:name="bookmark46"/>
      <w:r>
        <w:rPr>
          <w:rFonts w:hint="eastAsia" w:ascii="仿宋_GB2312" w:hAnsi="仿宋_GB2312" w:eastAsia="仿宋_GB2312" w:cs="仿宋_GB2312"/>
        </w:rPr>
        <w:t>（</w:t>
      </w:r>
      <w:bookmarkEnd w:id="40"/>
      <w:r>
        <w:rPr>
          <w:rFonts w:hint="eastAsia" w:ascii="仿宋_GB2312" w:hAnsi="仿宋_GB2312" w:eastAsia="仿宋_GB2312" w:cs="仿宋_GB2312"/>
        </w:rPr>
        <w:t>6）《中华人民共和国环境噪声污染防治法》（1997年3月1日施行）；</w:t>
      </w:r>
    </w:p>
    <w:p w14:paraId="21442E8A">
      <w:pPr>
        <w:pStyle w:val="27"/>
        <w:bidi w:val="0"/>
        <w:rPr>
          <w:rFonts w:hint="eastAsia" w:ascii="仿宋_GB2312" w:hAnsi="仿宋_GB2312" w:eastAsia="仿宋_GB2312" w:cs="仿宋_GB2312"/>
        </w:rPr>
      </w:pPr>
      <w:bookmarkStart w:id="41" w:name="bookmark47"/>
      <w:r>
        <w:rPr>
          <w:rFonts w:hint="eastAsia" w:ascii="仿宋_GB2312" w:hAnsi="仿宋_GB2312" w:eastAsia="仿宋_GB2312" w:cs="仿宋_GB2312"/>
        </w:rPr>
        <w:t>（</w:t>
      </w:r>
      <w:bookmarkEnd w:id="41"/>
      <w:r>
        <w:rPr>
          <w:rFonts w:hint="eastAsia" w:ascii="仿宋_GB2312" w:hAnsi="仿宋_GB2312" w:eastAsia="仿宋_GB2312" w:cs="仿宋_GB2312"/>
        </w:rPr>
        <w:t>7）《中华人民共和国安全生产法》（2002年11月1日施行）;</w:t>
      </w:r>
    </w:p>
    <w:p w14:paraId="33ED830E">
      <w:pPr>
        <w:pStyle w:val="27"/>
        <w:bidi w:val="0"/>
        <w:rPr>
          <w:rFonts w:hint="eastAsia" w:ascii="仿宋_GB2312" w:hAnsi="仿宋_GB2312" w:eastAsia="仿宋_GB2312" w:cs="仿宋_GB2312"/>
        </w:rPr>
      </w:pPr>
      <w:bookmarkStart w:id="42" w:name="bookmark48"/>
      <w:r>
        <w:rPr>
          <w:rFonts w:hint="eastAsia" w:ascii="仿宋_GB2312" w:hAnsi="仿宋_GB2312" w:eastAsia="仿宋_GB2312" w:cs="仿宋_GB2312"/>
        </w:rPr>
        <w:t>（</w:t>
      </w:r>
      <w:bookmarkEnd w:id="42"/>
      <w:r>
        <w:rPr>
          <w:rFonts w:hint="eastAsia" w:ascii="仿宋_GB2312" w:hAnsi="仿宋_GB2312" w:eastAsia="仿宋_GB2312" w:cs="仿宋_GB2312"/>
        </w:rPr>
        <w:t>8）《建设项目环境保护管理条例》（</w:t>
      </w:r>
      <w:r>
        <w:rPr>
          <w:rFonts w:hint="eastAsia" w:ascii="仿宋_GB2312" w:hAnsi="仿宋_GB2312" w:eastAsia="仿宋_GB2312" w:cs="仿宋_GB2312"/>
          <w:lang w:eastAsia="zh-CN"/>
        </w:rPr>
        <w:t>国务院令第</w:t>
      </w:r>
      <w:r>
        <w:rPr>
          <w:rFonts w:hint="eastAsia" w:ascii="仿宋_GB2312" w:hAnsi="仿宋_GB2312" w:eastAsia="仿宋_GB2312" w:cs="仿宋_GB2312"/>
        </w:rPr>
        <w:t>253号）；</w:t>
      </w:r>
    </w:p>
    <w:p w14:paraId="10FE886E">
      <w:pPr>
        <w:pStyle w:val="27"/>
        <w:bidi w:val="0"/>
        <w:rPr>
          <w:rFonts w:hint="eastAsia" w:ascii="仿宋_GB2312" w:hAnsi="仿宋_GB2312" w:eastAsia="仿宋_GB2312" w:cs="仿宋_GB2312"/>
        </w:rPr>
      </w:pPr>
      <w:bookmarkStart w:id="43" w:name="bookmark49"/>
      <w:r>
        <w:rPr>
          <w:rFonts w:hint="eastAsia" w:ascii="仿宋_GB2312" w:hAnsi="仿宋_GB2312" w:eastAsia="仿宋_GB2312" w:cs="仿宋_GB2312"/>
        </w:rPr>
        <w:t>（</w:t>
      </w:r>
      <w:bookmarkEnd w:id="43"/>
      <w:r>
        <w:rPr>
          <w:rFonts w:hint="eastAsia" w:ascii="仿宋_GB2312" w:hAnsi="仿宋_GB2312" w:eastAsia="仿宋_GB2312" w:cs="仿宋_GB2312"/>
        </w:rPr>
        <w:t>9）《中华人民共和国土地管理法（2019年修正本）》（2004年8月28号中华人民共和国主席令第二十八号）；</w:t>
      </w:r>
    </w:p>
    <w:p w14:paraId="390AC7D3">
      <w:pPr>
        <w:pStyle w:val="27"/>
        <w:bidi w:val="0"/>
        <w:rPr>
          <w:rFonts w:hint="eastAsia" w:ascii="仿宋_GB2312" w:hAnsi="仿宋_GB2312" w:eastAsia="仿宋_GB2312" w:cs="仿宋_GB2312"/>
        </w:rPr>
      </w:pPr>
      <w:bookmarkStart w:id="44" w:name="bookmark50"/>
      <w:r>
        <w:rPr>
          <w:rFonts w:hint="eastAsia" w:ascii="仿宋_GB2312" w:hAnsi="仿宋_GB2312" w:eastAsia="仿宋_GB2312" w:cs="仿宋_GB2312"/>
        </w:rPr>
        <w:t>（</w:t>
      </w:r>
      <w:bookmarkEnd w:id="44"/>
      <w:r>
        <w:rPr>
          <w:rFonts w:hint="eastAsia" w:ascii="仿宋_GB2312" w:hAnsi="仿宋_GB2312" w:eastAsia="仿宋_GB2312" w:cs="仿宋_GB2312"/>
        </w:rPr>
        <w:t>10）《中华人民共和国水土保持法》（2010年12月25日修订）；</w:t>
      </w:r>
    </w:p>
    <w:p w14:paraId="532EA33B">
      <w:pPr>
        <w:pStyle w:val="27"/>
        <w:bidi w:val="0"/>
        <w:rPr>
          <w:rFonts w:hint="eastAsia" w:ascii="仿宋_GB2312" w:hAnsi="仿宋_GB2312" w:eastAsia="仿宋_GB2312" w:cs="仿宋_GB2312"/>
        </w:rPr>
      </w:pPr>
      <w:bookmarkStart w:id="45" w:name="bookmark51"/>
      <w:r>
        <w:rPr>
          <w:rFonts w:hint="eastAsia" w:ascii="仿宋_GB2312" w:hAnsi="仿宋_GB2312" w:eastAsia="仿宋_GB2312" w:cs="仿宋_GB2312"/>
        </w:rPr>
        <w:t>（</w:t>
      </w:r>
      <w:bookmarkEnd w:id="45"/>
      <w:r>
        <w:rPr>
          <w:rFonts w:hint="eastAsia" w:ascii="仿宋_GB2312" w:hAnsi="仿宋_GB2312" w:eastAsia="仿宋_GB2312" w:cs="仿宋_GB2312"/>
        </w:rPr>
        <w:t>11）《中华人民共和国水土保持法实施条例》（2011年1月8日修正）；</w:t>
      </w:r>
    </w:p>
    <w:p w14:paraId="3719EEA0">
      <w:pPr>
        <w:pStyle w:val="29"/>
        <w:bidi w:val="0"/>
        <w:rPr>
          <w:rFonts w:hint="eastAsia" w:ascii="仿宋_GB2312" w:hAnsi="仿宋_GB2312" w:eastAsia="仿宋_GB2312" w:cs="仿宋_GB2312"/>
        </w:rPr>
      </w:pPr>
      <w:bookmarkStart w:id="46" w:name="bookmark52"/>
      <w:bookmarkStart w:id="47" w:name="bookmark55"/>
      <w:bookmarkStart w:id="48" w:name="_Toc28312"/>
      <w:bookmarkStart w:id="49" w:name="bookmark53"/>
      <w:r>
        <w:rPr>
          <w:rFonts w:hint="eastAsia" w:ascii="仿宋_GB2312" w:hAnsi="仿宋_GB2312" w:eastAsia="仿宋_GB2312" w:cs="仿宋_GB2312"/>
          <w:lang w:val="en-US" w:eastAsia="en-US"/>
        </w:rPr>
        <w:t>1.4.2</w:t>
      </w:r>
      <w:r>
        <w:rPr>
          <w:rFonts w:hint="eastAsia" w:ascii="仿宋_GB2312" w:hAnsi="仿宋_GB2312" w:eastAsia="仿宋_GB2312" w:cs="仿宋_GB2312"/>
        </w:rPr>
        <w:t>技术导则、标准及规范</w:t>
      </w:r>
      <w:bookmarkEnd w:id="46"/>
      <w:bookmarkEnd w:id="47"/>
      <w:bookmarkEnd w:id="48"/>
      <w:bookmarkEnd w:id="49"/>
    </w:p>
    <w:p w14:paraId="3800E77E">
      <w:pPr>
        <w:pStyle w:val="27"/>
        <w:keepNext w:val="0"/>
        <w:keepLines w:val="0"/>
        <w:pageBreakBefore w:val="0"/>
        <w:widowControl w:val="0"/>
        <w:shd w:val="clear" w:color="auto" w:fill="auto"/>
        <w:tabs>
          <w:tab w:val="left" w:pos="1301"/>
        </w:tabs>
        <w:kinsoku/>
        <w:wordWrap/>
        <w:overflowPunct/>
        <w:topLinePunct w:val="0"/>
        <w:autoSpaceDE/>
        <w:autoSpaceDN/>
        <w:bidi w:val="0"/>
        <w:adjustRightInd/>
        <w:snapToGrid/>
        <w:spacing w:before="0" w:after="0" w:line="560" w:lineRule="exact"/>
        <w:ind w:left="0" w:right="0" w:firstLine="580"/>
        <w:jc w:val="both"/>
        <w:textAlignment w:val="auto"/>
        <w:rPr>
          <w:rFonts w:hint="eastAsia" w:ascii="仿宋_GB2312" w:hAnsi="仿宋_GB2312" w:eastAsia="仿宋_GB2312" w:cs="仿宋_GB2312"/>
        </w:rPr>
      </w:pPr>
      <w:bookmarkStart w:id="50" w:name="bookmark56"/>
      <w:r>
        <w:rPr>
          <w:rFonts w:hint="eastAsia" w:ascii="仿宋_GB2312" w:hAnsi="仿宋_GB2312" w:eastAsia="仿宋_GB2312" w:cs="仿宋_GB2312"/>
          <w:color w:val="000000"/>
          <w:spacing w:val="0"/>
          <w:w w:val="100"/>
          <w:position w:val="0"/>
        </w:rPr>
        <w:t>（</w:t>
      </w:r>
      <w:bookmarkEnd w:id="50"/>
      <w:r>
        <w:rPr>
          <w:rFonts w:hint="eastAsia" w:ascii="仿宋_GB2312" w:hAnsi="仿宋_GB2312" w:eastAsia="仿宋_GB2312" w:cs="仿宋_GB2312"/>
          <w:color w:val="000000"/>
          <w:spacing w:val="0"/>
          <w:w w:val="100"/>
          <w:position w:val="0"/>
        </w:rPr>
        <w:t>1）</w:t>
      </w:r>
      <w:r>
        <w:rPr>
          <w:rFonts w:hint="eastAsia" w:ascii="仿宋_GB2312" w:hAnsi="仿宋_GB2312" w:eastAsia="仿宋_GB2312" w:cs="仿宋_GB2312"/>
          <w:color w:val="000000"/>
          <w:spacing w:val="0"/>
          <w:w w:val="100"/>
          <w:position w:val="0"/>
        </w:rPr>
        <w:tab/>
      </w:r>
      <w:r>
        <w:rPr>
          <w:rFonts w:hint="eastAsia" w:ascii="仿宋_GB2312" w:hAnsi="仿宋_GB2312" w:eastAsia="仿宋_GB2312" w:cs="仿宋_GB2312"/>
          <w:color w:val="000000"/>
          <w:spacing w:val="0"/>
          <w:w w:val="100"/>
          <w:position w:val="0"/>
        </w:rPr>
        <w:t>《建设用地土壤污染状况调查技术导则》</w:t>
      </w:r>
      <w:r>
        <w:rPr>
          <w:rFonts w:hint="eastAsia" w:ascii="仿宋_GB2312" w:hAnsi="仿宋_GB2312" w:eastAsia="仿宋_GB2312" w:cs="仿宋_GB2312"/>
          <w:color w:val="000000"/>
          <w:spacing w:val="0"/>
          <w:w w:val="100"/>
          <w:position w:val="0"/>
          <w:lang w:val="en-US" w:eastAsia="en-US" w:bidi="en-US"/>
        </w:rPr>
        <w:t>（HJ25.1-2019）</w:t>
      </w:r>
      <w:r>
        <w:rPr>
          <w:rFonts w:hint="eastAsia" w:ascii="仿宋_GB2312" w:hAnsi="仿宋_GB2312" w:eastAsia="仿宋_GB2312" w:cs="仿宋_GB2312"/>
          <w:color w:val="000000"/>
          <w:spacing w:val="0"/>
          <w:w w:val="100"/>
          <w:position w:val="0"/>
        </w:rPr>
        <w:t>；</w:t>
      </w:r>
    </w:p>
    <w:p w14:paraId="50D862B5">
      <w:pPr>
        <w:pStyle w:val="27"/>
        <w:keepNext w:val="0"/>
        <w:keepLines w:val="0"/>
        <w:pageBreakBefore w:val="0"/>
        <w:widowControl w:val="0"/>
        <w:shd w:val="clear" w:color="auto" w:fill="auto"/>
        <w:tabs>
          <w:tab w:val="left" w:pos="1301"/>
        </w:tabs>
        <w:kinsoku/>
        <w:wordWrap/>
        <w:overflowPunct/>
        <w:topLinePunct w:val="0"/>
        <w:autoSpaceDE/>
        <w:autoSpaceDN/>
        <w:bidi w:val="0"/>
        <w:adjustRightInd/>
        <w:snapToGrid/>
        <w:spacing w:before="0" w:after="0" w:line="560" w:lineRule="exact"/>
        <w:ind w:left="0" w:right="0" w:firstLine="580"/>
        <w:jc w:val="both"/>
        <w:textAlignment w:val="auto"/>
        <w:rPr>
          <w:rFonts w:hint="eastAsia" w:ascii="仿宋_GB2312" w:hAnsi="仿宋_GB2312" w:eastAsia="仿宋_GB2312" w:cs="仿宋_GB2312"/>
        </w:rPr>
      </w:pPr>
      <w:bookmarkStart w:id="51" w:name="bookmark57"/>
      <w:r>
        <w:rPr>
          <w:rFonts w:hint="eastAsia" w:ascii="仿宋_GB2312" w:hAnsi="仿宋_GB2312" w:eastAsia="仿宋_GB2312" w:cs="仿宋_GB2312"/>
          <w:color w:val="000000"/>
          <w:spacing w:val="0"/>
          <w:w w:val="100"/>
          <w:position w:val="0"/>
        </w:rPr>
        <w:t>（</w:t>
      </w:r>
      <w:bookmarkEnd w:id="51"/>
      <w:r>
        <w:rPr>
          <w:rFonts w:hint="eastAsia" w:ascii="仿宋_GB2312" w:hAnsi="仿宋_GB2312" w:eastAsia="仿宋_GB2312" w:cs="仿宋_GB2312"/>
          <w:color w:val="000000"/>
          <w:spacing w:val="0"/>
          <w:w w:val="100"/>
          <w:position w:val="0"/>
        </w:rPr>
        <w:t>2）</w:t>
      </w:r>
      <w:r>
        <w:rPr>
          <w:rFonts w:hint="eastAsia" w:ascii="仿宋_GB2312" w:hAnsi="仿宋_GB2312" w:eastAsia="仿宋_GB2312" w:cs="仿宋_GB2312"/>
          <w:color w:val="000000"/>
          <w:spacing w:val="0"/>
          <w:w w:val="100"/>
          <w:position w:val="0"/>
        </w:rPr>
        <w:tab/>
      </w:r>
      <w:r>
        <w:rPr>
          <w:rFonts w:hint="eastAsia" w:ascii="仿宋_GB2312" w:hAnsi="仿宋_GB2312" w:eastAsia="仿宋_GB2312" w:cs="仿宋_GB2312"/>
          <w:color w:val="000000"/>
          <w:spacing w:val="0"/>
          <w:w w:val="100"/>
          <w:position w:val="0"/>
        </w:rPr>
        <w:t>《建设用地土壤污染风险管控和修复监测技术导则》</w:t>
      </w:r>
      <w:r>
        <w:rPr>
          <w:rFonts w:hint="eastAsia" w:ascii="仿宋_GB2312" w:hAnsi="仿宋_GB2312" w:eastAsia="仿宋_GB2312" w:cs="仿宋_GB2312"/>
          <w:color w:val="000000"/>
          <w:spacing w:val="0"/>
          <w:w w:val="100"/>
          <w:position w:val="0"/>
          <w:lang w:val="en-US" w:eastAsia="en-US" w:bidi="en-US"/>
        </w:rPr>
        <w:t>（HJ25.2-2019）</w:t>
      </w:r>
      <w:r>
        <w:rPr>
          <w:rFonts w:hint="eastAsia" w:ascii="仿宋_GB2312" w:hAnsi="仿宋_GB2312" w:eastAsia="仿宋_GB2312" w:cs="仿宋_GB2312"/>
          <w:color w:val="000000"/>
          <w:spacing w:val="0"/>
          <w:w w:val="100"/>
          <w:position w:val="0"/>
        </w:rPr>
        <w:t>；</w:t>
      </w:r>
    </w:p>
    <w:p w14:paraId="0162C92E">
      <w:pPr>
        <w:pStyle w:val="27"/>
        <w:keepNext w:val="0"/>
        <w:keepLines w:val="0"/>
        <w:pageBreakBefore w:val="0"/>
        <w:widowControl w:val="0"/>
        <w:shd w:val="clear" w:color="auto" w:fill="auto"/>
        <w:tabs>
          <w:tab w:val="left" w:pos="1301"/>
        </w:tabs>
        <w:kinsoku/>
        <w:wordWrap/>
        <w:overflowPunct/>
        <w:topLinePunct w:val="0"/>
        <w:autoSpaceDE/>
        <w:autoSpaceDN/>
        <w:bidi w:val="0"/>
        <w:adjustRightInd/>
        <w:snapToGrid/>
        <w:spacing w:before="0" w:after="0" w:line="560" w:lineRule="exact"/>
        <w:ind w:left="0" w:right="0" w:firstLine="580"/>
        <w:jc w:val="both"/>
        <w:textAlignment w:val="auto"/>
        <w:rPr>
          <w:rFonts w:hint="eastAsia" w:ascii="仿宋_GB2312" w:hAnsi="仿宋_GB2312" w:eastAsia="仿宋_GB2312" w:cs="仿宋_GB2312"/>
        </w:rPr>
      </w:pPr>
      <w:bookmarkStart w:id="52" w:name="bookmark58"/>
      <w:r>
        <w:rPr>
          <w:rFonts w:hint="eastAsia" w:ascii="仿宋_GB2312" w:hAnsi="仿宋_GB2312" w:eastAsia="仿宋_GB2312" w:cs="仿宋_GB2312"/>
          <w:color w:val="000000"/>
          <w:spacing w:val="0"/>
          <w:w w:val="100"/>
          <w:position w:val="0"/>
        </w:rPr>
        <w:t>（</w:t>
      </w:r>
      <w:bookmarkEnd w:id="52"/>
      <w:r>
        <w:rPr>
          <w:rFonts w:hint="eastAsia" w:ascii="仿宋_GB2312" w:hAnsi="仿宋_GB2312" w:eastAsia="仿宋_GB2312" w:cs="仿宋_GB2312"/>
          <w:color w:val="000000"/>
          <w:spacing w:val="0"/>
          <w:w w:val="100"/>
          <w:position w:val="0"/>
        </w:rPr>
        <w:t>3）</w:t>
      </w:r>
      <w:r>
        <w:rPr>
          <w:rFonts w:hint="eastAsia" w:ascii="仿宋_GB2312" w:hAnsi="仿宋_GB2312" w:eastAsia="仿宋_GB2312" w:cs="仿宋_GB2312"/>
          <w:color w:val="000000"/>
          <w:spacing w:val="0"/>
          <w:w w:val="100"/>
          <w:position w:val="0"/>
        </w:rPr>
        <w:tab/>
      </w:r>
      <w:r>
        <w:rPr>
          <w:rFonts w:hint="eastAsia" w:ascii="仿宋_GB2312" w:hAnsi="仿宋_GB2312" w:eastAsia="仿宋_GB2312" w:cs="仿宋_GB2312"/>
          <w:color w:val="000000"/>
          <w:spacing w:val="0"/>
          <w:w w:val="100"/>
          <w:position w:val="0"/>
        </w:rPr>
        <w:t>《建设用地土壤污染风险评估技术导则》</w:t>
      </w:r>
      <w:r>
        <w:rPr>
          <w:rFonts w:hint="eastAsia" w:ascii="仿宋_GB2312" w:hAnsi="仿宋_GB2312" w:eastAsia="仿宋_GB2312" w:cs="仿宋_GB2312"/>
          <w:color w:val="000000"/>
          <w:spacing w:val="0"/>
          <w:w w:val="100"/>
          <w:position w:val="0"/>
          <w:lang w:val="en-US" w:eastAsia="en-US" w:bidi="en-US"/>
        </w:rPr>
        <w:t>（HJ25.3-2019）</w:t>
      </w:r>
      <w:r>
        <w:rPr>
          <w:rFonts w:hint="eastAsia" w:ascii="仿宋_GB2312" w:hAnsi="仿宋_GB2312" w:eastAsia="仿宋_GB2312" w:cs="仿宋_GB2312"/>
          <w:color w:val="000000"/>
          <w:spacing w:val="0"/>
          <w:w w:val="100"/>
          <w:position w:val="0"/>
        </w:rPr>
        <w:t>；</w:t>
      </w:r>
    </w:p>
    <w:p w14:paraId="6DEABAC3">
      <w:pPr>
        <w:pStyle w:val="27"/>
        <w:keepNext w:val="0"/>
        <w:keepLines w:val="0"/>
        <w:pageBreakBefore w:val="0"/>
        <w:widowControl w:val="0"/>
        <w:shd w:val="clear" w:color="auto" w:fill="auto"/>
        <w:tabs>
          <w:tab w:val="left" w:pos="1154"/>
        </w:tabs>
        <w:kinsoku/>
        <w:wordWrap/>
        <w:overflowPunct/>
        <w:topLinePunct w:val="0"/>
        <w:autoSpaceDE/>
        <w:autoSpaceDN/>
        <w:bidi w:val="0"/>
        <w:adjustRightInd/>
        <w:snapToGrid/>
        <w:spacing w:before="0" w:after="0" w:line="560" w:lineRule="exact"/>
        <w:ind w:left="0" w:right="0" w:firstLine="580"/>
        <w:jc w:val="both"/>
        <w:textAlignment w:val="auto"/>
        <w:rPr>
          <w:rFonts w:hint="eastAsia" w:ascii="仿宋_GB2312" w:hAnsi="仿宋_GB2312" w:eastAsia="仿宋_GB2312" w:cs="仿宋_GB2312"/>
        </w:rPr>
      </w:pPr>
      <w:bookmarkStart w:id="53" w:name="bookmark59"/>
      <w:r>
        <w:rPr>
          <w:rFonts w:hint="eastAsia" w:ascii="仿宋_GB2312" w:hAnsi="仿宋_GB2312" w:eastAsia="仿宋_GB2312" w:cs="仿宋_GB2312"/>
          <w:color w:val="000000"/>
          <w:spacing w:val="0"/>
          <w:w w:val="100"/>
          <w:position w:val="0"/>
        </w:rPr>
        <w:t>（</w:t>
      </w:r>
      <w:bookmarkEnd w:id="53"/>
      <w:r>
        <w:rPr>
          <w:rFonts w:hint="eastAsia" w:ascii="仿宋_GB2312" w:hAnsi="仿宋_GB2312" w:eastAsia="仿宋_GB2312" w:cs="仿宋_GB2312"/>
          <w:color w:val="000000"/>
          <w:spacing w:val="0"/>
          <w:w w:val="100"/>
          <w:position w:val="0"/>
        </w:rPr>
        <w:t>4）《工业企业土壤污染状况调查评估与修复工作指南（试行）》</w:t>
      </w:r>
    </w:p>
    <w:p w14:paraId="61EF722D">
      <w:pPr>
        <w:pStyle w:val="27"/>
        <w:keepNext w:val="0"/>
        <w:keepLines w:val="0"/>
        <w:pageBreakBefore w:val="0"/>
        <w:widowControl w:val="0"/>
        <w:shd w:val="clear" w:color="auto" w:fill="auto"/>
        <w:tabs>
          <w:tab w:val="left" w:pos="1301"/>
        </w:tabs>
        <w:kinsoku/>
        <w:wordWrap/>
        <w:overflowPunct/>
        <w:topLinePunct w:val="0"/>
        <w:autoSpaceDE/>
        <w:autoSpaceDN/>
        <w:bidi w:val="0"/>
        <w:adjustRightInd/>
        <w:snapToGrid/>
        <w:spacing w:before="0" w:after="0" w:line="560" w:lineRule="exact"/>
        <w:ind w:left="0" w:right="0" w:firstLine="560" w:firstLineChars="200"/>
        <w:jc w:val="both"/>
        <w:textAlignment w:val="auto"/>
        <w:rPr>
          <w:rFonts w:hint="eastAsia" w:ascii="仿宋_GB2312" w:hAnsi="仿宋_GB2312" w:eastAsia="仿宋_GB2312" w:cs="仿宋_GB2312"/>
        </w:rPr>
      </w:pPr>
      <w:bookmarkStart w:id="54" w:name="bookmark60"/>
      <w:r>
        <w:rPr>
          <w:rFonts w:hint="eastAsia" w:ascii="仿宋_GB2312" w:hAnsi="仿宋_GB2312" w:eastAsia="仿宋_GB2312" w:cs="仿宋_GB2312"/>
          <w:color w:val="000000"/>
          <w:spacing w:val="0"/>
          <w:w w:val="100"/>
          <w:position w:val="0"/>
        </w:rPr>
        <w:t>（</w:t>
      </w:r>
      <w:bookmarkEnd w:id="54"/>
      <w:r>
        <w:rPr>
          <w:rFonts w:hint="eastAsia" w:ascii="仿宋_GB2312" w:hAnsi="仿宋_GB2312" w:eastAsia="仿宋_GB2312" w:cs="仿宋_GB2312"/>
          <w:color w:val="000000"/>
          <w:spacing w:val="0"/>
          <w:w w:val="100"/>
          <w:position w:val="0"/>
        </w:rPr>
        <w:t>5）</w:t>
      </w:r>
      <w:r>
        <w:rPr>
          <w:rFonts w:hint="eastAsia" w:ascii="仿宋_GB2312" w:hAnsi="仿宋_GB2312" w:eastAsia="仿宋_GB2312" w:cs="仿宋_GB2312"/>
          <w:color w:val="000000"/>
          <w:spacing w:val="0"/>
          <w:w w:val="100"/>
          <w:position w:val="0"/>
        </w:rPr>
        <w:tab/>
      </w:r>
      <w:r>
        <w:rPr>
          <w:rFonts w:hint="eastAsia" w:ascii="仿宋_GB2312" w:hAnsi="仿宋_GB2312" w:eastAsia="仿宋_GB2312" w:cs="仿宋_GB2312"/>
          <w:color w:val="000000"/>
          <w:spacing w:val="0"/>
          <w:w w:val="100"/>
          <w:position w:val="0"/>
        </w:rPr>
        <w:t>《土壤环境质量建设用地土壤污染风险管控标准（试行）》</w:t>
      </w:r>
      <w:r>
        <w:rPr>
          <w:rFonts w:hint="eastAsia" w:ascii="仿宋_GB2312" w:hAnsi="仿宋_GB2312" w:eastAsia="仿宋_GB2312" w:cs="仿宋_GB2312"/>
          <w:color w:val="000000"/>
          <w:spacing w:val="0"/>
          <w:w w:val="100"/>
          <w:position w:val="0"/>
          <w:lang w:val="en-US" w:eastAsia="en-US" w:bidi="en-US"/>
        </w:rPr>
        <w:t>（GB36600-2018）</w:t>
      </w:r>
      <w:r>
        <w:rPr>
          <w:rFonts w:hint="eastAsia" w:ascii="仿宋_GB2312" w:hAnsi="仿宋_GB2312" w:eastAsia="仿宋_GB2312" w:cs="仿宋_GB2312"/>
          <w:color w:val="000000"/>
          <w:spacing w:val="0"/>
          <w:w w:val="100"/>
          <w:position w:val="0"/>
        </w:rPr>
        <w:t>；</w:t>
      </w:r>
    </w:p>
    <w:p w14:paraId="55FAE029">
      <w:pPr>
        <w:pStyle w:val="27"/>
        <w:keepNext w:val="0"/>
        <w:keepLines w:val="0"/>
        <w:pageBreakBefore w:val="0"/>
        <w:widowControl w:val="0"/>
        <w:shd w:val="clear" w:color="auto" w:fill="auto"/>
        <w:tabs>
          <w:tab w:val="left" w:pos="1301"/>
        </w:tabs>
        <w:kinsoku/>
        <w:wordWrap/>
        <w:overflowPunct/>
        <w:topLinePunct w:val="0"/>
        <w:autoSpaceDE/>
        <w:autoSpaceDN/>
        <w:bidi w:val="0"/>
        <w:adjustRightInd/>
        <w:snapToGrid/>
        <w:spacing w:before="0" w:after="0" w:line="560" w:lineRule="exact"/>
        <w:ind w:left="0" w:right="0" w:firstLine="560" w:firstLineChars="200"/>
        <w:jc w:val="both"/>
        <w:textAlignment w:val="auto"/>
        <w:rPr>
          <w:rFonts w:hint="eastAsia" w:ascii="仿宋_GB2312" w:hAnsi="仿宋_GB2312" w:eastAsia="仿宋_GB2312" w:cs="仿宋_GB2312"/>
        </w:rPr>
      </w:pPr>
      <w:bookmarkStart w:id="55" w:name="bookmark62"/>
      <w:r>
        <w:rPr>
          <w:rFonts w:hint="eastAsia" w:ascii="仿宋_GB2312" w:hAnsi="仿宋_GB2312" w:eastAsia="仿宋_GB2312" w:cs="仿宋_GB2312"/>
          <w:color w:val="000000"/>
          <w:spacing w:val="0"/>
          <w:w w:val="100"/>
          <w:position w:val="0"/>
        </w:rPr>
        <w:t>（</w:t>
      </w:r>
      <w:bookmarkEnd w:id="55"/>
      <w:r>
        <w:rPr>
          <w:rFonts w:hint="eastAsia" w:ascii="仿宋_GB2312" w:hAnsi="仿宋_GB2312" w:eastAsia="仿宋_GB2312" w:cs="仿宋_GB2312"/>
          <w:color w:val="000000"/>
          <w:spacing w:val="0"/>
          <w:w w:val="100"/>
          <w:position w:val="0"/>
          <w:lang w:val="en-US" w:eastAsia="zh-CN"/>
        </w:rPr>
        <w:t>6</w:t>
      </w:r>
      <w:r>
        <w:rPr>
          <w:rFonts w:hint="eastAsia" w:ascii="仿宋_GB2312" w:hAnsi="仿宋_GB2312" w:eastAsia="仿宋_GB2312" w:cs="仿宋_GB2312"/>
          <w:color w:val="000000"/>
          <w:spacing w:val="0"/>
          <w:w w:val="100"/>
          <w:position w:val="0"/>
        </w:rPr>
        <w:t>）</w:t>
      </w:r>
      <w:r>
        <w:rPr>
          <w:rFonts w:hint="eastAsia" w:ascii="仿宋_GB2312" w:hAnsi="仿宋_GB2312" w:eastAsia="仿宋_GB2312" w:cs="仿宋_GB2312"/>
          <w:color w:val="000000"/>
          <w:spacing w:val="0"/>
          <w:w w:val="100"/>
          <w:position w:val="0"/>
        </w:rPr>
        <w:tab/>
      </w:r>
      <w:r>
        <w:rPr>
          <w:rFonts w:hint="eastAsia" w:ascii="仿宋_GB2312" w:hAnsi="仿宋_GB2312" w:eastAsia="仿宋_GB2312" w:cs="仿宋_GB2312"/>
          <w:color w:val="000000"/>
          <w:spacing w:val="0"/>
          <w:w w:val="100"/>
          <w:position w:val="0"/>
        </w:rPr>
        <w:t>《土壤环境质量农用地土壤污染风险管控标准（试行）》</w:t>
      </w:r>
    </w:p>
    <w:p w14:paraId="4B6256A3">
      <w:pPr>
        <w:pStyle w:val="31"/>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560" w:firstLineChars="200"/>
        <w:jc w:val="both"/>
        <w:textAlignment w:val="auto"/>
        <w:rPr>
          <w:rFonts w:hint="eastAsia" w:ascii="仿宋_GB2312" w:hAnsi="仿宋_GB2312" w:eastAsia="仿宋_GB2312" w:cs="仿宋_GB2312"/>
        </w:rPr>
      </w:pPr>
      <w:r>
        <w:rPr>
          <w:rFonts w:hint="eastAsia" w:ascii="仿宋_GB2312" w:hAnsi="仿宋_GB2312" w:eastAsia="仿宋_GB2312" w:cs="仿宋_GB2312"/>
          <w:color w:val="000000"/>
          <w:spacing w:val="0"/>
          <w:w w:val="100"/>
          <w:position w:val="0"/>
          <w:lang w:val="en-US" w:eastAsia="en-US" w:bidi="en-US"/>
        </w:rPr>
        <w:t>（GB15618-2018）</w:t>
      </w:r>
      <w:r>
        <w:rPr>
          <w:rFonts w:hint="eastAsia" w:ascii="仿宋_GB2312" w:hAnsi="仿宋_GB2312" w:eastAsia="仿宋_GB2312" w:cs="仿宋_GB2312"/>
          <w:color w:val="000000"/>
          <w:spacing w:val="0"/>
          <w:w w:val="100"/>
          <w:position w:val="0"/>
        </w:rPr>
        <w:t>；</w:t>
      </w:r>
    </w:p>
    <w:p w14:paraId="03208D41">
      <w:pPr>
        <w:pStyle w:val="27"/>
        <w:keepNext w:val="0"/>
        <w:keepLines w:val="0"/>
        <w:pageBreakBefore w:val="0"/>
        <w:widowControl w:val="0"/>
        <w:shd w:val="clear" w:color="auto" w:fill="auto"/>
        <w:tabs>
          <w:tab w:val="left" w:pos="1154"/>
        </w:tabs>
        <w:kinsoku/>
        <w:wordWrap/>
        <w:overflowPunct/>
        <w:topLinePunct w:val="0"/>
        <w:autoSpaceDE/>
        <w:autoSpaceDN/>
        <w:bidi w:val="0"/>
        <w:adjustRightInd/>
        <w:snapToGrid/>
        <w:spacing w:before="0" w:after="0" w:line="560" w:lineRule="exact"/>
        <w:ind w:left="0" w:right="0" w:firstLine="560" w:firstLineChars="200"/>
        <w:jc w:val="both"/>
        <w:textAlignment w:val="auto"/>
        <w:rPr>
          <w:rFonts w:hint="eastAsia" w:ascii="仿宋_GB2312" w:hAnsi="仿宋_GB2312" w:eastAsia="仿宋_GB2312" w:cs="仿宋_GB2312"/>
        </w:rPr>
      </w:pPr>
      <w:bookmarkStart w:id="56" w:name="bookmark63"/>
      <w:r>
        <w:rPr>
          <w:rFonts w:hint="eastAsia" w:ascii="仿宋_GB2312" w:hAnsi="仿宋_GB2312" w:eastAsia="仿宋_GB2312" w:cs="仿宋_GB2312"/>
          <w:color w:val="000000"/>
          <w:spacing w:val="0"/>
          <w:w w:val="100"/>
          <w:position w:val="0"/>
        </w:rPr>
        <w:t>（</w:t>
      </w:r>
      <w:bookmarkEnd w:id="56"/>
      <w:r>
        <w:rPr>
          <w:rFonts w:hint="eastAsia" w:ascii="仿宋_GB2312" w:hAnsi="仿宋_GB2312" w:eastAsia="仿宋_GB2312" w:cs="仿宋_GB2312"/>
          <w:color w:val="000000"/>
          <w:spacing w:val="0"/>
          <w:w w:val="100"/>
          <w:position w:val="0"/>
          <w:lang w:val="en-US" w:eastAsia="zh-CN"/>
        </w:rPr>
        <w:t>7</w:t>
      </w:r>
      <w:r>
        <w:rPr>
          <w:rFonts w:hint="eastAsia" w:ascii="仿宋_GB2312" w:hAnsi="仿宋_GB2312" w:eastAsia="仿宋_GB2312" w:cs="仿宋_GB2312"/>
          <w:color w:val="000000"/>
          <w:spacing w:val="0"/>
          <w:w w:val="100"/>
          <w:position w:val="0"/>
        </w:rPr>
        <w:t>）《场地土壤环境风险评价筛选值》（北京</w:t>
      </w:r>
      <w:r>
        <w:rPr>
          <w:rFonts w:hint="eastAsia" w:ascii="仿宋_GB2312" w:hAnsi="仿宋_GB2312" w:eastAsia="仿宋_GB2312" w:cs="仿宋_GB2312"/>
          <w:color w:val="000000"/>
          <w:spacing w:val="0"/>
          <w:w w:val="100"/>
          <w:position w:val="0"/>
          <w:lang w:val="en-US" w:eastAsia="en-US" w:bidi="en-US"/>
        </w:rPr>
        <w:t>DB11/T811-2011）；</w:t>
      </w:r>
    </w:p>
    <w:p w14:paraId="3D902C26">
      <w:pPr>
        <w:pStyle w:val="27"/>
        <w:keepNext w:val="0"/>
        <w:keepLines w:val="0"/>
        <w:pageBreakBefore w:val="0"/>
        <w:widowControl w:val="0"/>
        <w:numPr>
          <w:ilvl w:val="0"/>
          <w:numId w:val="0"/>
        </w:numPr>
        <w:shd w:val="clear" w:color="auto" w:fill="auto"/>
        <w:tabs>
          <w:tab w:val="left" w:pos="1384"/>
        </w:tabs>
        <w:kinsoku/>
        <w:wordWrap/>
        <w:overflowPunct/>
        <w:topLinePunct w:val="0"/>
        <w:autoSpaceDE/>
        <w:autoSpaceDN/>
        <w:bidi w:val="0"/>
        <w:adjustRightInd/>
        <w:snapToGrid/>
        <w:spacing w:before="0" w:after="0" w:line="560" w:lineRule="exact"/>
        <w:ind w:left="0" w:leftChars="0" w:right="0" w:rightChars="0" w:firstLine="560" w:firstLineChars="200"/>
        <w:jc w:val="both"/>
        <w:textAlignment w:val="auto"/>
        <w:rPr>
          <w:rFonts w:hint="eastAsia" w:ascii="仿宋_GB2312" w:hAnsi="仿宋_GB2312" w:eastAsia="仿宋_GB2312" w:cs="仿宋_GB2312"/>
        </w:rPr>
      </w:pPr>
      <w:bookmarkStart w:id="57" w:name="bookmark64"/>
      <w:bookmarkEnd w:id="57"/>
      <w:r>
        <w:rPr>
          <w:rFonts w:hint="eastAsia" w:ascii="仿宋_GB2312" w:hAnsi="仿宋_GB2312" w:eastAsia="仿宋_GB2312" w:cs="仿宋_GB2312"/>
          <w:color w:val="000000"/>
          <w:spacing w:val="0"/>
          <w:w w:val="100"/>
          <w:position w:val="0"/>
          <w:lang w:eastAsia="zh-CN"/>
        </w:rPr>
        <w:t>（</w:t>
      </w:r>
      <w:r>
        <w:rPr>
          <w:rFonts w:hint="eastAsia" w:ascii="仿宋_GB2312" w:hAnsi="仿宋_GB2312" w:eastAsia="仿宋_GB2312" w:cs="仿宋_GB2312"/>
          <w:color w:val="000000"/>
          <w:spacing w:val="0"/>
          <w:w w:val="100"/>
          <w:position w:val="0"/>
          <w:lang w:val="en-US" w:eastAsia="zh-CN"/>
        </w:rPr>
        <w:t>8</w:t>
      </w:r>
      <w:r>
        <w:rPr>
          <w:rFonts w:hint="eastAsia" w:ascii="仿宋_GB2312" w:hAnsi="仿宋_GB2312" w:eastAsia="仿宋_GB2312" w:cs="仿宋_GB2312"/>
          <w:color w:val="000000"/>
          <w:spacing w:val="0"/>
          <w:w w:val="100"/>
          <w:position w:val="0"/>
          <w:lang w:eastAsia="zh-CN"/>
        </w:rPr>
        <w:t>）</w:t>
      </w:r>
      <w:r>
        <w:rPr>
          <w:rFonts w:hint="eastAsia" w:ascii="仿宋_GB2312" w:hAnsi="仿宋_GB2312" w:eastAsia="仿宋_GB2312" w:cs="仿宋_GB2312"/>
          <w:color w:val="000000"/>
          <w:spacing w:val="0"/>
          <w:w w:val="100"/>
          <w:position w:val="0"/>
        </w:rPr>
        <w:t>《危险废物鉴别技术规范》</w:t>
      </w:r>
      <w:r>
        <w:rPr>
          <w:rFonts w:hint="eastAsia" w:ascii="仿宋_GB2312" w:hAnsi="仿宋_GB2312" w:eastAsia="仿宋_GB2312" w:cs="仿宋_GB2312"/>
          <w:color w:val="000000"/>
          <w:spacing w:val="0"/>
          <w:w w:val="100"/>
          <w:position w:val="0"/>
          <w:lang w:val="en-US" w:eastAsia="en-US" w:bidi="en-US"/>
        </w:rPr>
        <w:t>(HJ298-2019)</w:t>
      </w:r>
      <w:r>
        <w:rPr>
          <w:rFonts w:hint="eastAsia" w:ascii="仿宋_GB2312" w:hAnsi="仿宋_GB2312" w:eastAsia="仿宋_GB2312" w:cs="仿宋_GB2312"/>
          <w:color w:val="000000"/>
          <w:spacing w:val="0"/>
          <w:w w:val="100"/>
          <w:position w:val="0"/>
        </w:rPr>
        <w:t>；</w:t>
      </w:r>
    </w:p>
    <w:p w14:paraId="0FCA1AC6">
      <w:pPr>
        <w:pStyle w:val="27"/>
        <w:keepNext w:val="0"/>
        <w:keepLines w:val="0"/>
        <w:pageBreakBefore w:val="0"/>
        <w:widowControl w:val="0"/>
        <w:numPr>
          <w:ilvl w:val="0"/>
          <w:numId w:val="0"/>
        </w:numPr>
        <w:shd w:val="clear" w:color="auto" w:fill="auto"/>
        <w:tabs>
          <w:tab w:val="left" w:pos="1384"/>
        </w:tabs>
        <w:kinsoku/>
        <w:wordWrap/>
        <w:overflowPunct/>
        <w:topLinePunct w:val="0"/>
        <w:autoSpaceDE/>
        <w:autoSpaceDN/>
        <w:bidi w:val="0"/>
        <w:adjustRightInd/>
        <w:snapToGrid/>
        <w:spacing w:before="0" w:after="0" w:line="560" w:lineRule="exact"/>
        <w:ind w:left="0" w:leftChars="0" w:right="0" w:rightChars="0" w:firstLine="560" w:firstLineChars="200"/>
        <w:jc w:val="both"/>
        <w:textAlignment w:val="auto"/>
        <w:rPr>
          <w:rFonts w:hint="eastAsia" w:ascii="仿宋_GB2312" w:hAnsi="仿宋_GB2312" w:eastAsia="仿宋_GB2312" w:cs="仿宋_GB2312"/>
        </w:rPr>
      </w:pPr>
      <w:bookmarkStart w:id="58" w:name="bookmark65"/>
      <w:bookmarkEnd w:id="58"/>
      <w:r>
        <w:rPr>
          <w:rFonts w:hint="eastAsia" w:ascii="仿宋_GB2312" w:hAnsi="仿宋_GB2312" w:eastAsia="仿宋_GB2312" w:cs="仿宋_GB2312"/>
          <w:color w:val="000000"/>
          <w:spacing w:val="0"/>
          <w:w w:val="100"/>
          <w:position w:val="0"/>
          <w:lang w:eastAsia="zh-CN"/>
        </w:rPr>
        <w:t>（</w:t>
      </w:r>
      <w:r>
        <w:rPr>
          <w:rFonts w:hint="eastAsia" w:ascii="仿宋_GB2312" w:hAnsi="仿宋_GB2312" w:eastAsia="仿宋_GB2312" w:cs="仿宋_GB2312"/>
          <w:color w:val="000000"/>
          <w:spacing w:val="0"/>
          <w:w w:val="100"/>
          <w:position w:val="0"/>
          <w:lang w:val="en-US" w:eastAsia="zh-CN"/>
        </w:rPr>
        <w:t>9</w:t>
      </w:r>
      <w:r>
        <w:rPr>
          <w:rFonts w:hint="eastAsia" w:ascii="仿宋_GB2312" w:hAnsi="仿宋_GB2312" w:eastAsia="仿宋_GB2312" w:cs="仿宋_GB2312"/>
          <w:color w:val="000000"/>
          <w:spacing w:val="0"/>
          <w:w w:val="100"/>
          <w:position w:val="0"/>
          <w:lang w:eastAsia="zh-CN"/>
        </w:rPr>
        <w:t>）</w:t>
      </w:r>
      <w:r>
        <w:rPr>
          <w:rFonts w:hint="eastAsia" w:ascii="仿宋_GB2312" w:hAnsi="仿宋_GB2312" w:eastAsia="仿宋_GB2312" w:cs="仿宋_GB2312"/>
          <w:color w:val="000000"/>
          <w:spacing w:val="0"/>
          <w:w w:val="100"/>
          <w:position w:val="0"/>
        </w:rPr>
        <w:t>《危险废物鉴别标准》</w:t>
      </w:r>
      <w:r>
        <w:rPr>
          <w:rFonts w:hint="eastAsia" w:ascii="仿宋_GB2312" w:hAnsi="仿宋_GB2312" w:eastAsia="仿宋_GB2312" w:cs="仿宋_GB2312"/>
          <w:color w:val="000000"/>
          <w:spacing w:val="0"/>
          <w:w w:val="100"/>
          <w:position w:val="0"/>
          <w:lang w:val="en-US" w:eastAsia="en-US" w:bidi="en-US"/>
        </w:rPr>
        <w:t>(GB5085-2007)</w:t>
      </w:r>
      <w:r>
        <w:rPr>
          <w:rFonts w:hint="eastAsia" w:ascii="仿宋_GB2312" w:hAnsi="仿宋_GB2312" w:eastAsia="仿宋_GB2312" w:cs="仿宋_GB2312"/>
          <w:color w:val="000000"/>
          <w:spacing w:val="0"/>
          <w:w w:val="100"/>
          <w:position w:val="0"/>
        </w:rPr>
        <w:t>；</w:t>
      </w:r>
    </w:p>
    <w:p w14:paraId="46B9AE05">
      <w:pPr>
        <w:pStyle w:val="27"/>
        <w:keepNext w:val="0"/>
        <w:keepLines w:val="0"/>
        <w:pageBreakBefore w:val="0"/>
        <w:widowControl w:val="0"/>
        <w:numPr>
          <w:ilvl w:val="0"/>
          <w:numId w:val="0"/>
        </w:numPr>
        <w:shd w:val="clear" w:color="auto" w:fill="auto"/>
        <w:tabs>
          <w:tab w:val="left" w:pos="1384"/>
        </w:tabs>
        <w:kinsoku/>
        <w:wordWrap/>
        <w:overflowPunct/>
        <w:topLinePunct w:val="0"/>
        <w:autoSpaceDE/>
        <w:autoSpaceDN/>
        <w:bidi w:val="0"/>
        <w:adjustRightInd/>
        <w:snapToGrid/>
        <w:spacing w:before="0" w:after="0" w:line="560" w:lineRule="exact"/>
        <w:ind w:left="0" w:leftChars="0" w:right="0" w:rightChars="0" w:firstLine="560" w:firstLineChars="200"/>
        <w:jc w:val="both"/>
        <w:textAlignment w:val="auto"/>
        <w:rPr>
          <w:rFonts w:hint="eastAsia" w:ascii="仿宋_GB2312" w:hAnsi="仿宋_GB2312" w:eastAsia="仿宋_GB2312" w:cs="仿宋_GB2312"/>
        </w:rPr>
      </w:pPr>
      <w:bookmarkStart w:id="59" w:name="bookmark66"/>
      <w:bookmarkEnd w:id="59"/>
      <w:r>
        <w:rPr>
          <w:rFonts w:hint="eastAsia" w:ascii="仿宋_GB2312" w:hAnsi="仿宋_GB2312" w:eastAsia="仿宋_GB2312" w:cs="仿宋_GB2312"/>
          <w:color w:val="000000"/>
          <w:spacing w:val="0"/>
          <w:w w:val="100"/>
          <w:position w:val="0"/>
          <w:lang w:eastAsia="zh-CN"/>
        </w:rPr>
        <w:t>（</w:t>
      </w:r>
      <w:r>
        <w:rPr>
          <w:rFonts w:hint="eastAsia" w:ascii="仿宋_GB2312" w:hAnsi="仿宋_GB2312" w:eastAsia="仿宋_GB2312" w:cs="仿宋_GB2312"/>
          <w:color w:val="000000"/>
          <w:spacing w:val="0"/>
          <w:w w:val="100"/>
          <w:position w:val="0"/>
          <w:lang w:val="en-US" w:eastAsia="zh-CN"/>
        </w:rPr>
        <w:t>10</w:t>
      </w:r>
      <w:r>
        <w:rPr>
          <w:rFonts w:hint="eastAsia" w:ascii="仿宋_GB2312" w:hAnsi="仿宋_GB2312" w:eastAsia="仿宋_GB2312" w:cs="仿宋_GB2312"/>
          <w:color w:val="000000"/>
          <w:spacing w:val="0"/>
          <w:w w:val="100"/>
          <w:position w:val="0"/>
          <w:lang w:eastAsia="zh-CN"/>
        </w:rPr>
        <w:t>）</w:t>
      </w:r>
      <w:r>
        <w:rPr>
          <w:rFonts w:hint="eastAsia" w:ascii="仿宋_GB2312" w:hAnsi="仿宋_GB2312" w:eastAsia="仿宋_GB2312" w:cs="仿宋_GB2312"/>
          <w:color w:val="000000"/>
          <w:spacing w:val="0"/>
          <w:w w:val="100"/>
          <w:position w:val="0"/>
        </w:rPr>
        <w:t>《污水综合排放标准》</w:t>
      </w:r>
      <w:r>
        <w:rPr>
          <w:rFonts w:hint="eastAsia" w:ascii="仿宋_GB2312" w:hAnsi="仿宋_GB2312" w:eastAsia="仿宋_GB2312" w:cs="仿宋_GB2312"/>
          <w:color w:val="000000"/>
          <w:spacing w:val="0"/>
          <w:w w:val="100"/>
          <w:position w:val="0"/>
          <w:lang w:val="en-US" w:eastAsia="en-US" w:bidi="en-US"/>
        </w:rPr>
        <w:t>(GB8978-1996)</w:t>
      </w:r>
      <w:r>
        <w:rPr>
          <w:rFonts w:hint="eastAsia" w:ascii="仿宋_GB2312" w:hAnsi="仿宋_GB2312" w:eastAsia="仿宋_GB2312" w:cs="仿宋_GB2312"/>
          <w:color w:val="000000"/>
          <w:spacing w:val="0"/>
          <w:w w:val="100"/>
          <w:position w:val="0"/>
        </w:rPr>
        <w:t>；</w:t>
      </w:r>
    </w:p>
    <w:p w14:paraId="243E2574">
      <w:pPr>
        <w:pStyle w:val="27"/>
        <w:keepNext w:val="0"/>
        <w:keepLines w:val="0"/>
        <w:pageBreakBefore w:val="0"/>
        <w:widowControl w:val="0"/>
        <w:numPr>
          <w:ilvl w:val="0"/>
          <w:numId w:val="0"/>
        </w:numPr>
        <w:shd w:val="clear" w:color="auto" w:fill="auto"/>
        <w:tabs>
          <w:tab w:val="left" w:pos="1384"/>
        </w:tabs>
        <w:kinsoku/>
        <w:wordWrap/>
        <w:overflowPunct/>
        <w:topLinePunct w:val="0"/>
        <w:autoSpaceDE/>
        <w:autoSpaceDN/>
        <w:bidi w:val="0"/>
        <w:adjustRightInd/>
        <w:snapToGrid/>
        <w:spacing w:before="0" w:after="0" w:line="560" w:lineRule="exact"/>
        <w:ind w:left="0" w:leftChars="0" w:right="0" w:rightChars="0" w:firstLine="560" w:firstLineChars="200"/>
        <w:jc w:val="both"/>
        <w:textAlignment w:val="auto"/>
        <w:rPr>
          <w:rFonts w:hint="eastAsia" w:ascii="仿宋_GB2312" w:hAnsi="仿宋_GB2312" w:eastAsia="仿宋_GB2312" w:cs="仿宋_GB2312"/>
        </w:rPr>
      </w:pPr>
      <w:bookmarkStart w:id="60" w:name="bookmark67"/>
      <w:bookmarkEnd w:id="60"/>
      <w:r>
        <w:rPr>
          <w:rFonts w:hint="eastAsia" w:ascii="仿宋_GB2312" w:hAnsi="仿宋_GB2312" w:eastAsia="仿宋_GB2312" w:cs="仿宋_GB2312"/>
          <w:color w:val="000000"/>
          <w:spacing w:val="0"/>
          <w:w w:val="100"/>
          <w:position w:val="0"/>
          <w:lang w:eastAsia="zh-CN"/>
        </w:rPr>
        <w:t>（</w:t>
      </w:r>
      <w:r>
        <w:rPr>
          <w:rFonts w:hint="eastAsia" w:ascii="仿宋_GB2312" w:hAnsi="仿宋_GB2312" w:eastAsia="仿宋_GB2312" w:cs="仿宋_GB2312"/>
          <w:color w:val="000000"/>
          <w:spacing w:val="0"/>
          <w:w w:val="100"/>
          <w:position w:val="0"/>
          <w:lang w:val="en-US" w:eastAsia="zh-CN"/>
        </w:rPr>
        <w:t>11</w:t>
      </w:r>
      <w:r>
        <w:rPr>
          <w:rFonts w:hint="eastAsia" w:ascii="仿宋_GB2312" w:hAnsi="仿宋_GB2312" w:eastAsia="仿宋_GB2312" w:cs="仿宋_GB2312"/>
          <w:color w:val="000000"/>
          <w:spacing w:val="0"/>
          <w:w w:val="100"/>
          <w:position w:val="0"/>
          <w:lang w:eastAsia="zh-CN"/>
        </w:rPr>
        <w:t>）</w:t>
      </w:r>
      <w:r>
        <w:rPr>
          <w:rFonts w:hint="eastAsia" w:ascii="仿宋_GB2312" w:hAnsi="仿宋_GB2312" w:eastAsia="仿宋_GB2312" w:cs="仿宋_GB2312"/>
          <w:color w:val="000000"/>
          <w:spacing w:val="0"/>
          <w:w w:val="100"/>
          <w:position w:val="0"/>
        </w:rPr>
        <w:t>《地表水环境质量标准》</w:t>
      </w:r>
      <w:r>
        <w:rPr>
          <w:rFonts w:hint="eastAsia" w:ascii="仿宋_GB2312" w:hAnsi="仿宋_GB2312" w:eastAsia="仿宋_GB2312" w:cs="仿宋_GB2312"/>
          <w:color w:val="000000"/>
          <w:spacing w:val="0"/>
          <w:w w:val="100"/>
          <w:position w:val="0"/>
          <w:lang w:val="en-US" w:eastAsia="en-US" w:bidi="en-US"/>
        </w:rPr>
        <w:t>(GB3838-2002)</w:t>
      </w:r>
      <w:r>
        <w:rPr>
          <w:rFonts w:hint="eastAsia" w:ascii="仿宋_GB2312" w:hAnsi="仿宋_GB2312" w:eastAsia="仿宋_GB2312" w:cs="仿宋_GB2312"/>
          <w:color w:val="000000"/>
          <w:spacing w:val="0"/>
          <w:w w:val="100"/>
          <w:position w:val="0"/>
        </w:rPr>
        <w:t>；</w:t>
      </w:r>
    </w:p>
    <w:p w14:paraId="7406EF84">
      <w:pPr>
        <w:pStyle w:val="27"/>
        <w:keepNext w:val="0"/>
        <w:keepLines w:val="0"/>
        <w:pageBreakBefore w:val="0"/>
        <w:widowControl w:val="0"/>
        <w:numPr>
          <w:ilvl w:val="0"/>
          <w:numId w:val="0"/>
        </w:numPr>
        <w:shd w:val="clear" w:color="auto" w:fill="auto"/>
        <w:tabs>
          <w:tab w:val="left" w:pos="1384"/>
        </w:tabs>
        <w:kinsoku/>
        <w:wordWrap/>
        <w:overflowPunct/>
        <w:topLinePunct w:val="0"/>
        <w:autoSpaceDE/>
        <w:autoSpaceDN/>
        <w:bidi w:val="0"/>
        <w:adjustRightInd/>
        <w:snapToGrid/>
        <w:spacing w:before="0" w:after="0" w:line="560" w:lineRule="exact"/>
        <w:ind w:left="0" w:leftChars="0" w:right="0" w:rightChars="0" w:firstLine="560" w:firstLineChars="200"/>
        <w:jc w:val="both"/>
        <w:textAlignment w:val="auto"/>
        <w:rPr>
          <w:rFonts w:hint="eastAsia" w:ascii="仿宋_GB2312" w:hAnsi="仿宋_GB2312" w:eastAsia="仿宋_GB2312" w:cs="仿宋_GB2312"/>
        </w:rPr>
      </w:pPr>
      <w:bookmarkStart w:id="61" w:name="bookmark68"/>
      <w:bookmarkEnd w:id="61"/>
      <w:r>
        <w:rPr>
          <w:rFonts w:hint="eastAsia" w:ascii="仿宋_GB2312" w:hAnsi="仿宋_GB2312" w:eastAsia="仿宋_GB2312" w:cs="仿宋_GB2312"/>
          <w:color w:val="000000"/>
          <w:spacing w:val="0"/>
          <w:w w:val="100"/>
          <w:position w:val="0"/>
          <w:lang w:eastAsia="zh-CN"/>
        </w:rPr>
        <w:t>（</w:t>
      </w:r>
      <w:r>
        <w:rPr>
          <w:rFonts w:hint="eastAsia" w:ascii="仿宋_GB2312" w:hAnsi="仿宋_GB2312" w:eastAsia="仿宋_GB2312" w:cs="仿宋_GB2312"/>
          <w:color w:val="000000"/>
          <w:spacing w:val="0"/>
          <w:w w:val="100"/>
          <w:position w:val="0"/>
          <w:lang w:val="en-US" w:eastAsia="zh-CN"/>
        </w:rPr>
        <w:t>12</w:t>
      </w:r>
      <w:r>
        <w:rPr>
          <w:rFonts w:hint="eastAsia" w:ascii="仿宋_GB2312" w:hAnsi="仿宋_GB2312" w:eastAsia="仿宋_GB2312" w:cs="仿宋_GB2312"/>
          <w:color w:val="000000"/>
          <w:spacing w:val="0"/>
          <w:w w:val="100"/>
          <w:position w:val="0"/>
          <w:lang w:eastAsia="zh-CN"/>
        </w:rPr>
        <w:t>）</w:t>
      </w:r>
      <w:r>
        <w:rPr>
          <w:rFonts w:hint="eastAsia" w:ascii="仿宋_GB2312" w:hAnsi="仿宋_GB2312" w:eastAsia="仿宋_GB2312" w:cs="仿宋_GB2312"/>
          <w:color w:val="000000"/>
          <w:spacing w:val="0"/>
          <w:w w:val="100"/>
          <w:position w:val="0"/>
        </w:rPr>
        <w:t>《地表水和污水监测技术规范》</w:t>
      </w:r>
      <w:r>
        <w:rPr>
          <w:rFonts w:hint="eastAsia" w:ascii="仿宋_GB2312" w:hAnsi="仿宋_GB2312" w:eastAsia="仿宋_GB2312" w:cs="仿宋_GB2312"/>
          <w:color w:val="000000"/>
          <w:spacing w:val="0"/>
          <w:w w:val="100"/>
          <w:position w:val="0"/>
          <w:lang w:val="en-US" w:eastAsia="en-US" w:bidi="en-US"/>
        </w:rPr>
        <w:t>(HJ-T91-2002)</w:t>
      </w:r>
      <w:r>
        <w:rPr>
          <w:rFonts w:hint="eastAsia" w:ascii="仿宋_GB2312" w:hAnsi="仿宋_GB2312" w:eastAsia="仿宋_GB2312" w:cs="仿宋_GB2312"/>
          <w:color w:val="000000"/>
          <w:spacing w:val="0"/>
          <w:w w:val="100"/>
          <w:position w:val="0"/>
        </w:rPr>
        <w:t>；</w:t>
      </w:r>
    </w:p>
    <w:p w14:paraId="2EFFBA4E">
      <w:pPr>
        <w:pStyle w:val="27"/>
        <w:keepNext w:val="0"/>
        <w:keepLines w:val="0"/>
        <w:pageBreakBefore w:val="0"/>
        <w:widowControl w:val="0"/>
        <w:numPr>
          <w:ilvl w:val="0"/>
          <w:numId w:val="0"/>
        </w:numPr>
        <w:shd w:val="clear" w:color="auto" w:fill="auto"/>
        <w:tabs>
          <w:tab w:val="left" w:pos="1384"/>
        </w:tabs>
        <w:kinsoku/>
        <w:wordWrap/>
        <w:overflowPunct/>
        <w:topLinePunct w:val="0"/>
        <w:autoSpaceDE/>
        <w:autoSpaceDN/>
        <w:bidi w:val="0"/>
        <w:adjustRightInd/>
        <w:snapToGrid/>
        <w:spacing w:before="0" w:after="0" w:line="560" w:lineRule="exact"/>
        <w:ind w:left="0" w:leftChars="0" w:right="0" w:rightChars="0" w:firstLine="560" w:firstLineChars="200"/>
        <w:jc w:val="both"/>
        <w:textAlignment w:val="auto"/>
        <w:rPr>
          <w:rFonts w:hint="eastAsia" w:ascii="仿宋_GB2312" w:hAnsi="仿宋_GB2312" w:eastAsia="仿宋_GB2312" w:cs="仿宋_GB2312"/>
        </w:rPr>
      </w:pPr>
      <w:bookmarkStart w:id="62" w:name="bookmark69"/>
      <w:bookmarkEnd w:id="62"/>
      <w:r>
        <w:rPr>
          <w:rFonts w:hint="eastAsia" w:ascii="仿宋_GB2312" w:hAnsi="仿宋_GB2312" w:eastAsia="仿宋_GB2312" w:cs="仿宋_GB2312"/>
          <w:color w:val="000000"/>
          <w:spacing w:val="0"/>
          <w:w w:val="100"/>
          <w:position w:val="0"/>
          <w:lang w:eastAsia="zh-CN"/>
        </w:rPr>
        <w:t>（</w:t>
      </w:r>
      <w:r>
        <w:rPr>
          <w:rFonts w:hint="eastAsia" w:ascii="仿宋_GB2312" w:hAnsi="仿宋_GB2312" w:eastAsia="仿宋_GB2312" w:cs="仿宋_GB2312"/>
          <w:color w:val="000000"/>
          <w:spacing w:val="0"/>
          <w:w w:val="100"/>
          <w:position w:val="0"/>
          <w:lang w:val="en-US" w:eastAsia="zh-CN"/>
        </w:rPr>
        <w:t>13</w:t>
      </w:r>
      <w:r>
        <w:rPr>
          <w:rFonts w:hint="eastAsia" w:ascii="仿宋_GB2312" w:hAnsi="仿宋_GB2312" w:eastAsia="仿宋_GB2312" w:cs="仿宋_GB2312"/>
          <w:color w:val="000000"/>
          <w:spacing w:val="0"/>
          <w:w w:val="100"/>
          <w:position w:val="0"/>
          <w:lang w:eastAsia="zh-CN"/>
        </w:rPr>
        <w:t>）</w:t>
      </w:r>
      <w:r>
        <w:rPr>
          <w:rFonts w:hint="eastAsia" w:ascii="仿宋_GB2312" w:hAnsi="仿宋_GB2312" w:eastAsia="仿宋_GB2312" w:cs="仿宋_GB2312"/>
          <w:color w:val="000000"/>
          <w:spacing w:val="0"/>
          <w:w w:val="100"/>
          <w:position w:val="0"/>
        </w:rPr>
        <w:t>《地下水质量标准》</w:t>
      </w:r>
      <w:r>
        <w:rPr>
          <w:rFonts w:hint="eastAsia" w:ascii="仿宋_GB2312" w:hAnsi="仿宋_GB2312" w:eastAsia="仿宋_GB2312" w:cs="仿宋_GB2312"/>
          <w:color w:val="000000"/>
          <w:spacing w:val="0"/>
          <w:w w:val="100"/>
          <w:position w:val="0"/>
          <w:lang w:val="en-US" w:eastAsia="en-US" w:bidi="en-US"/>
        </w:rPr>
        <w:t>(GB/T14848-2017)</w:t>
      </w:r>
      <w:r>
        <w:rPr>
          <w:rFonts w:hint="eastAsia" w:ascii="仿宋_GB2312" w:hAnsi="仿宋_GB2312" w:eastAsia="仿宋_GB2312" w:cs="仿宋_GB2312"/>
          <w:color w:val="000000"/>
          <w:spacing w:val="0"/>
          <w:w w:val="100"/>
          <w:position w:val="0"/>
        </w:rPr>
        <w:t>；</w:t>
      </w:r>
    </w:p>
    <w:p w14:paraId="540D75FC">
      <w:pPr>
        <w:pStyle w:val="27"/>
        <w:keepNext w:val="0"/>
        <w:keepLines w:val="0"/>
        <w:pageBreakBefore w:val="0"/>
        <w:widowControl w:val="0"/>
        <w:numPr>
          <w:ilvl w:val="0"/>
          <w:numId w:val="0"/>
        </w:numPr>
        <w:shd w:val="clear" w:color="auto" w:fill="auto"/>
        <w:tabs>
          <w:tab w:val="left" w:pos="1384"/>
        </w:tabs>
        <w:kinsoku/>
        <w:wordWrap/>
        <w:overflowPunct/>
        <w:topLinePunct w:val="0"/>
        <w:autoSpaceDE/>
        <w:autoSpaceDN/>
        <w:bidi w:val="0"/>
        <w:adjustRightInd/>
        <w:snapToGrid/>
        <w:spacing w:before="0" w:after="0" w:line="560" w:lineRule="exact"/>
        <w:ind w:left="0" w:leftChars="0" w:right="0" w:rightChars="0" w:firstLine="560" w:firstLineChars="200"/>
        <w:jc w:val="both"/>
        <w:textAlignment w:val="auto"/>
        <w:rPr>
          <w:rFonts w:hint="eastAsia" w:ascii="仿宋_GB2312" w:hAnsi="仿宋_GB2312" w:eastAsia="仿宋_GB2312" w:cs="仿宋_GB2312"/>
        </w:rPr>
      </w:pPr>
      <w:bookmarkStart w:id="63" w:name="bookmark70"/>
      <w:bookmarkEnd w:id="63"/>
      <w:r>
        <w:rPr>
          <w:rFonts w:hint="eastAsia" w:ascii="仿宋_GB2312" w:hAnsi="仿宋_GB2312" w:eastAsia="仿宋_GB2312" w:cs="仿宋_GB2312"/>
          <w:color w:val="000000"/>
          <w:spacing w:val="0"/>
          <w:w w:val="100"/>
          <w:position w:val="0"/>
          <w:lang w:eastAsia="zh-CN"/>
        </w:rPr>
        <w:t>（</w:t>
      </w:r>
      <w:r>
        <w:rPr>
          <w:rFonts w:hint="eastAsia" w:ascii="仿宋_GB2312" w:hAnsi="仿宋_GB2312" w:eastAsia="仿宋_GB2312" w:cs="仿宋_GB2312"/>
          <w:color w:val="000000"/>
          <w:spacing w:val="0"/>
          <w:w w:val="100"/>
          <w:position w:val="0"/>
          <w:lang w:val="en-US" w:eastAsia="zh-CN"/>
        </w:rPr>
        <w:t>14</w:t>
      </w:r>
      <w:r>
        <w:rPr>
          <w:rFonts w:hint="eastAsia" w:ascii="仿宋_GB2312" w:hAnsi="仿宋_GB2312" w:eastAsia="仿宋_GB2312" w:cs="仿宋_GB2312"/>
          <w:color w:val="000000"/>
          <w:spacing w:val="0"/>
          <w:w w:val="100"/>
          <w:position w:val="0"/>
          <w:lang w:eastAsia="zh-CN"/>
        </w:rPr>
        <w:t>）</w:t>
      </w:r>
      <w:r>
        <w:rPr>
          <w:rFonts w:hint="eastAsia" w:ascii="仿宋_GB2312" w:hAnsi="仿宋_GB2312" w:eastAsia="仿宋_GB2312" w:cs="仿宋_GB2312"/>
          <w:color w:val="000000"/>
          <w:spacing w:val="0"/>
          <w:w w:val="100"/>
          <w:position w:val="0"/>
        </w:rPr>
        <w:t>《地下水环境监测技术规范》</w:t>
      </w:r>
      <w:r>
        <w:rPr>
          <w:rFonts w:hint="eastAsia" w:ascii="仿宋_GB2312" w:hAnsi="仿宋_GB2312" w:eastAsia="仿宋_GB2312" w:cs="仿宋_GB2312"/>
          <w:color w:val="000000"/>
          <w:spacing w:val="0"/>
          <w:w w:val="100"/>
          <w:position w:val="0"/>
          <w:lang w:val="en-US" w:eastAsia="en-US" w:bidi="en-US"/>
        </w:rPr>
        <w:t>(HJ/T164-2004)</w:t>
      </w:r>
      <w:r>
        <w:rPr>
          <w:rFonts w:hint="eastAsia" w:ascii="仿宋_GB2312" w:hAnsi="仿宋_GB2312" w:eastAsia="仿宋_GB2312" w:cs="仿宋_GB2312"/>
          <w:color w:val="000000"/>
          <w:spacing w:val="0"/>
          <w:w w:val="100"/>
          <w:position w:val="0"/>
        </w:rPr>
        <w:t>；</w:t>
      </w:r>
    </w:p>
    <w:p w14:paraId="60E72FC0">
      <w:pPr>
        <w:pStyle w:val="27"/>
        <w:keepNext w:val="0"/>
        <w:keepLines w:val="0"/>
        <w:pageBreakBefore w:val="0"/>
        <w:widowControl w:val="0"/>
        <w:numPr>
          <w:ilvl w:val="0"/>
          <w:numId w:val="0"/>
        </w:numPr>
        <w:shd w:val="clear" w:color="auto" w:fill="auto"/>
        <w:tabs>
          <w:tab w:val="left" w:pos="1384"/>
        </w:tabs>
        <w:kinsoku/>
        <w:wordWrap/>
        <w:overflowPunct/>
        <w:topLinePunct w:val="0"/>
        <w:autoSpaceDE/>
        <w:autoSpaceDN/>
        <w:bidi w:val="0"/>
        <w:adjustRightInd/>
        <w:snapToGrid/>
        <w:spacing w:before="0" w:after="0" w:line="560" w:lineRule="exact"/>
        <w:ind w:left="0" w:leftChars="0" w:right="0" w:rightChars="0" w:firstLine="560" w:firstLineChars="200"/>
        <w:jc w:val="both"/>
        <w:textAlignment w:val="auto"/>
        <w:rPr>
          <w:rFonts w:hint="eastAsia" w:ascii="仿宋_GB2312" w:hAnsi="仿宋_GB2312" w:eastAsia="仿宋_GB2312" w:cs="仿宋_GB2312"/>
        </w:rPr>
      </w:pPr>
      <w:bookmarkStart w:id="64" w:name="bookmark71"/>
      <w:bookmarkEnd w:id="64"/>
      <w:r>
        <w:rPr>
          <w:rFonts w:hint="eastAsia" w:ascii="仿宋_GB2312" w:hAnsi="仿宋_GB2312" w:eastAsia="仿宋_GB2312" w:cs="仿宋_GB2312"/>
          <w:color w:val="000000"/>
          <w:spacing w:val="0"/>
          <w:w w:val="100"/>
          <w:position w:val="0"/>
          <w:lang w:eastAsia="zh-CN"/>
        </w:rPr>
        <w:t>（</w:t>
      </w:r>
      <w:r>
        <w:rPr>
          <w:rFonts w:hint="eastAsia" w:ascii="仿宋_GB2312" w:hAnsi="仿宋_GB2312" w:eastAsia="仿宋_GB2312" w:cs="仿宋_GB2312"/>
          <w:color w:val="000000"/>
          <w:spacing w:val="0"/>
          <w:w w:val="100"/>
          <w:position w:val="0"/>
          <w:lang w:val="en-US" w:eastAsia="zh-CN"/>
        </w:rPr>
        <w:t>15</w:t>
      </w:r>
      <w:r>
        <w:rPr>
          <w:rFonts w:hint="eastAsia" w:ascii="仿宋_GB2312" w:hAnsi="仿宋_GB2312" w:eastAsia="仿宋_GB2312" w:cs="仿宋_GB2312"/>
          <w:color w:val="000000"/>
          <w:spacing w:val="0"/>
          <w:w w:val="100"/>
          <w:position w:val="0"/>
          <w:lang w:eastAsia="zh-CN"/>
        </w:rPr>
        <w:t>）</w:t>
      </w:r>
      <w:r>
        <w:rPr>
          <w:rFonts w:hint="eastAsia" w:ascii="仿宋_GB2312" w:hAnsi="仿宋_GB2312" w:eastAsia="仿宋_GB2312" w:cs="仿宋_GB2312"/>
          <w:color w:val="000000"/>
          <w:spacing w:val="0"/>
          <w:w w:val="100"/>
          <w:position w:val="0"/>
        </w:rPr>
        <w:t>《重金属污染场地土壤修复标准》</w:t>
      </w:r>
      <w:r>
        <w:rPr>
          <w:rFonts w:hint="eastAsia" w:ascii="仿宋_GB2312" w:hAnsi="仿宋_GB2312" w:eastAsia="仿宋_GB2312" w:cs="仿宋_GB2312"/>
          <w:color w:val="000000"/>
          <w:spacing w:val="0"/>
          <w:w w:val="100"/>
          <w:position w:val="0"/>
          <w:lang w:val="en-US" w:eastAsia="en-US" w:bidi="en-US"/>
        </w:rPr>
        <w:t>(DB43/T1125-2016)</w:t>
      </w:r>
      <w:r>
        <w:rPr>
          <w:rFonts w:hint="eastAsia" w:ascii="仿宋_GB2312" w:hAnsi="仿宋_GB2312" w:eastAsia="仿宋_GB2312" w:cs="仿宋_GB2312"/>
          <w:color w:val="000000"/>
          <w:spacing w:val="0"/>
          <w:w w:val="100"/>
          <w:position w:val="0"/>
        </w:rPr>
        <w:t>；</w:t>
      </w:r>
    </w:p>
    <w:p w14:paraId="4A99404B">
      <w:pPr>
        <w:pStyle w:val="27"/>
        <w:keepNext w:val="0"/>
        <w:keepLines w:val="0"/>
        <w:pageBreakBefore w:val="0"/>
        <w:widowControl w:val="0"/>
        <w:numPr>
          <w:ilvl w:val="0"/>
          <w:numId w:val="0"/>
        </w:numPr>
        <w:shd w:val="clear" w:color="auto" w:fill="auto"/>
        <w:tabs>
          <w:tab w:val="left" w:pos="1622"/>
        </w:tabs>
        <w:kinsoku/>
        <w:wordWrap/>
        <w:overflowPunct/>
        <w:topLinePunct w:val="0"/>
        <w:autoSpaceDE/>
        <w:autoSpaceDN/>
        <w:bidi w:val="0"/>
        <w:adjustRightInd/>
        <w:snapToGrid/>
        <w:spacing w:before="0" w:after="0" w:line="560" w:lineRule="exact"/>
        <w:ind w:left="0" w:leftChars="0" w:right="0" w:rightChars="0" w:firstLine="560" w:firstLineChars="200"/>
        <w:jc w:val="both"/>
        <w:textAlignment w:val="auto"/>
        <w:rPr>
          <w:rFonts w:hint="eastAsia" w:ascii="仿宋_GB2312" w:hAnsi="仿宋_GB2312" w:eastAsia="仿宋_GB2312" w:cs="仿宋_GB2312"/>
        </w:rPr>
      </w:pPr>
      <w:bookmarkStart w:id="65" w:name="bookmark72"/>
      <w:bookmarkEnd w:id="65"/>
      <w:r>
        <w:rPr>
          <w:rFonts w:hint="eastAsia" w:ascii="仿宋_GB2312" w:hAnsi="仿宋_GB2312" w:eastAsia="仿宋_GB2312" w:cs="仿宋_GB2312"/>
          <w:color w:val="000000"/>
          <w:spacing w:val="0"/>
          <w:w w:val="100"/>
          <w:position w:val="0"/>
          <w:lang w:eastAsia="zh-CN"/>
        </w:rPr>
        <w:t>（</w:t>
      </w:r>
      <w:r>
        <w:rPr>
          <w:rFonts w:hint="eastAsia" w:ascii="仿宋_GB2312" w:hAnsi="仿宋_GB2312" w:eastAsia="仿宋_GB2312" w:cs="仿宋_GB2312"/>
          <w:color w:val="000000"/>
          <w:spacing w:val="0"/>
          <w:w w:val="100"/>
          <w:position w:val="0"/>
          <w:lang w:val="en-US" w:eastAsia="zh-CN"/>
        </w:rPr>
        <w:t>16</w:t>
      </w:r>
      <w:r>
        <w:rPr>
          <w:rFonts w:hint="eastAsia" w:ascii="仿宋_GB2312" w:hAnsi="仿宋_GB2312" w:eastAsia="仿宋_GB2312" w:cs="仿宋_GB2312"/>
          <w:color w:val="000000"/>
          <w:spacing w:val="0"/>
          <w:w w:val="100"/>
          <w:position w:val="0"/>
          <w:lang w:eastAsia="zh-CN"/>
        </w:rPr>
        <w:t>）</w:t>
      </w:r>
      <w:r>
        <w:rPr>
          <w:rFonts w:hint="eastAsia" w:ascii="仿宋_GB2312" w:hAnsi="仿宋_GB2312" w:eastAsia="仿宋_GB2312" w:cs="仿宋_GB2312"/>
          <w:color w:val="000000"/>
          <w:spacing w:val="0"/>
          <w:w w:val="100"/>
          <w:position w:val="0"/>
        </w:rPr>
        <w:t>《固体废物浸出毒性浸出方法水平振荡法》(</w:t>
      </w:r>
      <w:r>
        <w:rPr>
          <w:rFonts w:hint="eastAsia" w:ascii="仿宋_GB2312" w:hAnsi="仿宋_GB2312" w:eastAsia="仿宋_GB2312" w:cs="仿宋_GB2312"/>
          <w:color w:val="000000"/>
          <w:spacing w:val="0"/>
          <w:w w:val="100"/>
          <w:position w:val="0"/>
          <w:lang w:val="en-US" w:eastAsia="en-US" w:bidi="en-US"/>
        </w:rPr>
        <w:t>HJ</w:t>
      </w:r>
      <w:r>
        <w:rPr>
          <w:rFonts w:hint="eastAsia" w:ascii="仿宋_GB2312" w:hAnsi="仿宋_GB2312" w:eastAsia="仿宋_GB2312" w:cs="仿宋_GB2312"/>
          <w:color w:val="000000"/>
          <w:spacing w:val="0"/>
          <w:w w:val="100"/>
          <w:position w:val="0"/>
        </w:rPr>
        <w:t>557-2010)；</w:t>
      </w:r>
    </w:p>
    <w:p w14:paraId="31C45CF7">
      <w:pPr>
        <w:pStyle w:val="27"/>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560" w:firstLineChars="200"/>
        <w:jc w:val="both"/>
        <w:textAlignment w:val="auto"/>
        <w:rPr>
          <w:rFonts w:hint="eastAsia" w:ascii="仿宋_GB2312" w:hAnsi="仿宋_GB2312" w:eastAsia="仿宋_GB2312" w:cs="仿宋_GB2312"/>
        </w:rPr>
      </w:pPr>
      <w:r>
        <w:rPr>
          <w:rFonts w:hint="eastAsia" w:ascii="仿宋_GB2312" w:hAnsi="仿宋_GB2312" w:eastAsia="仿宋_GB2312" w:cs="仿宋_GB2312"/>
          <w:color w:val="000000"/>
          <w:spacing w:val="0"/>
          <w:w w:val="100"/>
          <w:position w:val="0"/>
          <w:lang w:eastAsia="zh-CN"/>
        </w:rPr>
        <w:t>（</w:t>
      </w:r>
      <w:r>
        <w:rPr>
          <w:rFonts w:hint="eastAsia" w:ascii="仿宋_GB2312" w:hAnsi="仿宋_GB2312" w:eastAsia="仿宋_GB2312" w:cs="仿宋_GB2312"/>
          <w:color w:val="000000"/>
          <w:spacing w:val="0"/>
          <w:w w:val="100"/>
          <w:position w:val="0"/>
          <w:lang w:val="en-US" w:eastAsia="zh-CN"/>
        </w:rPr>
        <w:t>17</w:t>
      </w:r>
      <w:r>
        <w:rPr>
          <w:rFonts w:hint="eastAsia" w:ascii="仿宋_GB2312" w:hAnsi="仿宋_GB2312" w:eastAsia="仿宋_GB2312" w:cs="仿宋_GB2312"/>
          <w:color w:val="000000"/>
          <w:spacing w:val="0"/>
          <w:w w:val="100"/>
          <w:position w:val="0"/>
          <w:lang w:eastAsia="zh-CN"/>
        </w:rPr>
        <w:t>）</w:t>
      </w:r>
      <w:r>
        <w:rPr>
          <w:rFonts w:hint="eastAsia" w:ascii="仿宋_GB2312" w:hAnsi="仿宋_GB2312" w:eastAsia="仿宋_GB2312" w:cs="仿宋_GB2312"/>
          <w:color w:val="000000"/>
          <w:spacing w:val="0"/>
          <w:w w:val="100"/>
          <w:position w:val="0"/>
        </w:rPr>
        <w:t>《固体废物浸出毒性浸出方法硫酸硝酸法》</w:t>
      </w:r>
      <w:r>
        <w:rPr>
          <w:rFonts w:hint="eastAsia" w:ascii="仿宋_GB2312" w:hAnsi="仿宋_GB2312" w:eastAsia="仿宋_GB2312" w:cs="仿宋_GB2312"/>
          <w:color w:val="000000"/>
          <w:spacing w:val="0"/>
          <w:w w:val="100"/>
          <w:position w:val="0"/>
          <w:lang w:val="en-US" w:eastAsia="en-US" w:bidi="en-US"/>
        </w:rPr>
        <w:t>(HG/T299-2007)</w:t>
      </w:r>
      <w:r>
        <w:rPr>
          <w:rFonts w:hint="eastAsia" w:ascii="仿宋_GB2312" w:hAnsi="仿宋_GB2312" w:eastAsia="仿宋_GB2312" w:cs="仿宋_GB2312"/>
          <w:color w:val="000000"/>
          <w:spacing w:val="0"/>
          <w:w w:val="100"/>
          <w:position w:val="0"/>
        </w:rPr>
        <w:t>；</w:t>
      </w:r>
    </w:p>
    <w:p w14:paraId="07CFB701">
      <w:pPr>
        <w:pStyle w:val="27"/>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560" w:firstLineChars="200"/>
        <w:jc w:val="both"/>
        <w:textAlignment w:val="auto"/>
        <w:rPr>
          <w:rFonts w:hint="eastAsia" w:ascii="仿宋_GB2312" w:hAnsi="仿宋_GB2312" w:eastAsia="仿宋_GB2312" w:cs="仿宋_GB2312"/>
        </w:rPr>
      </w:pPr>
      <w:r>
        <w:rPr>
          <w:rFonts w:hint="eastAsia" w:ascii="仿宋_GB2312" w:hAnsi="仿宋_GB2312" w:eastAsia="仿宋_GB2312" w:cs="仿宋_GB2312"/>
          <w:color w:val="000000"/>
          <w:spacing w:val="0"/>
          <w:w w:val="100"/>
          <w:position w:val="0"/>
          <w:lang w:eastAsia="zh-CN"/>
        </w:rPr>
        <w:t>（</w:t>
      </w:r>
      <w:r>
        <w:rPr>
          <w:rFonts w:hint="eastAsia" w:ascii="仿宋_GB2312" w:hAnsi="仿宋_GB2312" w:eastAsia="仿宋_GB2312" w:cs="仿宋_GB2312"/>
          <w:color w:val="000000"/>
          <w:spacing w:val="0"/>
          <w:w w:val="100"/>
          <w:position w:val="0"/>
          <w:lang w:val="en-US" w:eastAsia="zh-CN"/>
        </w:rPr>
        <w:t>18</w:t>
      </w:r>
      <w:r>
        <w:rPr>
          <w:rFonts w:hint="eastAsia" w:ascii="仿宋_GB2312" w:hAnsi="仿宋_GB2312" w:eastAsia="仿宋_GB2312" w:cs="仿宋_GB2312"/>
          <w:color w:val="000000"/>
          <w:spacing w:val="0"/>
          <w:w w:val="100"/>
          <w:position w:val="0"/>
          <w:lang w:eastAsia="zh-CN"/>
        </w:rPr>
        <w:t>）</w:t>
      </w:r>
      <w:r>
        <w:rPr>
          <w:rFonts w:hint="eastAsia" w:ascii="仿宋_GB2312" w:hAnsi="仿宋_GB2312" w:eastAsia="仿宋_GB2312" w:cs="仿宋_GB2312"/>
          <w:color w:val="000000"/>
          <w:spacing w:val="0"/>
          <w:w w:val="100"/>
          <w:position w:val="0"/>
        </w:rPr>
        <w:t>《一般工业固体废物贮存、处置场污染控制标准》</w:t>
      </w:r>
      <w:r>
        <w:rPr>
          <w:rFonts w:hint="eastAsia" w:ascii="仿宋_GB2312" w:hAnsi="仿宋_GB2312" w:eastAsia="仿宋_GB2312" w:cs="仿宋_GB2312"/>
          <w:color w:val="000000"/>
          <w:spacing w:val="0"/>
          <w:w w:val="100"/>
          <w:position w:val="0"/>
          <w:lang w:val="en-US" w:eastAsia="en-US" w:bidi="en-US"/>
        </w:rPr>
        <w:t>(GB</w:t>
      </w:r>
    </w:p>
    <w:p w14:paraId="24A09919">
      <w:pPr>
        <w:pStyle w:val="31"/>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560" w:firstLineChars="200"/>
        <w:jc w:val="left"/>
        <w:textAlignment w:val="auto"/>
        <w:rPr>
          <w:rFonts w:hint="eastAsia" w:ascii="仿宋_GB2312" w:hAnsi="仿宋_GB2312" w:eastAsia="仿宋_GB2312" w:cs="仿宋_GB2312"/>
        </w:rPr>
      </w:pPr>
      <w:r>
        <w:rPr>
          <w:rFonts w:hint="eastAsia" w:ascii="仿宋_GB2312" w:hAnsi="仿宋_GB2312" w:eastAsia="仿宋_GB2312" w:cs="仿宋_GB2312"/>
          <w:color w:val="000000"/>
          <w:spacing w:val="0"/>
          <w:w w:val="100"/>
          <w:position w:val="0"/>
        </w:rPr>
        <w:t>18559-2001)；</w:t>
      </w:r>
    </w:p>
    <w:p w14:paraId="22C35390">
      <w:pPr>
        <w:pStyle w:val="27"/>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560" w:firstLineChars="200"/>
        <w:jc w:val="left"/>
        <w:textAlignment w:val="auto"/>
        <w:rPr>
          <w:rFonts w:hint="eastAsia" w:ascii="仿宋_GB2312" w:hAnsi="仿宋_GB2312" w:eastAsia="仿宋_GB2312" w:cs="仿宋_GB2312"/>
          <w:color w:val="000000"/>
          <w:spacing w:val="0"/>
          <w:w w:val="100"/>
          <w:position w:val="0"/>
          <w:lang w:val="en-US" w:eastAsia="en-US" w:bidi="en-US"/>
        </w:rPr>
      </w:pPr>
      <w:r>
        <w:rPr>
          <w:rFonts w:hint="eastAsia" w:ascii="仿宋_GB2312" w:hAnsi="仿宋_GB2312" w:eastAsia="仿宋_GB2312" w:cs="仿宋_GB2312"/>
          <w:color w:val="000000"/>
          <w:spacing w:val="0"/>
          <w:w w:val="100"/>
          <w:position w:val="0"/>
          <w:lang w:eastAsia="zh-CN"/>
        </w:rPr>
        <w:t>（</w:t>
      </w:r>
      <w:r>
        <w:rPr>
          <w:rFonts w:hint="eastAsia" w:ascii="仿宋_GB2312" w:hAnsi="仿宋_GB2312" w:eastAsia="仿宋_GB2312" w:cs="仿宋_GB2312"/>
          <w:color w:val="000000"/>
          <w:spacing w:val="0"/>
          <w:w w:val="100"/>
          <w:position w:val="0"/>
          <w:lang w:val="en-US" w:eastAsia="zh-CN"/>
        </w:rPr>
        <w:t>19</w:t>
      </w:r>
      <w:r>
        <w:rPr>
          <w:rFonts w:hint="eastAsia" w:ascii="仿宋_GB2312" w:hAnsi="仿宋_GB2312" w:eastAsia="仿宋_GB2312" w:cs="仿宋_GB2312"/>
          <w:color w:val="000000"/>
          <w:spacing w:val="0"/>
          <w:w w:val="100"/>
          <w:position w:val="0"/>
          <w:lang w:eastAsia="zh-CN"/>
        </w:rPr>
        <w:t>）</w:t>
      </w:r>
      <w:r>
        <w:rPr>
          <w:rFonts w:hint="eastAsia" w:ascii="仿宋_GB2312" w:hAnsi="仿宋_GB2312" w:eastAsia="仿宋_GB2312" w:cs="仿宋_GB2312"/>
          <w:color w:val="000000"/>
          <w:spacing w:val="0"/>
          <w:w w:val="100"/>
          <w:position w:val="0"/>
        </w:rPr>
        <w:t>《固体废物腐蚀性测定-玻璃电极法》</w:t>
      </w:r>
      <w:r>
        <w:rPr>
          <w:rFonts w:hint="eastAsia" w:ascii="仿宋_GB2312" w:hAnsi="仿宋_GB2312" w:eastAsia="仿宋_GB2312" w:cs="仿宋_GB2312"/>
          <w:color w:val="000000"/>
          <w:spacing w:val="0"/>
          <w:w w:val="100"/>
          <w:position w:val="0"/>
          <w:lang w:val="en-US" w:eastAsia="en-US" w:bidi="en-US"/>
        </w:rPr>
        <w:t>(GB15555.12-1999)；</w:t>
      </w:r>
    </w:p>
    <w:p w14:paraId="7288D6FF">
      <w:pPr>
        <w:pStyle w:val="27"/>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560" w:firstLineChars="200"/>
        <w:jc w:val="left"/>
        <w:textAlignment w:val="auto"/>
        <w:rPr>
          <w:rFonts w:hint="eastAsia" w:ascii="仿宋_GB2312" w:hAnsi="仿宋_GB2312" w:eastAsia="仿宋_GB2312" w:cs="仿宋_GB2312"/>
          <w:color w:val="000000"/>
          <w:spacing w:val="0"/>
          <w:w w:val="100"/>
          <w:position w:val="0"/>
          <w:sz w:val="28"/>
          <w:szCs w:val="28"/>
        </w:rPr>
      </w:pPr>
      <w:r>
        <w:rPr>
          <w:rFonts w:hint="eastAsia" w:ascii="仿宋_GB2312" w:hAnsi="仿宋_GB2312" w:eastAsia="仿宋_GB2312" w:cs="仿宋_GB2312"/>
          <w:color w:val="000000"/>
          <w:spacing w:val="0"/>
          <w:w w:val="100"/>
          <w:position w:val="0"/>
          <w:lang w:val="en-US" w:eastAsia="zh-CN" w:bidi="en-US"/>
        </w:rPr>
        <w:t>（20）</w:t>
      </w:r>
      <w:r>
        <w:rPr>
          <w:rFonts w:hint="eastAsia" w:ascii="仿宋_GB2312" w:hAnsi="仿宋_GB2312" w:eastAsia="仿宋_GB2312" w:cs="仿宋_GB2312"/>
          <w:color w:val="000000"/>
          <w:spacing w:val="0"/>
          <w:w w:val="100"/>
          <w:position w:val="0"/>
          <w:sz w:val="28"/>
          <w:szCs w:val="28"/>
        </w:rPr>
        <w:t>《工业固体废弃物采样制样技术规范》</w:t>
      </w:r>
      <w:r>
        <w:rPr>
          <w:rFonts w:hint="eastAsia" w:ascii="仿宋_GB2312" w:hAnsi="仿宋_GB2312" w:eastAsia="仿宋_GB2312" w:cs="仿宋_GB2312"/>
          <w:color w:val="000000"/>
          <w:spacing w:val="0"/>
          <w:w w:val="100"/>
          <w:position w:val="0"/>
          <w:sz w:val="28"/>
          <w:szCs w:val="28"/>
          <w:lang w:val="en-US" w:eastAsia="en-US" w:bidi="en-US"/>
        </w:rPr>
        <w:t>(HJ20-1998)</w:t>
      </w:r>
      <w:r>
        <w:rPr>
          <w:rFonts w:hint="eastAsia" w:ascii="仿宋_GB2312" w:hAnsi="仿宋_GB2312" w:eastAsia="仿宋_GB2312" w:cs="仿宋_GB2312"/>
          <w:color w:val="000000"/>
          <w:spacing w:val="0"/>
          <w:w w:val="100"/>
          <w:position w:val="0"/>
          <w:sz w:val="28"/>
          <w:szCs w:val="28"/>
        </w:rPr>
        <w:t>；</w:t>
      </w:r>
    </w:p>
    <w:p w14:paraId="251AA054">
      <w:pPr>
        <w:pStyle w:val="27"/>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560" w:firstLineChars="200"/>
        <w:jc w:val="left"/>
        <w:textAlignment w:val="auto"/>
        <w:rPr>
          <w:rFonts w:hint="eastAsia" w:ascii="仿宋_GB2312" w:hAnsi="仿宋_GB2312" w:eastAsia="仿宋_GB2312" w:cs="仿宋_GB2312"/>
          <w:color w:val="000000"/>
          <w:spacing w:val="0"/>
          <w:w w:val="100"/>
          <w:position w:val="0"/>
          <w:sz w:val="28"/>
          <w:szCs w:val="28"/>
          <w:lang w:val="en-US" w:eastAsia="en-US" w:bidi="en-US"/>
        </w:rPr>
      </w:pPr>
      <w:r>
        <w:rPr>
          <w:rFonts w:hint="eastAsia" w:ascii="仿宋_GB2312" w:hAnsi="仿宋_GB2312" w:eastAsia="仿宋_GB2312" w:cs="仿宋_GB2312"/>
          <w:color w:val="000000"/>
          <w:spacing w:val="0"/>
          <w:w w:val="100"/>
          <w:position w:val="0"/>
          <w:sz w:val="28"/>
          <w:szCs w:val="28"/>
          <w:lang w:eastAsia="zh-CN"/>
        </w:rPr>
        <w:t>（</w:t>
      </w:r>
      <w:r>
        <w:rPr>
          <w:rFonts w:hint="eastAsia" w:ascii="仿宋_GB2312" w:hAnsi="仿宋_GB2312" w:eastAsia="仿宋_GB2312" w:cs="仿宋_GB2312"/>
          <w:color w:val="000000"/>
          <w:spacing w:val="0"/>
          <w:w w:val="100"/>
          <w:position w:val="0"/>
          <w:sz w:val="28"/>
          <w:szCs w:val="28"/>
          <w:lang w:val="en-US" w:eastAsia="zh-CN"/>
        </w:rPr>
        <w:t>21</w:t>
      </w:r>
      <w:r>
        <w:rPr>
          <w:rFonts w:hint="eastAsia" w:ascii="仿宋_GB2312" w:hAnsi="仿宋_GB2312" w:eastAsia="仿宋_GB2312" w:cs="仿宋_GB2312"/>
          <w:color w:val="000000"/>
          <w:spacing w:val="0"/>
          <w:w w:val="100"/>
          <w:position w:val="0"/>
          <w:sz w:val="28"/>
          <w:szCs w:val="28"/>
          <w:lang w:eastAsia="zh-CN"/>
        </w:rPr>
        <w:t>）</w:t>
      </w:r>
      <w:r>
        <w:rPr>
          <w:rFonts w:hint="eastAsia" w:ascii="仿宋_GB2312" w:hAnsi="仿宋_GB2312" w:eastAsia="仿宋_GB2312" w:cs="仿宋_GB2312"/>
          <w:color w:val="000000"/>
          <w:spacing w:val="0"/>
          <w:w w:val="100"/>
          <w:position w:val="0"/>
          <w:sz w:val="28"/>
          <w:szCs w:val="28"/>
        </w:rPr>
        <w:t>《水质采样样品的保存和管理技术规定》</w:t>
      </w:r>
      <w:r>
        <w:rPr>
          <w:rFonts w:hint="eastAsia" w:ascii="仿宋_GB2312" w:hAnsi="仿宋_GB2312" w:eastAsia="仿宋_GB2312" w:cs="仿宋_GB2312"/>
          <w:color w:val="000000"/>
          <w:spacing w:val="0"/>
          <w:w w:val="100"/>
          <w:position w:val="0"/>
          <w:sz w:val="28"/>
          <w:szCs w:val="28"/>
          <w:lang w:val="en-US" w:eastAsia="en-US" w:bidi="en-US"/>
        </w:rPr>
        <w:t>(HJ493-2009)；</w:t>
      </w:r>
    </w:p>
    <w:p w14:paraId="03D90A4D">
      <w:pPr>
        <w:pStyle w:val="27"/>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560" w:firstLineChars="200"/>
        <w:jc w:val="left"/>
        <w:textAlignment w:val="auto"/>
        <w:rPr>
          <w:rFonts w:hint="eastAsia" w:ascii="仿宋_GB2312" w:hAnsi="仿宋_GB2312" w:eastAsia="仿宋_GB2312" w:cs="仿宋_GB2312"/>
          <w:color w:val="000000"/>
          <w:spacing w:val="0"/>
          <w:w w:val="100"/>
          <w:position w:val="0"/>
          <w:sz w:val="28"/>
          <w:szCs w:val="28"/>
        </w:rPr>
      </w:pPr>
      <w:r>
        <w:rPr>
          <w:rFonts w:hint="eastAsia" w:ascii="仿宋_GB2312" w:hAnsi="仿宋_GB2312" w:eastAsia="仿宋_GB2312" w:cs="仿宋_GB2312"/>
          <w:color w:val="000000"/>
          <w:spacing w:val="0"/>
          <w:w w:val="100"/>
          <w:position w:val="0"/>
          <w:sz w:val="28"/>
          <w:szCs w:val="28"/>
          <w:lang w:val="en-US" w:eastAsia="zh-CN" w:bidi="en-US"/>
        </w:rPr>
        <w:t>（22）</w:t>
      </w:r>
      <w:r>
        <w:rPr>
          <w:rFonts w:hint="eastAsia" w:ascii="仿宋_GB2312" w:hAnsi="仿宋_GB2312" w:eastAsia="仿宋_GB2312" w:cs="仿宋_GB2312"/>
          <w:color w:val="000000"/>
          <w:spacing w:val="0"/>
          <w:w w:val="100"/>
          <w:position w:val="0"/>
          <w:sz w:val="28"/>
          <w:szCs w:val="28"/>
        </w:rPr>
        <w:t>《岩土工程勘察规范》</w:t>
      </w:r>
      <w:r>
        <w:rPr>
          <w:rFonts w:hint="eastAsia" w:ascii="仿宋_GB2312" w:hAnsi="仿宋_GB2312" w:eastAsia="仿宋_GB2312" w:cs="仿宋_GB2312"/>
          <w:color w:val="000000"/>
          <w:spacing w:val="0"/>
          <w:w w:val="100"/>
          <w:position w:val="0"/>
          <w:sz w:val="28"/>
          <w:szCs w:val="28"/>
          <w:lang w:val="en-US" w:eastAsia="en-US" w:bidi="en-US"/>
        </w:rPr>
        <w:t>(GB50021-2001,</w:t>
      </w:r>
      <w:r>
        <w:rPr>
          <w:rFonts w:hint="eastAsia" w:ascii="仿宋_GB2312" w:hAnsi="仿宋_GB2312" w:eastAsia="仿宋_GB2312" w:cs="仿宋_GB2312"/>
          <w:color w:val="000000"/>
          <w:spacing w:val="0"/>
          <w:w w:val="100"/>
          <w:position w:val="0"/>
          <w:sz w:val="28"/>
          <w:szCs w:val="28"/>
        </w:rPr>
        <w:t>2009年版)；</w:t>
      </w:r>
    </w:p>
    <w:p w14:paraId="1AE7C42C">
      <w:pPr>
        <w:pStyle w:val="27"/>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560" w:firstLineChars="200"/>
        <w:jc w:val="left"/>
        <w:textAlignment w:val="auto"/>
        <w:rPr>
          <w:rFonts w:hint="eastAsia" w:ascii="仿宋_GB2312" w:hAnsi="仿宋_GB2312" w:eastAsia="仿宋_GB2312" w:cs="仿宋_GB2312"/>
          <w:color w:val="000000"/>
          <w:spacing w:val="0"/>
          <w:w w:val="100"/>
          <w:position w:val="0"/>
          <w:sz w:val="28"/>
          <w:szCs w:val="28"/>
        </w:rPr>
      </w:pPr>
      <w:r>
        <w:rPr>
          <w:rFonts w:hint="eastAsia" w:ascii="仿宋_GB2312" w:hAnsi="仿宋_GB2312" w:eastAsia="仿宋_GB2312" w:cs="仿宋_GB2312"/>
          <w:color w:val="000000"/>
          <w:spacing w:val="0"/>
          <w:w w:val="100"/>
          <w:position w:val="0"/>
          <w:sz w:val="28"/>
          <w:szCs w:val="28"/>
          <w:lang w:eastAsia="zh-CN"/>
        </w:rPr>
        <w:t>（</w:t>
      </w:r>
      <w:r>
        <w:rPr>
          <w:rFonts w:hint="eastAsia" w:ascii="仿宋_GB2312" w:hAnsi="仿宋_GB2312" w:eastAsia="仿宋_GB2312" w:cs="仿宋_GB2312"/>
          <w:color w:val="000000"/>
          <w:spacing w:val="0"/>
          <w:w w:val="100"/>
          <w:position w:val="0"/>
          <w:sz w:val="28"/>
          <w:szCs w:val="28"/>
          <w:lang w:val="en-US" w:eastAsia="zh-CN"/>
        </w:rPr>
        <w:t>23</w:t>
      </w:r>
      <w:r>
        <w:rPr>
          <w:rFonts w:hint="eastAsia" w:ascii="仿宋_GB2312" w:hAnsi="仿宋_GB2312" w:eastAsia="仿宋_GB2312" w:cs="仿宋_GB2312"/>
          <w:color w:val="000000"/>
          <w:spacing w:val="0"/>
          <w:w w:val="100"/>
          <w:position w:val="0"/>
          <w:sz w:val="28"/>
          <w:szCs w:val="28"/>
          <w:lang w:eastAsia="zh-CN"/>
        </w:rPr>
        <w:t>）</w:t>
      </w:r>
      <w:r>
        <w:rPr>
          <w:rFonts w:hint="eastAsia" w:ascii="仿宋_GB2312" w:hAnsi="仿宋_GB2312" w:eastAsia="仿宋_GB2312" w:cs="仿宋_GB2312"/>
          <w:color w:val="000000"/>
          <w:spacing w:val="0"/>
          <w:w w:val="100"/>
          <w:position w:val="0"/>
          <w:sz w:val="28"/>
          <w:szCs w:val="28"/>
        </w:rPr>
        <w:t>《土的工程分类标准》(</w:t>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HYPERLINK "https://www.so.com/link?m=aytat8KJLgtTsKAISJ2Iolp%2FCDhMYLMI2aK7CNQVD3iGqN7ytq5TcOcEqlvV3w%2Fd6i3AKg3Da%2F4WaaNou9%2Bfg0uiS1zZJRCT8K6uCCkQ4K9djtuL327KHN1rgoDQBN4kqyi%2Br8aAKK4OuzpSCaWS5ESxaqJmOKAeqDnVlpOyMtCnqWiDB2dLStMFdvuMhO74J"</w:instrText>
      </w:r>
      <w:r>
        <w:rPr>
          <w:rFonts w:hint="eastAsia" w:ascii="仿宋_GB2312" w:hAnsi="仿宋_GB2312" w:eastAsia="仿宋_GB2312" w:cs="仿宋_GB2312"/>
        </w:rPr>
        <w:fldChar w:fldCharType="separate"/>
      </w:r>
      <w:r>
        <w:rPr>
          <w:rFonts w:hint="eastAsia" w:ascii="仿宋_GB2312" w:hAnsi="仿宋_GB2312" w:eastAsia="仿宋_GB2312" w:cs="仿宋_GB2312"/>
          <w:color w:val="000000"/>
          <w:spacing w:val="0"/>
          <w:w w:val="100"/>
          <w:position w:val="0"/>
          <w:sz w:val="28"/>
          <w:szCs w:val="28"/>
          <w:lang w:val="en-US" w:eastAsia="en-US" w:bidi="en-US"/>
        </w:rPr>
        <w:t>GBT50145-2007</w:t>
      </w:r>
      <w:r>
        <w:rPr>
          <w:rFonts w:hint="eastAsia" w:ascii="仿宋_GB2312" w:hAnsi="仿宋_GB2312" w:eastAsia="仿宋_GB2312" w:cs="仿宋_GB2312"/>
        </w:rPr>
        <w:fldChar w:fldCharType="end"/>
      </w:r>
      <w:r>
        <w:rPr>
          <w:rFonts w:hint="eastAsia" w:ascii="仿宋_GB2312" w:hAnsi="仿宋_GB2312" w:eastAsia="仿宋_GB2312" w:cs="仿宋_GB2312"/>
          <w:color w:val="000000"/>
          <w:spacing w:val="0"/>
          <w:w w:val="100"/>
          <w:position w:val="0"/>
          <w:sz w:val="28"/>
          <w:szCs w:val="28"/>
        </w:rPr>
        <w:t>)；</w:t>
      </w:r>
    </w:p>
    <w:p w14:paraId="17BB61F6">
      <w:pPr>
        <w:pStyle w:val="27"/>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560" w:firstLineChars="200"/>
        <w:jc w:val="left"/>
        <w:textAlignment w:val="auto"/>
        <w:rPr>
          <w:rFonts w:hint="eastAsia" w:ascii="仿宋_GB2312" w:hAnsi="仿宋_GB2312" w:eastAsia="仿宋_GB2312" w:cs="仿宋_GB2312"/>
          <w:color w:val="000000"/>
          <w:spacing w:val="0"/>
          <w:w w:val="100"/>
          <w:position w:val="0"/>
          <w:sz w:val="28"/>
          <w:szCs w:val="28"/>
        </w:rPr>
      </w:pPr>
      <w:r>
        <w:rPr>
          <w:rFonts w:hint="eastAsia" w:ascii="仿宋_GB2312" w:hAnsi="仿宋_GB2312" w:eastAsia="仿宋_GB2312" w:cs="仿宋_GB2312"/>
          <w:color w:val="000000"/>
          <w:spacing w:val="0"/>
          <w:w w:val="100"/>
          <w:position w:val="0"/>
          <w:sz w:val="28"/>
          <w:szCs w:val="28"/>
          <w:lang w:eastAsia="zh-CN"/>
        </w:rPr>
        <w:t>（</w:t>
      </w:r>
      <w:r>
        <w:rPr>
          <w:rFonts w:hint="eastAsia" w:ascii="仿宋_GB2312" w:hAnsi="仿宋_GB2312" w:eastAsia="仿宋_GB2312" w:cs="仿宋_GB2312"/>
          <w:color w:val="000000"/>
          <w:spacing w:val="0"/>
          <w:w w:val="100"/>
          <w:position w:val="0"/>
          <w:sz w:val="28"/>
          <w:szCs w:val="28"/>
          <w:lang w:val="en-US" w:eastAsia="zh-CN"/>
        </w:rPr>
        <w:t>24</w:t>
      </w:r>
      <w:r>
        <w:rPr>
          <w:rFonts w:hint="eastAsia" w:ascii="仿宋_GB2312" w:hAnsi="仿宋_GB2312" w:eastAsia="仿宋_GB2312" w:cs="仿宋_GB2312"/>
          <w:color w:val="000000"/>
          <w:spacing w:val="0"/>
          <w:w w:val="100"/>
          <w:position w:val="0"/>
          <w:sz w:val="28"/>
          <w:szCs w:val="28"/>
          <w:lang w:eastAsia="zh-CN"/>
        </w:rPr>
        <w:t>）</w:t>
      </w:r>
      <w:r>
        <w:rPr>
          <w:rFonts w:hint="eastAsia" w:ascii="仿宋_GB2312" w:hAnsi="仿宋_GB2312" w:eastAsia="仿宋_GB2312" w:cs="仿宋_GB2312"/>
          <w:color w:val="000000"/>
          <w:spacing w:val="0"/>
          <w:w w:val="100"/>
          <w:position w:val="0"/>
          <w:sz w:val="28"/>
          <w:szCs w:val="28"/>
        </w:rPr>
        <w:t>《土工试验方法标准》</w:t>
      </w:r>
      <w:r>
        <w:rPr>
          <w:rFonts w:hint="eastAsia" w:ascii="仿宋_GB2312" w:hAnsi="仿宋_GB2312" w:eastAsia="仿宋_GB2312" w:cs="仿宋_GB2312"/>
          <w:color w:val="000000"/>
          <w:spacing w:val="0"/>
          <w:w w:val="100"/>
          <w:position w:val="0"/>
          <w:sz w:val="28"/>
          <w:szCs w:val="28"/>
          <w:lang w:val="en-US" w:eastAsia="en-US" w:bidi="en-US"/>
        </w:rPr>
        <w:t>(GB/T50123-1999)</w:t>
      </w:r>
      <w:r>
        <w:rPr>
          <w:rFonts w:hint="eastAsia" w:ascii="仿宋_GB2312" w:hAnsi="仿宋_GB2312" w:eastAsia="仿宋_GB2312" w:cs="仿宋_GB2312"/>
          <w:color w:val="000000"/>
          <w:spacing w:val="0"/>
          <w:w w:val="100"/>
          <w:position w:val="0"/>
          <w:sz w:val="28"/>
          <w:szCs w:val="28"/>
        </w:rPr>
        <w:t>；</w:t>
      </w:r>
    </w:p>
    <w:p w14:paraId="4711CBD0">
      <w:pPr>
        <w:pStyle w:val="27"/>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560" w:firstLineChars="200"/>
        <w:jc w:val="left"/>
        <w:textAlignment w:val="auto"/>
        <w:rPr>
          <w:rFonts w:hint="eastAsia" w:ascii="仿宋_GB2312" w:hAnsi="仿宋_GB2312" w:eastAsia="仿宋_GB2312" w:cs="仿宋_GB2312"/>
          <w:color w:val="000000"/>
          <w:spacing w:val="0"/>
          <w:w w:val="100"/>
          <w:position w:val="0"/>
          <w:sz w:val="28"/>
          <w:szCs w:val="28"/>
        </w:rPr>
      </w:pPr>
      <w:r>
        <w:rPr>
          <w:rFonts w:hint="eastAsia" w:ascii="仿宋_GB2312" w:hAnsi="仿宋_GB2312" w:eastAsia="仿宋_GB2312" w:cs="仿宋_GB2312"/>
          <w:color w:val="000000"/>
          <w:spacing w:val="0"/>
          <w:w w:val="100"/>
          <w:position w:val="0"/>
          <w:sz w:val="28"/>
          <w:szCs w:val="28"/>
          <w:lang w:eastAsia="zh-CN"/>
        </w:rPr>
        <w:t>（</w:t>
      </w:r>
      <w:r>
        <w:rPr>
          <w:rFonts w:hint="eastAsia" w:ascii="仿宋_GB2312" w:hAnsi="仿宋_GB2312" w:eastAsia="仿宋_GB2312" w:cs="仿宋_GB2312"/>
          <w:color w:val="000000"/>
          <w:spacing w:val="0"/>
          <w:w w:val="100"/>
          <w:position w:val="0"/>
          <w:sz w:val="28"/>
          <w:szCs w:val="28"/>
          <w:lang w:val="en-US" w:eastAsia="zh-CN"/>
        </w:rPr>
        <w:t>25</w:t>
      </w:r>
      <w:r>
        <w:rPr>
          <w:rFonts w:hint="eastAsia" w:ascii="仿宋_GB2312" w:hAnsi="仿宋_GB2312" w:eastAsia="仿宋_GB2312" w:cs="仿宋_GB2312"/>
          <w:color w:val="000000"/>
          <w:spacing w:val="0"/>
          <w:w w:val="100"/>
          <w:position w:val="0"/>
          <w:sz w:val="28"/>
          <w:szCs w:val="28"/>
          <w:lang w:eastAsia="zh-CN"/>
        </w:rPr>
        <w:t>）</w:t>
      </w:r>
      <w:r>
        <w:rPr>
          <w:rFonts w:hint="eastAsia" w:ascii="仿宋_GB2312" w:hAnsi="仿宋_GB2312" w:eastAsia="仿宋_GB2312" w:cs="仿宋_GB2312"/>
          <w:color w:val="000000"/>
          <w:spacing w:val="0"/>
          <w:w w:val="100"/>
          <w:position w:val="0"/>
          <w:sz w:val="28"/>
          <w:szCs w:val="28"/>
        </w:rPr>
        <w:t>《供水水文地质勘察规范》</w:t>
      </w:r>
      <w:r>
        <w:rPr>
          <w:rFonts w:hint="eastAsia" w:ascii="仿宋_GB2312" w:hAnsi="仿宋_GB2312" w:eastAsia="仿宋_GB2312" w:cs="仿宋_GB2312"/>
          <w:color w:val="000000"/>
          <w:spacing w:val="0"/>
          <w:w w:val="100"/>
          <w:position w:val="0"/>
          <w:sz w:val="28"/>
          <w:szCs w:val="28"/>
          <w:lang w:val="en-US" w:eastAsia="en-US" w:bidi="en-US"/>
        </w:rPr>
        <w:t>(GB50027-2001)</w:t>
      </w:r>
      <w:r>
        <w:rPr>
          <w:rFonts w:hint="eastAsia" w:ascii="仿宋_GB2312" w:hAnsi="仿宋_GB2312" w:eastAsia="仿宋_GB2312" w:cs="仿宋_GB2312"/>
          <w:color w:val="000000"/>
          <w:spacing w:val="0"/>
          <w:w w:val="100"/>
          <w:position w:val="0"/>
          <w:sz w:val="28"/>
          <w:szCs w:val="28"/>
        </w:rPr>
        <w:t>；</w:t>
      </w:r>
    </w:p>
    <w:p w14:paraId="28C8307B">
      <w:pPr>
        <w:pStyle w:val="27"/>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560" w:firstLineChars="200"/>
        <w:jc w:val="left"/>
        <w:textAlignment w:val="auto"/>
        <w:rPr>
          <w:rFonts w:hint="eastAsia" w:ascii="仿宋_GB2312" w:hAnsi="仿宋_GB2312" w:eastAsia="仿宋_GB2312" w:cs="仿宋_GB2312"/>
          <w:color w:val="000000"/>
          <w:spacing w:val="0"/>
          <w:w w:val="100"/>
          <w:position w:val="0"/>
          <w:sz w:val="28"/>
          <w:szCs w:val="28"/>
        </w:rPr>
      </w:pPr>
      <w:r>
        <w:rPr>
          <w:rFonts w:hint="eastAsia" w:ascii="仿宋_GB2312" w:hAnsi="仿宋_GB2312" w:eastAsia="仿宋_GB2312" w:cs="仿宋_GB2312"/>
          <w:color w:val="000000"/>
          <w:spacing w:val="0"/>
          <w:w w:val="100"/>
          <w:position w:val="0"/>
          <w:sz w:val="28"/>
          <w:szCs w:val="28"/>
          <w:lang w:eastAsia="zh-CN"/>
        </w:rPr>
        <w:t>（</w:t>
      </w:r>
      <w:r>
        <w:rPr>
          <w:rFonts w:hint="eastAsia" w:ascii="仿宋_GB2312" w:hAnsi="仿宋_GB2312" w:eastAsia="仿宋_GB2312" w:cs="仿宋_GB2312"/>
          <w:color w:val="000000"/>
          <w:spacing w:val="0"/>
          <w:w w:val="100"/>
          <w:position w:val="0"/>
          <w:sz w:val="28"/>
          <w:szCs w:val="28"/>
          <w:lang w:val="en-US" w:eastAsia="zh-CN"/>
        </w:rPr>
        <w:t>26</w:t>
      </w:r>
      <w:r>
        <w:rPr>
          <w:rFonts w:hint="eastAsia" w:ascii="仿宋_GB2312" w:hAnsi="仿宋_GB2312" w:eastAsia="仿宋_GB2312" w:cs="仿宋_GB2312"/>
          <w:color w:val="000000"/>
          <w:spacing w:val="0"/>
          <w:w w:val="100"/>
          <w:position w:val="0"/>
          <w:sz w:val="28"/>
          <w:szCs w:val="28"/>
          <w:lang w:eastAsia="zh-CN"/>
        </w:rPr>
        <w:t>）</w:t>
      </w:r>
      <w:r>
        <w:rPr>
          <w:rFonts w:hint="eastAsia" w:ascii="仿宋_GB2312" w:hAnsi="仿宋_GB2312" w:eastAsia="仿宋_GB2312" w:cs="仿宋_GB2312"/>
          <w:color w:val="000000"/>
          <w:spacing w:val="0"/>
          <w:w w:val="100"/>
          <w:position w:val="0"/>
          <w:sz w:val="28"/>
          <w:szCs w:val="28"/>
        </w:rPr>
        <w:t>《工程测量规范》(</w:t>
      </w:r>
      <w:r>
        <w:rPr>
          <w:rFonts w:hint="eastAsia" w:ascii="仿宋_GB2312" w:hAnsi="仿宋_GB2312" w:eastAsia="仿宋_GB2312" w:cs="仿宋_GB2312"/>
          <w:color w:val="000000"/>
          <w:spacing w:val="0"/>
          <w:w w:val="100"/>
          <w:position w:val="0"/>
          <w:sz w:val="28"/>
          <w:szCs w:val="28"/>
          <w:lang w:val="en-US" w:eastAsia="en-US" w:bidi="en-US"/>
        </w:rPr>
        <w:t>GB</w:t>
      </w:r>
      <w:r>
        <w:rPr>
          <w:rFonts w:hint="eastAsia" w:ascii="仿宋_GB2312" w:hAnsi="仿宋_GB2312" w:eastAsia="仿宋_GB2312" w:cs="仿宋_GB2312"/>
          <w:color w:val="000000"/>
          <w:spacing w:val="0"/>
          <w:w w:val="100"/>
          <w:position w:val="0"/>
          <w:sz w:val="28"/>
          <w:szCs w:val="28"/>
        </w:rPr>
        <w:t>50026-2007)；</w:t>
      </w:r>
    </w:p>
    <w:p w14:paraId="01C4C17D">
      <w:pPr>
        <w:pStyle w:val="27"/>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560" w:firstLineChars="200"/>
        <w:jc w:val="left"/>
        <w:textAlignment w:val="auto"/>
        <w:rPr>
          <w:rFonts w:hint="eastAsia" w:ascii="仿宋_GB2312" w:hAnsi="仿宋_GB2312" w:eastAsia="仿宋_GB2312" w:cs="仿宋_GB2312"/>
          <w:color w:val="000000"/>
          <w:spacing w:val="0"/>
          <w:w w:val="100"/>
          <w:position w:val="0"/>
          <w:sz w:val="28"/>
          <w:szCs w:val="28"/>
        </w:rPr>
      </w:pPr>
      <w:r>
        <w:rPr>
          <w:rFonts w:hint="eastAsia" w:ascii="仿宋_GB2312" w:hAnsi="仿宋_GB2312" w:eastAsia="仿宋_GB2312" w:cs="仿宋_GB2312"/>
          <w:color w:val="000000"/>
          <w:spacing w:val="0"/>
          <w:w w:val="100"/>
          <w:position w:val="0"/>
          <w:sz w:val="28"/>
          <w:szCs w:val="28"/>
          <w:lang w:eastAsia="zh-CN"/>
        </w:rPr>
        <w:t>（</w:t>
      </w:r>
      <w:r>
        <w:rPr>
          <w:rFonts w:hint="eastAsia" w:ascii="仿宋_GB2312" w:hAnsi="仿宋_GB2312" w:eastAsia="仿宋_GB2312" w:cs="仿宋_GB2312"/>
          <w:color w:val="000000"/>
          <w:spacing w:val="0"/>
          <w:w w:val="100"/>
          <w:position w:val="0"/>
          <w:sz w:val="28"/>
          <w:szCs w:val="28"/>
          <w:lang w:val="en-US" w:eastAsia="zh-CN"/>
        </w:rPr>
        <w:t>27</w:t>
      </w:r>
      <w:r>
        <w:rPr>
          <w:rFonts w:hint="eastAsia" w:ascii="仿宋_GB2312" w:hAnsi="仿宋_GB2312" w:eastAsia="仿宋_GB2312" w:cs="仿宋_GB2312"/>
          <w:color w:val="000000"/>
          <w:spacing w:val="0"/>
          <w:w w:val="100"/>
          <w:position w:val="0"/>
          <w:sz w:val="28"/>
          <w:szCs w:val="28"/>
          <w:lang w:eastAsia="zh-CN"/>
        </w:rPr>
        <w:t>）</w:t>
      </w:r>
      <w:r>
        <w:rPr>
          <w:rFonts w:hint="eastAsia" w:ascii="仿宋_GB2312" w:hAnsi="仿宋_GB2312" w:eastAsia="仿宋_GB2312" w:cs="仿宋_GB2312"/>
          <w:color w:val="000000"/>
          <w:spacing w:val="0"/>
          <w:w w:val="100"/>
          <w:position w:val="0"/>
          <w:sz w:val="28"/>
          <w:szCs w:val="28"/>
        </w:rPr>
        <w:t>《污染场地勘察规范》</w:t>
      </w:r>
      <w:r>
        <w:rPr>
          <w:rFonts w:hint="eastAsia" w:ascii="仿宋_GB2312" w:hAnsi="仿宋_GB2312" w:eastAsia="仿宋_GB2312" w:cs="仿宋_GB2312"/>
          <w:color w:val="000000"/>
          <w:spacing w:val="0"/>
          <w:w w:val="100"/>
          <w:position w:val="0"/>
          <w:sz w:val="28"/>
          <w:szCs w:val="28"/>
          <w:lang w:val="en-US" w:eastAsia="en-US" w:bidi="en-US"/>
        </w:rPr>
        <w:t>(DB11/T1311-2015)</w:t>
      </w:r>
      <w:r>
        <w:rPr>
          <w:rFonts w:hint="eastAsia" w:ascii="仿宋_GB2312" w:hAnsi="仿宋_GB2312" w:eastAsia="仿宋_GB2312" w:cs="仿宋_GB2312"/>
          <w:color w:val="000000"/>
          <w:spacing w:val="0"/>
          <w:w w:val="100"/>
          <w:position w:val="0"/>
          <w:sz w:val="28"/>
          <w:szCs w:val="28"/>
        </w:rPr>
        <w:t>；</w:t>
      </w:r>
    </w:p>
    <w:p w14:paraId="4EEAB109">
      <w:pPr>
        <w:pStyle w:val="27"/>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560" w:firstLineChars="200"/>
        <w:jc w:val="left"/>
        <w:textAlignment w:val="auto"/>
        <w:rPr>
          <w:rFonts w:hint="eastAsia" w:ascii="仿宋_GB2312" w:hAnsi="仿宋_GB2312" w:eastAsia="仿宋_GB2312" w:cs="仿宋_GB2312"/>
          <w:color w:val="000000"/>
          <w:spacing w:val="0"/>
          <w:w w:val="100"/>
          <w:position w:val="0"/>
          <w:sz w:val="28"/>
          <w:szCs w:val="28"/>
        </w:rPr>
      </w:pPr>
      <w:r>
        <w:rPr>
          <w:rFonts w:hint="eastAsia" w:ascii="仿宋_GB2312" w:hAnsi="仿宋_GB2312" w:eastAsia="仿宋_GB2312" w:cs="仿宋_GB2312"/>
          <w:color w:val="000000"/>
          <w:spacing w:val="0"/>
          <w:w w:val="100"/>
          <w:position w:val="0"/>
          <w:sz w:val="28"/>
          <w:szCs w:val="28"/>
          <w:lang w:eastAsia="zh-CN"/>
        </w:rPr>
        <w:t>（</w:t>
      </w:r>
      <w:r>
        <w:rPr>
          <w:rFonts w:hint="eastAsia" w:ascii="仿宋_GB2312" w:hAnsi="仿宋_GB2312" w:eastAsia="仿宋_GB2312" w:cs="仿宋_GB2312"/>
          <w:color w:val="000000"/>
          <w:spacing w:val="0"/>
          <w:w w:val="100"/>
          <w:position w:val="0"/>
          <w:sz w:val="28"/>
          <w:szCs w:val="28"/>
          <w:lang w:val="en-US" w:eastAsia="zh-CN"/>
        </w:rPr>
        <w:t>28</w:t>
      </w:r>
      <w:r>
        <w:rPr>
          <w:rFonts w:hint="eastAsia" w:ascii="仿宋_GB2312" w:hAnsi="仿宋_GB2312" w:eastAsia="仿宋_GB2312" w:cs="仿宋_GB2312"/>
          <w:color w:val="000000"/>
          <w:spacing w:val="0"/>
          <w:w w:val="100"/>
          <w:position w:val="0"/>
          <w:sz w:val="28"/>
          <w:szCs w:val="28"/>
          <w:lang w:eastAsia="zh-CN"/>
        </w:rPr>
        <w:t>）</w:t>
      </w:r>
      <w:r>
        <w:rPr>
          <w:rFonts w:hint="eastAsia" w:ascii="仿宋_GB2312" w:hAnsi="仿宋_GB2312" w:eastAsia="仿宋_GB2312" w:cs="仿宋_GB2312"/>
          <w:color w:val="000000"/>
          <w:spacing w:val="0"/>
          <w:w w:val="100"/>
          <w:position w:val="0"/>
          <w:sz w:val="28"/>
          <w:szCs w:val="28"/>
        </w:rPr>
        <w:t>《场地与生产设施环境风险评价及修复验收手册》；</w:t>
      </w:r>
    </w:p>
    <w:p w14:paraId="6908BB89">
      <w:pPr>
        <w:pStyle w:val="27"/>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560" w:firstLineChars="200"/>
        <w:jc w:val="left"/>
        <w:textAlignment w:val="auto"/>
        <w:rPr>
          <w:rFonts w:hint="eastAsia" w:ascii="仿宋_GB2312" w:hAnsi="仿宋_GB2312" w:eastAsia="仿宋_GB2312" w:cs="仿宋_GB2312"/>
          <w:color w:val="000000"/>
          <w:spacing w:val="0"/>
          <w:w w:val="100"/>
          <w:position w:val="0"/>
          <w:sz w:val="28"/>
          <w:szCs w:val="28"/>
          <w:lang w:val="en-US" w:eastAsia="zh-CN"/>
        </w:rPr>
      </w:pPr>
      <w:r>
        <w:rPr>
          <w:rFonts w:hint="eastAsia" w:ascii="仿宋_GB2312" w:hAnsi="仿宋_GB2312" w:eastAsia="仿宋_GB2312" w:cs="仿宋_GB2312"/>
          <w:color w:val="000000"/>
          <w:spacing w:val="0"/>
          <w:w w:val="100"/>
          <w:position w:val="0"/>
          <w:sz w:val="28"/>
          <w:szCs w:val="28"/>
          <w:lang w:eastAsia="zh-CN"/>
        </w:rPr>
        <w:t>（</w:t>
      </w:r>
      <w:r>
        <w:rPr>
          <w:rFonts w:hint="eastAsia" w:ascii="仿宋_GB2312" w:hAnsi="仿宋_GB2312" w:eastAsia="仿宋_GB2312" w:cs="仿宋_GB2312"/>
          <w:color w:val="000000"/>
          <w:spacing w:val="0"/>
          <w:w w:val="100"/>
          <w:position w:val="0"/>
          <w:sz w:val="28"/>
          <w:szCs w:val="28"/>
          <w:lang w:val="en-US" w:eastAsia="zh-CN"/>
        </w:rPr>
        <w:t>29</w:t>
      </w:r>
      <w:r>
        <w:rPr>
          <w:rFonts w:hint="eastAsia" w:ascii="仿宋_GB2312" w:hAnsi="仿宋_GB2312" w:eastAsia="仿宋_GB2312" w:cs="仿宋_GB2312"/>
          <w:color w:val="000000"/>
          <w:spacing w:val="0"/>
          <w:w w:val="100"/>
          <w:position w:val="0"/>
          <w:sz w:val="28"/>
          <w:szCs w:val="28"/>
          <w:lang w:eastAsia="zh-CN"/>
        </w:rPr>
        <w:t>）</w:t>
      </w:r>
      <w:r>
        <w:rPr>
          <w:rFonts w:hint="eastAsia" w:ascii="仿宋_GB2312" w:hAnsi="仿宋_GB2312" w:eastAsia="仿宋_GB2312" w:cs="仿宋_GB2312"/>
          <w:color w:val="000000"/>
          <w:spacing w:val="0"/>
          <w:w w:val="100"/>
          <w:position w:val="0"/>
          <w:sz w:val="28"/>
          <w:szCs w:val="28"/>
        </w:rPr>
        <w:t>《在产企业土壤及地下水自行监测技术指南(征求意见稿)》</w:t>
      </w:r>
    </w:p>
    <w:p w14:paraId="546C85A0">
      <w:pPr>
        <w:pStyle w:val="31"/>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560" w:firstLineChars="200"/>
        <w:jc w:val="left"/>
        <w:textAlignment w:val="auto"/>
        <w:rPr>
          <w:rFonts w:hint="eastAsia" w:ascii="仿宋_GB2312" w:hAnsi="仿宋_GB2312" w:eastAsia="仿宋_GB2312" w:cs="仿宋_GB2312"/>
        </w:rPr>
      </w:pPr>
      <w:r>
        <w:rPr>
          <w:rFonts w:hint="eastAsia" w:ascii="仿宋_GB2312" w:hAnsi="仿宋_GB2312" w:eastAsia="仿宋_GB2312" w:cs="仿宋_GB2312"/>
          <w:color w:val="000000"/>
          <w:spacing w:val="0"/>
          <w:w w:val="100"/>
          <w:position w:val="0"/>
        </w:rPr>
        <w:t>（生态环境部，环办标征函</w:t>
      </w:r>
      <w:r>
        <w:rPr>
          <w:rFonts w:hint="eastAsia" w:ascii="仿宋_GB2312" w:hAnsi="仿宋_GB2312" w:eastAsia="仿宋_GB2312" w:cs="仿宋_GB2312"/>
          <w:color w:val="000000"/>
          <w:spacing w:val="0"/>
          <w:w w:val="100"/>
          <w:position w:val="0"/>
          <w:lang w:val="en-US" w:eastAsia="en-US" w:bidi="en-US"/>
        </w:rPr>
        <w:t>［2018150</w:t>
      </w:r>
      <w:r>
        <w:rPr>
          <w:rFonts w:hint="eastAsia" w:ascii="仿宋_GB2312" w:hAnsi="仿宋_GB2312" w:eastAsia="仿宋_GB2312" w:cs="仿宋_GB2312"/>
          <w:color w:val="000000"/>
          <w:spacing w:val="0"/>
          <w:w w:val="100"/>
          <w:position w:val="0"/>
        </w:rPr>
        <w:t>号,2018年9月17日）；</w:t>
      </w:r>
    </w:p>
    <w:p w14:paraId="6ED3B0F2">
      <w:pPr>
        <w:pStyle w:val="27"/>
        <w:keepNext w:val="0"/>
        <w:keepLines w:val="0"/>
        <w:pageBreakBefore w:val="0"/>
        <w:widowControl w:val="0"/>
        <w:shd w:val="clear" w:color="auto" w:fill="auto"/>
        <w:tabs>
          <w:tab w:val="left" w:pos="1429"/>
        </w:tabs>
        <w:kinsoku/>
        <w:wordWrap/>
        <w:overflowPunct/>
        <w:topLinePunct w:val="0"/>
        <w:autoSpaceDE/>
        <w:autoSpaceDN/>
        <w:bidi w:val="0"/>
        <w:adjustRightInd/>
        <w:snapToGrid/>
        <w:spacing w:before="0" w:after="0" w:line="560" w:lineRule="exact"/>
        <w:ind w:left="0" w:right="0" w:firstLine="560" w:firstLineChars="200"/>
        <w:jc w:val="both"/>
        <w:textAlignment w:val="auto"/>
        <w:rPr>
          <w:rFonts w:hint="eastAsia" w:ascii="仿宋_GB2312" w:hAnsi="仿宋_GB2312" w:eastAsia="仿宋_GB2312" w:cs="仿宋_GB2312"/>
        </w:rPr>
      </w:pPr>
      <w:r>
        <w:rPr>
          <w:rFonts w:hint="eastAsia" w:ascii="仿宋_GB2312" w:hAnsi="仿宋_GB2312" w:eastAsia="仿宋_GB2312" w:cs="仿宋_GB2312"/>
          <w:color w:val="000000"/>
          <w:spacing w:val="0"/>
          <w:w w:val="100"/>
          <w:position w:val="0"/>
          <w:lang w:eastAsia="zh-CN"/>
        </w:rPr>
        <w:t>（</w:t>
      </w:r>
      <w:r>
        <w:rPr>
          <w:rFonts w:hint="eastAsia" w:ascii="仿宋_GB2312" w:hAnsi="仿宋_GB2312" w:eastAsia="仿宋_GB2312" w:cs="仿宋_GB2312"/>
          <w:color w:val="000000"/>
          <w:spacing w:val="0"/>
          <w:w w:val="100"/>
          <w:position w:val="0"/>
          <w:lang w:val="en-US" w:eastAsia="zh-CN"/>
        </w:rPr>
        <w:t>30</w:t>
      </w:r>
      <w:r>
        <w:rPr>
          <w:rFonts w:hint="eastAsia" w:ascii="仿宋_GB2312" w:hAnsi="仿宋_GB2312" w:eastAsia="仿宋_GB2312" w:cs="仿宋_GB2312"/>
          <w:color w:val="000000"/>
          <w:spacing w:val="0"/>
          <w:w w:val="100"/>
          <w:position w:val="0"/>
          <w:lang w:eastAsia="zh-CN"/>
        </w:rPr>
        <w:t>）</w:t>
      </w:r>
      <w:r>
        <w:rPr>
          <w:rFonts w:hint="eastAsia" w:ascii="仿宋_GB2312" w:hAnsi="仿宋_GB2312" w:eastAsia="仿宋_GB2312" w:cs="仿宋_GB2312"/>
          <w:color w:val="000000"/>
          <w:spacing w:val="0"/>
          <w:w w:val="100"/>
          <w:position w:val="0"/>
        </w:rPr>
        <w:t>《土壤环境质量建设用地土壤污染风险管控标准（试行）》</w:t>
      </w:r>
      <w:r>
        <w:rPr>
          <w:rFonts w:hint="eastAsia" w:ascii="仿宋_GB2312" w:hAnsi="仿宋_GB2312" w:eastAsia="仿宋_GB2312" w:cs="仿宋_GB2312"/>
          <w:color w:val="000000"/>
          <w:spacing w:val="0"/>
          <w:w w:val="100"/>
          <w:position w:val="0"/>
          <w:lang w:val="en-US" w:eastAsia="en-US" w:bidi="en-US"/>
        </w:rPr>
        <w:t>（GB36600-2018）；</w:t>
      </w:r>
    </w:p>
    <w:p w14:paraId="64F17545">
      <w:pPr>
        <w:pStyle w:val="27"/>
        <w:keepNext w:val="0"/>
        <w:keepLines w:val="0"/>
        <w:pageBreakBefore w:val="0"/>
        <w:widowControl w:val="0"/>
        <w:shd w:val="clear" w:color="auto" w:fill="auto"/>
        <w:tabs>
          <w:tab w:val="left" w:pos="1356"/>
        </w:tabs>
        <w:kinsoku/>
        <w:wordWrap/>
        <w:overflowPunct/>
        <w:topLinePunct w:val="0"/>
        <w:autoSpaceDE/>
        <w:autoSpaceDN/>
        <w:bidi w:val="0"/>
        <w:adjustRightInd/>
        <w:snapToGrid/>
        <w:spacing w:before="0" w:after="0" w:line="560" w:lineRule="exact"/>
        <w:ind w:left="0" w:right="0" w:firstLine="560" w:firstLineChars="200"/>
        <w:jc w:val="both"/>
        <w:textAlignment w:val="auto"/>
        <w:rPr>
          <w:rFonts w:hint="eastAsia" w:ascii="仿宋_GB2312" w:hAnsi="仿宋_GB2312" w:eastAsia="仿宋_GB2312" w:cs="仿宋_GB2312"/>
        </w:rPr>
      </w:pPr>
      <w:r>
        <w:rPr>
          <w:rFonts w:hint="eastAsia" w:ascii="仿宋_GB2312" w:hAnsi="仿宋_GB2312" w:eastAsia="仿宋_GB2312" w:cs="仿宋_GB2312"/>
          <w:color w:val="000000"/>
          <w:spacing w:val="0"/>
          <w:w w:val="100"/>
          <w:position w:val="0"/>
          <w:lang w:eastAsia="zh-CN"/>
        </w:rPr>
        <w:t>（</w:t>
      </w:r>
      <w:r>
        <w:rPr>
          <w:rFonts w:hint="eastAsia" w:ascii="仿宋_GB2312" w:hAnsi="仿宋_GB2312" w:eastAsia="仿宋_GB2312" w:cs="仿宋_GB2312"/>
          <w:color w:val="000000"/>
          <w:spacing w:val="0"/>
          <w:w w:val="100"/>
          <w:position w:val="0"/>
          <w:lang w:val="en-US" w:eastAsia="zh-CN"/>
        </w:rPr>
        <w:t>31</w:t>
      </w:r>
      <w:r>
        <w:rPr>
          <w:rFonts w:hint="eastAsia" w:ascii="仿宋_GB2312" w:hAnsi="仿宋_GB2312" w:eastAsia="仿宋_GB2312" w:cs="仿宋_GB2312"/>
          <w:color w:val="000000"/>
          <w:spacing w:val="0"/>
          <w:w w:val="100"/>
          <w:position w:val="0"/>
          <w:lang w:eastAsia="zh-CN"/>
        </w:rPr>
        <w:t>）</w:t>
      </w:r>
      <w:r>
        <w:rPr>
          <w:rFonts w:hint="eastAsia" w:ascii="仿宋_GB2312" w:hAnsi="仿宋_GB2312" w:eastAsia="仿宋_GB2312" w:cs="仿宋_GB2312"/>
          <w:color w:val="000000"/>
          <w:spacing w:val="0"/>
          <w:w w:val="100"/>
          <w:position w:val="0"/>
        </w:rPr>
        <w:t>《地下水环境监测技术规范》</w:t>
      </w:r>
      <w:r>
        <w:rPr>
          <w:rFonts w:hint="eastAsia" w:ascii="仿宋_GB2312" w:hAnsi="仿宋_GB2312" w:eastAsia="仿宋_GB2312" w:cs="仿宋_GB2312"/>
          <w:color w:val="000000"/>
          <w:spacing w:val="0"/>
          <w:w w:val="100"/>
          <w:position w:val="0"/>
          <w:lang w:val="en-US" w:eastAsia="en-US" w:bidi="en-US"/>
        </w:rPr>
        <w:t>（H/T1642020）；</w:t>
      </w:r>
    </w:p>
    <w:p w14:paraId="66C7DF41">
      <w:pPr>
        <w:pStyle w:val="27"/>
        <w:keepNext w:val="0"/>
        <w:keepLines w:val="0"/>
        <w:pageBreakBefore w:val="0"/>
        <w:widowControl w:val="0"/>
        <w:shd w:val="clear" w:color="auto" w:fill="auto"/>
        <w:tabs>
          <w:tab w:val="left" w:pos="1424"/>
        </w:tabs>
        <w:kinsoku/>
        <w:wordWrap/>
        <w:overflowPunct/>
        <w:topLinePunct w:val="0"/>
        <w:autoSpaceDE/>
        <w:autoSpaceDN/>
        <w:bidi w:val="0"/>
        <w:adjustRightInd/>
        <w:snapToGrid/>
        <w:spacing w:before="0" w:after="0" w:line="560" w:lineRule="exact"/>
        <w:ind w:left="0" w:right="0" w:firstLine="560" w:firstLineChars="200"/>
        <w:jc w:val="both"/>
        <w:textAlignment w:val="auto"/>
        <w:rPr>
          <w:rFonts w:hint="eastAsia" w:ascii="仿宋_GB2312" w:hAnsi="仿宋_GB2312" w:eastAsia="仿宋_GB2312" w:cs="仿宋_GB2312"/>
        </w:rPr>
      </w:pPr>
      <w:bookmarkStart w:id="66" w:name="bookmark75"/>
      <w:r>
        <w:rPr>
          <w:rFonts w:hint="eastAsia" w:ascii="仿宋_GB2312" w:hAnsi="仿宋_GB2312" w:eastAsia="仿宋_GB2312" w:cs="仿宋_GB2312"/>
          <w:color w:val="000000"/>
          <w:spacing w:val="0"/>
          <w:w w:val="100"/>
          <w:position w:val="0"/>
        </w:rPr>
        <w:t>（</w:t>
      </w:r>
      <w:bookmarkEnd w:id="66"/>
      <w:r>
        <w:rPr>
          <w:rFonts w:hint="eastAsia" w:ascii="仿宋_GB2312" w:hAnsi="仿宋_GB2312" w:eastAsia="仿宋_GB2312" w:cs="仿宋_GB2312"/>
          <w:color w:val="000000"/>
          <w:spacing w:val="0"/>
          <w:w w:val="100"/>
          <w:position w:val="0"/>
        </w:rPr>
        <w:t>3</w:t>
      </w:r>
      <w:r>
        <w:rPr>
          <w:rFonts w:hint="eastAsia" w:ascii="仿宋_GB2312" w:hAnsi="仿宋_GB2312" w:eastAsia="仿宋_GB2312" w:cs="仿宋_GB2312"/>
          <w:color w:val="000000"/>
          <w:spacing w:val="0"/>
          <w:w w:val="100"/>
          <w:position w:val="0"/>
          <w:lang w:val="en-US" w:eastAsia="zh-CN"/>
        </w:rPr>
        <w:t>2</w:t>
      </w:r>
      <w:r>
        <w:rPr>
          <w:rFonts w:hint="eastAsia" w:ascii="仿宋_GB2312" w:hAnsi="仿宋_GB2312" w:eastAsia="仿宋_GB2312" w:cs="仿宋_GB2312"/>
          <w:color w:val="000000"/>
          <w:spacing w:val="0"/>
          <w:w w:val="100"/>
          <w:position w:val="0"/>
        </w:rPr>
        <w:t>）</w:t>
      </w:r>
      <w:r>
        <w:rPr>
          <w:rFonts w:hint="eastAsia" w:ascii="仿宋_GB2312" w:hAnsi="仿宋_GB2312" w:eastAsia="仿宋_GB2312" w:cs="仿宋_GB2312"/>
          <w:color w:val="000000"/>
          <w:spacing w:val="0"/>
          <w:w w:val="100"/>
          <w:position w:val="0"/>
        </w:rPr>
        <w:tab/>
      </w:r>
      <w:r>
        <w:rPr>
          <w:rFonts w:hint="eastAsia" w:ascii="仿宋_GB2312" w:hAnsi="仿宋_GB2312" w:eastAsia="仿宋_GB2312" w:cs="仿宋_GB2312"/>
          <w:color w:val="000000"/>
          <w:spacing w:val="0"/>
          <w:w w:val="100"/>
          <w:position w:val="0"/>
        </w:rPr>
        <w:t>《国家危险废物名录（2021版）》（环境保护部令第39号,2020年11月5日）；</w:t>
      </w:r>
    </w:p>
    <w:p w14:paraId="23D57AC7">
      <w:pPr>
        <w:pStyle w:val="27"/>
        <w:keepNext w:val="0"/>
        <w:keepLines w:val="0"/>
        <w:pageBreakBefore w:val="0"/>
        <w:widowControl w:val="0"/>
        <w:shd w:val="clear" w:color="auto" w:fill="auto"/>
        <w:tabs>
          <w:tab w:val="left" w:pos="1414"/>
        </w:tabs>
        <w:kinsoku/>
        <w:wordWrap/>
        <w:overflowPunct/>
        <w:topLinePunct w:val="0"/>
        <w:autoSpaceDE/>
        <w:autoSpaceDN/>
        <w:bidi w:val="0"/>
        <w:adjustRightInd/>
        <w:snapToGrid/>
        <w:spacing w:before="0" w:after="0" w:line="560" w:lineRule="exact"/>
        <w:ind w:left="0" w:right="0" w:firstLine="560" w:firstLineChars="200"/>
        <w:jc w:val="both"/>
        <w:textAlignment w:val="auto"/>
        <w:rPr>
          <w:rFonts w:hint="eastAsia" w:ascii="仿宋_GB2312" w:hAnsi="仿宋_GB2312" w:eastAsia="仿宋_GB2312" w:cs="仿宋_GB2312"/>
        </w:rPr>
      </w:pPr>
      <w:bookmarkStart w:id="67" w:name="bookmark76"/>
      <w:r>
        <w:rPr>
          <w:rFonts w:hint="eastAsia" w:ascii="仿宋_GB2312" w:hAnsi="仿宋_GB2312" w:eastAsia="仿宋_GB2312" w:cs="仿宋_GB2312"/>
          <w:color w:val="000000"/>
          <w:spacing w:val="0"/>
          <w:w w:val="100"/>
          <w:position w:val="0"/>
        </w:rPr>
        <w:t>（</w:t>
      </w:r>
      <w:bookmarkEnd w:id="67"/>
      <w:r>
        <w:rPr>
          <w:rFonts w:hint="eastAsia" w:ascii="仿宋_GB2312" w:hAnsi="仿宋_GB2312" w:eastAsia="仿宋_GB2312" w:cs="仿宋_GB2312"/>
          <w:color w:val="000000"/>
          <w:spacing w:val="0"/>
          <w:w w:val="100"/>
          <w:position w:val="0"/>
        </w:rPr>
        <w:t>3</w:t>
      </w:r>
      <w:r>
        <w:rPr>
          <w:rFonts w:hint="eastAsia" w:ascii="仿宋_GB2312" w:hAnsi="仿宋_GB2312" w:eastAsia="仿宋_GB2312" w:cs="仿宋_GB2312"/>
          <w:color w:val="000000"/>
          <w:spacing w:val="0"/>
          <w:w w:val="100"/>
          <w:position w:val="0"/>
          <w:lang w:val="en-US" w:eastAsia="zh-CN"/>
        </w:rPr>
        <w:t>3</w:t>
      </w:r>
      <w:r>
        <w:rPr>
          <w:rFonts w:hint="eastAsia" w:ascii="仿宋_GB2312" w:hAnsi="仿宋_GB2312" w:eastAsia="仿宋_GB2312" w:cs="仿宋_GB2312"/>
          <w:color w:val="000000"/>
          <w:spacing w:val="0"/>
          <w:w w:val="100"/>
          <w:position w:val="0"/>
        </w:rPr>
        <w:t>）《企业突发环境事件风险分级方法》</w:t>
      </w:r>
      <w:r>
        <w:rPr>
          <w:rFonts w:hint="eastAsia" w:ascii="仿宋_GB2312" w:hAnsi="仿宋_GB2312" w:eastAsia="仿宋_GB2312" w:cs="仿宋_GB2312"/>
          <w:color w:val="000000"/>
          <w:spacing w:val="0"/>
          <w:w w:val="100"/>
          <w:position w:val="0"/>
          <w:lang w:val="en-US" w:eastAsia="en-US" w:bidi="en-US"/>
        </w:rPr>
        <w:t>（HI941-2018）</w:t>
      </w:r>
      <w:r>
        <w:rPr>
          <w:rFonts w:hint="eastAsia" w:ascii="仿宋_GB2312" w:hAnsi="仿宋_GB2312" w:eastAsia="仿宋_GB2312" w:cs="仿宋_GB2312"/>
          <w:color w:val="000000"/>
          <w:spacing w:val="0"/>
          <w:w w:val="100"/>
          <w:position w:val="0"/>
        </w:rPr>
        <w:t>附录</w:t>
      </w:r>
      <w:r>
        <w:rPr>
          <w:rFonts w:hint="eastAsia" w:ascii="仿宋_GB2312" w:hAnsi="仿宋_GB2312" w:eastAsia="仿宋_GB2312" w:cs="仿宋_GB2312"/>
          <w:color w:val="000000"/>
          <w:spacing w:val="0"/>
          <w:w w:val="100"/>
          <w:position w:val="0"/>
          <w:lang w:val="en-US" w:eastAsia="en-US" w:bidi="en-US"/>
        </w:rPr>
        <w:t>A-</w:t>
      </w:r>
      <w:r>
        <w:rPr>
          <w:rFonts w:hint="eastAsia" w:ascii="仿宋_GB2312" w:hAnsi="仿宋_GB2312" w:eastAsia="仿宋_GB2312" w:cs="仿宋_GB2312"/>
          <w:color w:val="000000"/>
          <w:spacing w:val="0"/>
          <w:w w:val="100"/>
          <w:position w:val="0"/>
        </w:rPr>
        <w:t>突发环境事件风险物质；</w:t>
      </w:r>
    </w:p>
    <w:p w14:paraId="13BCEDB6">
      <w:pPr>
        <w:pStyle w:val="27"/>
        <w:keepNext w:val="0"/>
        <w:keepLines w:val="0"/>
        <w:pageBreakBefore w:val="0"/>
        <w:widowControl w:val="0"/>
        <w:shd w:val="clear" w:color="auto" w:fill="auto"/>
        <w:tabs>
          <w:tab w:val="left" w:pos="1294"/>
        </w:tabs>
        <w:kinsoku/>
        <w:wordWrap/>
        <w:overflowPunct/>
        <w:topLinePunct w:val="0"/>
        <w:autoSpaceDE/>
        <w:autoSpaceDN/>
        <w:bidi w:val="0"/>
        <w:adjustRightInd/>
        <w:snapToGrid/>
        <w:spacing w:before="0" w:after="0" w:line="560" w:lineRule="exact"/>
        <w:ind w:left="0" w:right="0" w:firstLine="560" w:firstLineChars="200"/>
        <w:jc w:val="both"/>
        <w:textAlignment w:val="auto"/>
        <w:rPr>
          <w:rFonts w:hint="eastAsia" w:ascii="仿宋_GB2312" w:hAnsi="仿宋_GB2312" w:eastAsia="仿宋_GB2312" w:cs="仿宋_GB2312"/>
        </w:rPr>
      </w:pPr>
      <w:bookmarkStart w:id="68" w:name="bookmark77"/>
      <w:r>
        <w:rPr>
          <w:rFonts w:hint="eastAsia" w:ascii="仿宋_GB2312" w:hAnsi="仿宋_GB2312" w:eastAsia="仿宋_GB2312" w:cs="仿宋_GB2312"/>
          <w:color w:val="000000"/>
          <w:spacing w:val="0"/>
          <w:w w:val="100"/>
          <w:position w:val="0"/>
        </w:rPr>
        <w:t>（</w:t>
      </w:r>
      <w:bookmarkEnd w:id="68"/>
      <w:r>
        <w:rPr>
          <w:rFonts w:hint="eastAsia" w:ascii="仿宋_GB2312" w:hAnsi="仿宋_GB2312" w:eastAsia="仿宋_GB2312" w:cs="仿宋_GB2312"/>
          <w:color w:val="000000"/>
          <w:spacing w:val="0"/>
          <w:w w:val="100"/>
          <w:position w:val="0"/>
        </w:rPr>
        <w:t>3</w:t>
      </w:r>
      <w:r>
        <w:rPr>
          <w:rFonts w:hint="eastAsia" w:ascii="仿宋_GB2312" w:hAnsi="仿宋_GB2312" w:eastAsia="仿宋_GB2312" w:cs="仿宋_GB2312"/>
          <w:color w:val="000000"/>
          <w:spacing w:val="0"/>
          <w:w w:val="100"/>
          <w:position w:val="0"/>
          <w:lang w:val="en-US" w:eastAsia="zh-CN"/>
        </w:rPr>
        <w:t>4</w:t>
      </w:r>
      <w:r>
        <w:rPr>
          <w:rFonts w:hint="eastAsia" w:ascii="仿宋_GB2312" w:hAnsi="仿宋_GB2312" w:eastAsia="仿宋_GB2312" w:cs="仿宋_GB2312"/>
          <w:color w:val="000000"/>
          <w:spacing w:val="0"/>
          <w:w w:val="100"/>
          <w:position w:val="0"/>
        </w:rPr>
        <w:t>）《有毒有害大气污染物名录（2018年）》（2019年1月23日）;</w:t>
      </w:r>
    </w:p>
    <w:p w14:paraId="63433309">
      <w:pPr>
        <w:pStyle w:val="27"/>
        <w:keepNext w:val="0"/>
        <w:keepLines w:val="0"/>
        <w:pageBreakBefore w:val="0"/>
        <w:widowControl w:val="0"/>
        <w:shd w:val="clear" w:color="auto" w:fill="auto"/>
        <w:tabs>
          <w:tab w:val="left" w:pos="1356"/>
        </w:tabs>
        <w:kinsoku/>
        <w:wordWrap/>
        <w:overflowPunct/>
        <w:topLinePunct w:val="0"/>
        <w:autoSpaceDE/>
        <w:autoSpaceDN/>
        <w:bidi w:val="0"/>
        <w:adjustRightInd/>
        <w:snapToGrid/>
        <w:spacing w:before="0" w:after="0" w:line="560" w:lineRule="exact"/>
        <w:ind w:left="0" w:right="0" w:firstLine="560" w:firstLineChars="200"/>
        <w:jc w:val="both"/>
        <w:textAlignment w:val="auto"/>
        <w:rPr>
          <w:rFonts w:hint="eastAsia" w:ascii="仿宋_GB2312" w:hAnsi="仿宋_GB2312" w:eastAsia="仿宋_GB2312" w:cs="仿宋_GB2312"/>
        </w:rPr>
      </w:pPr>
      <w:bookmarkStart w:id="69" w:name="bookmark78"/>
      <w:r>
        <w:rPr>
          <w:rFonts w:hint="eastAsia" w:ascii="仿宋_GB2312" w:hAnsi="仿宋_GB2312" w:eastAsia="仿宋_GB2312" w:cs="仿宋_GB2312"/>
          <w:color w:val="000000"/>
          <w:spacing w:val="0"/>
          <w:w w:val="100"/>
          <w:position w:val="0"/>
        </w:rPr>
        <w:t>（</w:t>
      </w:r>
      <w:bookmarkEnd w:id="69"/>
      <w:r>
        <w:rPr>
          <w:rFonts w:hint="eastAsia" w:ascii="仿宋_GB2312" w:hAnsi="仿宋_GB2312" w:eastAsia="仿宋_GB2312" w:cs="仿宋_GB2312"/>
          <w:color w:val="000000"/>
          <w:spacing w:val="0"/>
          <w:w w:val="100"/>
          <w:position w:val="0"/>
        </w:rPr>
        <w:t>3</w:t>
      </w:r>
      <w:r>
        <w:rPr>
          <w:rFonts w:hint="eastAsia" w:ascii="仿宋_GB2312" w:hAnsi="仿宋_GB2312" w:eastAsia="仿宋_GB2312" w:cs="仿宋_GB2312"/>
          <w:color w:val="000000"/>
          <w:spacing w:val="0"/>
          <w:w w:val="100"/>
          <w:position w:val="0"/>
          <w:lang w:val="en-US" w:eastAsia="zh-CN"/>
        </w:rPr>
        <w:t>5</w:t>
      </w:r>
      <w:r>
        <w:rPr>
          <w:rFonts w:hint="eastAsia" w:ascii="仿宋_GB2312" w:hAnsi="仿宋_GB2312" w:eastAsia="仿宋_GB2312" w:cs="仿宋_GB2312"/>
          <w:color w:val="000000"/>
          <w:spacing w:val="0"/>
          <w:w w:val="100"/>
          <w:position w:val="0"/>
        </w:rPr>
        <w:t>）《有毒有害水污染物名录（第一批）》（2019年7月23日）。</w:t>
      </w:r>
    </w:p>
    <w:p w14:paraId="265DB8E1">
      <w:pPr>
        <w:pStyle w:val="29"/>
        <w:bidi w:val="0"/>
        <w:rPr>
          <w:rFonts w:hint="eastAsia" w:ascii="仿宋_GB2312" w:hAnsi="仿宋_GB2312" w:eastAsia="仿宋_GB2312" w:cs="仿宋_GB2312"/>
        </w:rPr>
      </w:pPr>
      <w:bookmarkStart w:id="70" w:name="bookmark79"/>
      <w:bookmarkStart w:id="71" w:name="bookmark82"/>
      <w:bookmarkStart w:id="72" w:name="_Toc3838"/>
      <w:bookmarkStart w:id="73" w:name="bookmark80"/>
      <w:r>
        <w:rPr>
          <w:rFonts w:hint="eastAsia" w:ascii="仿宋_GB2312" w:hAnsi="仿宋_GB2312" w:eastAsia="仿宋_GB2312" w:cs="仿宋_GB2312"/>
          <w:lang w:val="en-US" w:eastAsia="en-US"/>
        </w:rPr>
        <w:t>1.4.</w:t>
      </w:r>
      <w:r>
        <w:rPr>
          <w:rFonts w:hint="eastAsia" w:ascii="仿宋_GB2312" w:hAnsi="仿宋_GB2312" w:eastAsia="仿宋_GB2312" w:cs="仿宋_GB2312"/>
        </w:rPr>
        <w:t>3相关规定及政策</w:t>
      </w:r>
      <w:bookmarkEnd w:id="70"/>
      <w:bookmarkEnd w:id="71"/>
      <w:bookmarkEnd w:id="72"/>
      <w:bookmarkEnd w:id="73"/>
    </w:p>
    <w:p w14:paraId="74983B2A">
      <w:pPr>
        <w:pStyle w:val="27"/>
        <w:bidi w:val="0"/>
        <w:rPr>
          <w:rFonts w:hint="eastAsia" w:ascii="仿宋_GB2312" w:hAnsi="仿宋_GB2312" w:eastAsia="仿宋_GB2312" w:cs="仿宋_GB2312"/>
        </w:rPr>
      </w:pP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1</w:t>
      </w:r>
      <w:r>
        <w:rPr>
          <w:rFonts w:hint="eastAsia" w:ascii="仿宋_GB2312" w:hAnsi="仿宋_GB2312" w:eastAsia="仿宋_GB2312" w:cs="仿宋_GB2312"/>
          <w:lang w:eastAsia="zh-CN"/>
        </w:rPr>
        <w:t>）</w:t>
      </w:r>
      <w:r>
        <w:rPr>
          <w:rFonts w:hint="eastAsia" w:ascii="仿宋_GB2312" w:hAnsi="仿宋_GB2312" w:eastAsia="仿宋_GB2312" w:cs="仿宋_GB2312"/>
        </w:rPr>
        <w:t>关于印发《建设用地土壤污染状况调查、风险评估、风险管控及修复效果评估报告评审指南》的通知（环办土壤〔2019）63号）；</w:t>
      </w:r>
    </w:p>
    <w:p w14:paraId="58A0FD30">
      <w:pPr>
        <w:pStyle w:val="27"/>
        <w:bidi w:val="0"/>
        <w:rPr>
          <w:rFonts w:hint="eastAsia" w:ascii="仿宋_GB2312" w:hAnsi="仿宋_GB2312" w:eastAsia="仿宋_GB2312" w:cs="仿宋_GB2312"/>
        </w:rPr>
      </w:pPr>
      <w:bookmarkStart w:id="74" w:name="bookmark84"/>
      <w:r>
        <w:rPr>
          <w:rFonts w:hint="eastAsia" w:ascii="仿宋_GB2312" w:hAnsi="仿宋_GB2312" w:eastAsia="仿宋_GB2312" w:cs="仿宋_GB2312"/>
        </w:rPr>
        <w:t>（</w:t>
      </w:r>
      <w:bookmarkEnd w:id="74"/>
      <w:r>
        <w:rPr>
          <w:rFonts w:hint="eastAsia" w:ascii="仿宋_GB2312" w:hAnsi="仿宋_GB2312" w:eastAsia="仿宋_GB2312" w:cs="仿宋_GB2312"/>
        </w:rPr>
        <w:t>2）《关于加强工业企业关停、搬迁及原址场地再开发利用过程中污染防治工作的通知》（环发〔2014）66号）；</w:t>
      </w:r>
    </w:p>
    <w:p w14:paraId="3913186A">
      <w:pPr>
        <w:pStyle w:val="27"/>
        <w:bidi w:val="0"/>
        <w:rPr>
          <w:rFonts w:hint="eastAsia" w:ascii="仿宋_GB2312" w:hAnsi="仿宋_GB2312" w:eastAsia="仿宋_GB2312" w:cs="仿宋_GB2312"/>
        </w:rPr>
      </w:pPr>
      <w:bookmarkStart w:id="75" w:name="bookmark85"/>
      <w:r>
        <w:rPr>
          <w:rFonts w:hint="eastAsia" w:ascii="仿宋_GB2312" w:hAnsi="仿宋_GB2312" w:eastAsia="仿宋_GB2312" w:cs="仿宋_GB2312"/>
        </w:rPr>
        <w:t>（</w:t>
      </w:r>
      <w:bookmarkEnd w:id="75"/>
      <w:r>
        <w:rPr>
          <w:rFonts w:hint="eastAsia" w:ascii="仿宋_GB2312" w:hAnsi="仿宋_GB2312" w:eastAsia="仿宋_GB2312" w:cs="仿宋_GB2312"/>
        </w:rPr>
        <w:t>3）《关于加强土壤污染防治工作的意见》（环发［2008］48号）;</w:t>
      </w:r>
    </w:p>
    <w:p w14:paraId="33C218D4">
      <w:pPr>
        <w:pStyle w:val="27"/>
        <w:bidi w:val="0"/>
        <w:rPr>
          <w:rFonts w:hint="eastAsia" w:ascii="仿宋_GB2312" w:hAnsi="仿宋_GB2312" w:eastAsia="仿宋_GB2312" w:cs="仿宋_GB2312"/>
        </w:rPr>
      </w:pPr>
      <w:bookmarkStart w:id="76" w:name="bookmark86"/>
      <w:r>
        <w:rPr>
          <w:rFonts w:hint="eastAsia" w:ascii="仿宋_GB2312" w:hAnsi="仿宋_GB2312" w:eastAsia="仿宋_GB2312" w:cs="仿宋_GB2312"/>
        </w:rPr>
        <w:t>（</w:t>
      </w:r>
      <w:bookmarkEnd w:id="76"/>
      <w:r>
        <w:rPr>
          <w:rFonts w:hint="eastAsia" w:ascii="仿宋_GB2312" w:hAnsi="仿宋_GB2312" w:eastAsia="仿宋_GB2312" w:cs="仿宋_GB2312"/>
        </w:rPr>
        <w:t>4）《关于保障工业企业场地再开发利用环境安全的通知》（环发［2012］140号）；</w:t>
      </w:r>
    </w:p>
    <w:p w14:paraId="1EFD17B1">
      <w:pPr>
        <w:pStyle w:val="27"/>
        <w:bidi w:val="0"/>
        <w:rPr>
          <w:rFonts w:hint="eastAsia" w:ascii="仿宋_GB2312" w:hAnsi="仿宋_GB2312" w:eastAsia="仿宋_GB2312" w:cs="仿宋_GB2312"/>
        </w:rPr>
      </w:pPr>
      <w:bookmarkStart w:id="77" w:name="bookmark87"/>
      <w:r>
        <w:rPr>
          <w:rFonts w:hint="eastAsia" w:ascii="仿宋_GB2312" w:hAnsi="仿宋_GB2312" w:eastAsia="仿宋_GB2312" w:cs="仿宋_GB2312"/>
        </w:rPr>
        <w:t>（</w:t>
      </w:r>
      <w:bookmarkEnd w:id="77"/>
      <w:r>
        <w:rPr>
          <w:rFonts w:hint="eastAsia" w:ascii="仿宋_GB2312" w:hAnsi="仿宋_GB2312" w:eastAsia="仿宋_GB2312" w:cs="仿宋_GB2312"/>
        </w:rPr>
        <w:t>5）《土壤污染防治行动计划》（国发（2016）31号）。</w:t>
      </w:r>
    </w:p>
    <w:p w14:paraId="39A4AE84">
      <w:pPr>
        <w:pStyle w:val="27"/>
        <w:bidi w:val="0"/>
        <w:rPr>
          <w:rFonts w:hint="eastAsia" w:ascii="仿宋_GB2312" w:hAnsi="仿宋_GB2312" w:eastAsia="仿宋_GB2312" w:cs="仿宋_GB2312"/>
        </w:rPr>
      </w:pPr>
      <w:bookmarkStart w:id="78" w:name="bookmark88"/>
      <w:r>
        <w:rPr>
          <w:rFonts w:hint="eastAsia" w:ascii="仿宋_GB2312" w:hAnsi="仿宋_GB2312" w:eastAsia="仿宋_GB2312" w:cs="仿宋_GB2312"/>
        </w:rPr>
        <w:t>（</w:t>
      </w:r>
      <w:bookmarkEnd w:id="78"/>
      <w:r>
        <w:rPr>
          <w:rFonts w:hint="eastAsia" w:ascii="仿宋_GB2312" w:hAnsi="仿宋_GB2312" w:eastAsia="仿宋_GB2312" w:cs="仿宋_GB2312"/>
        </w:rPr>
        <w:t>6）《工矿用地土壤环境管理办法（试行）》（生态环境部令第3号，2018年1月4日；</w:t>
      </w:r>
    </w:p>
    <w:p w14:paraId="4CF7FAB4">
      <w:pPr>
        <w:pStyle w:val="27"/>
        <w:bidi w:val="0"/>
        <w:rPr>
          <w:rFonts w:hint="eastAsia" w:ascii="仿宋_GB2312" w:hAnsi="仿宋_GB2312" w:eastAsia="仿宋_GB2312" w:cs="仿宋_GB2312"/>
        </w:rPr>
      </w:pPr>
      <w:bookmarkStart w:id="79" w:name="bookmark89"/>
      <w:r>
        <w:rPr>
          <w:rFonts w:hint="eastAsia" w:ascii="仿宋_GB2312" w:hAnsi="仿宋_GB2312" w:eastAsia="仿宋_GB2312" w:cs="仿宋_GB2312"/>
        </w:rPr>
        <w:t>（</w:t>
      </w:r>
      <w:bookmarkEnd w:id="79"/>
      <w:r>
        <w:rPr>
          <w:rFonts w:hint="eastAsia" w:ascii="仿宋_GB2312" w:hAnsi="仿宋_GB2312" w:eastAsia="仿宋_GB2312" w:cs="仿宋_GB2312"/>
        </w:rPr>
        <w:t>7）《国务院关于印发土壤污染防治行动计划的通知》（国发（2016）31号）；</w:t>
      </w:r>
      <w:bookmarkStart w:id="80" w:name="bookmark90"/>
    </w:p>
    <w:p w14:paraId="4C02FD99">
      <w:pPr>
        <w:pStyle w:val="27"/>
        <w:bidi w:val="0"/>
        <w:rPr>
          <w:rFonts w:hint="eastAsia" w:ascii="仿宋_GB2312" w:hAnsi="仿宋_GB2312" w:eastAsia="仿宋_GB2312" w:cs="仿宋_GB2312"/>
        </w:rPr>
      </w:pPr>
      <w:r>
        <w:rPr>
          <w:rFonts w:hint="eastAsia" w:ascii="仿宋_GB2312" w:hAnsi="仿宋_GB2312" w:eastAsia="仿宋_GB2312" w:cs="仿宋_GB2312"/>
        </w:rPr>
        <w:t>（</w:t>
      </w:r>
      <w:bookmarkEnd w:id="80"/>
      <w:r>
        <w:rPr>
          <w:rFonts w:hint="eastAsia" w:ascii="仿宋_GB2312" w:hAnsi="仿宋_GB2312" w:eastAsia="仿宋_GB2312" w:cs="仿宋_GB2312"/>
        </w:rPr>
        <w:t>8）《污染地块土壤环境管理办法（试行）》（环境保护部令第42号,2017年；</w:t>
      </w:r>
    </w:p>
    <w:p w14:paraId="663CF325">
      <w:pPr>
        <w:pStyle w:val="27"/>
        <w:bidi w:val="0"/>
        <w:rPr>
          <w:rFonts w:hint="eastAsia" w:ascii="仿宋_GB2312" w:hAnsi="仿宋_GB2312" w:eastAsia="仿宋_GB2312" w:cs="仿宋_GB2312"/>
        </w:rPr>
      </w:pP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9</w:t>
      </w:r>
      <w:r>
        <w:rPr>
          <w:rFonts w:hint="eastAsia" w:ascii="仿宋_GB2312" w:hAnsi="仿宋_GB2312" w:eastAsia="仿宋_GB2312" w:cs="仿宋_GB2312"/>
          <w:lang w:eastAsia="zh-CN"/>
        </w:rPr>
        <w:t>）</w:t>
      </w:r>
      <w:r>
        <w:rPr>
          <w:rFonts w:hint="eastAsia" w:ascii="仿宋_GB2312" w:hAnsi="仿宋_GB2312" w:eastAsia="仿宋_GB2312" w:cs="仿宋_GB2312"/>
        </w:rPr>
        <w:t>《重庆市贯彻落实土壤污染防治行动计划工作方案》(重庆市人民政府)2016年11月3日。</w:t>
      </w:r>
    </w:p>
    <w:p w14:paraId="43490CB5">
      <w:pPr>
        <w:pStyle w:val="17"/>
        <w:bidi w:val="0"/>
        <w:ind w:left="0" w:leftChars="0" w:firstLine="643" w:firstLineChars="200"/>
        <w:rPr>
          <w:rFonts w:hint="eastAsia" w:ascii="仿宋_GB2312" w:hAnsi="仿宋_GB2312" w:eastAsia="仿宋_GB2312" w:cs="仿宋_GB2312"/>
        </w:rPr>
      </w:pPr>
      <w:bookmarkStart w:id="81" w:name="bookmark98"/>
      <w:bookmarkStart w:id="82" w:name="bookmark101"/>
      <w:bookmarkStart w:id="83" w:name="_Toc23694"/>
      <w:bookmarkStart w:id="84" w:name="bookmark99"/>
      <w:r>
        <w:rPr>
          <w:rFonts w:hint="eastAsia" w:ascii="仿宋_GB2312" w:hAnsi="仿宋_GB2312" w:eastAsia="仿宋_GB2312" w:cs="仿宋_GB2312"/>
          <w:lang w:val="zh-CN" w:eastAsia="zh-CN"/>
        </w:rPr>
        <w:t>2</w:t>
      </w:r>
      <w:r>
        <w:rPr>
          <w:rFonts w:hint="eastAsia" w:ascii="仿宋_GB2312" w:hAnsi="仿宋_GB2312" w:eastAsia="仿宋_GB2312" w:cs="仿宋_GB2312"/>
          <w:lang w:val="en-US" w:eastAsia="zh-CN"/>
        </w:rPr>
        <w:t>.</w:t>
      </w:r>
      <w:r>
        <w:rPr>
          <w:rFonts w:hint="eastAsia" w:ascii="仿宋_GB2312" w:hAnsi="仿宋_GB2312" w:eastAsia="仿宋_GB2312" w:cs="仿宋_GB2312"/>
        </w:rPr>
        <w:t>企业概况</w:t>
      </w:r>
      <w:bookmarkEnd w:id="81"/>
      <w:bookmarkEnd w:id="82"/>
      <w:bookmarkEnd w:id="83"/>
      <w:bookmarkEnd w:id="84"/>
    </w:p>
    <w:p w14:paraId="317BA60D">
      <w:pPr>
        <w:pStyle w:val="25"/>
        <w:bidi w:val="0"/>
        <w:rPr>
          <w:rFonts w:hint="eastAsia" w:ascii="仿宋_GB2312" w:hAnsi="仿宋_GB2312" w:eastAsia="仿宋_GB2312" w:cs="仿宋_GB2312"/>
        </w:rPr>
      </w:pPr>
      <w:bookmarkStart w:id="85" w:name="bookmark105"/>
      <w:bookmarkStart w:id="86" w:name="bookmark103"/>
      <w:bookmarkStart w:id="87" w:name="bookmark102"/>
      <w:bookmarkStart w:id="88" w:name="_Toc9862"/>
      <w:r>
        <w:rPr>
          <w:rFonts w:hint="eastAsia" w:ascii="仿宋_GB2312" w:hAnsi="仿宋_GB2312" w:eastAsia="仿宋_GB2312" w:cs="仿宋_GB2312"/>
          <w:lang w:val="en-US" w:eastAsia="en-US"/>
        </w:rPr>
        <w:t>2.</w:t>
      </w:r>
      <w:r>
        <w:rPr>
          <w:rFonts w:hint="eastAsia" w:ascii="仿宋_GB2312" w:hAnsi="仿宋_GB2312" w:eastAsia="仿宋_GB2312" w:cs="仿宋_GB2312"/>
        </w:rPr>
        <w:t>1企业基础信息</w:t>
      </w:r>
      <w:bookmarkEnd w:id="85"/>
      <w:bookmarkEnd w:id="86"/>
      <w:bookmarkEnd w:id="87"/>
      <w:bookmarkEnd w:id="88"/>
    </w:p>
    <w:p w14:paraId="4474C24A">
      <w:pPr>
        <w:pStyle w:val="27"/>
        <w:bidi w:val="0"/>
        <w:rPr>
          <w:rFonts w:hint="eastAsia" w:ascii="仿宋_GB2312" w:hAnsi="仿宋_GB2312" w:eastAsia="仿宋_GB2312" w:cs="仿宋_GB2312"/>
        </w:rPr>
      </w:pPr>
      <w:r>
        <w:rPr>
          <w:rFonts w:hint="eastAsia" w:ascii="仿宋_GB2312" w:hAnsi="仿宋_GB2312" w:eastAsia="仿宋_GB2312" w:cs="仿宋_GB2312"/>
        </w:rPr>
        <w:t>企业名称、法人代表、所属行业、地理位置、多年主导风向、产品、原辅材料、生产周期、联系人及方式。企业基础信息详见</w:t>
      </w:r>
      <w:r>
        <w:rPr>
          <w:rFonts w:hint="eastAsia" w:ascii="仿宋_GB2312" w:hAnsi="仿宋_GB2312" w:eastAsia="仿宋_GB2312" w:cs="仿宋_GB2312"/>
          <w:lang w:val="en-US" w:eastAsia="zh-CN"/>
        </w:rPr>
        <w:t>下</w:t>
      </w:r>
      <w:r>
        <w:rPr>
          <w:rFonts w:hint="eastAsia" w:ascii="仿宋_GB2312" w:hAnsi="仿宋_GB2312" w:eastAsia="仿宋_GB2312" w:cs="仿宋_GB2312"/>
        </w:rPr>
        <w:t>表。</w:t>
      </w:r>
    </w:p>
    <w:p w14:paraId="220AB404">
      <w:pPr>
        <w:pStyle w:val="27"/>
        <w:bidi w:val="0"/>
        <w:rPr>
          <w:rFonts w:hint="eastAsia" w:ascii="仿宋_GB2312" w:hAnsi="仿宋_GB2312" w:eastAsia="仿宋_GB2312" w:cs="仿宋_GB2312"/>
        </w:rPr>
      </w:pPr>
    </w:p>
    <w:p w14:paraId="1CE44010">
      <w:pPr>
        <w:pStyle w:val="27"/>
        <w:bidi w:val="0"/>
      </w:pPr>
    </w:p>
    <w:p w14:paraId="01F90A98">
      <w:pPr>
        <w:pStyle w:val="27"/>
        <w:bidi w:val="0"/>
      </w:pPr>
    </w:p>
    <w:p w14:paraId="1788254F">
      <w:pPr>
        <w:pStyle w:val="27"/>
        <w:bidi w:val="0"/>
      </w:pPr>
    </w:p>
    <w:p w14:paraId="48D59FB0">
      <w:pPr>
        <w:pStyle w:val="27"/>
        <w:bidi w:val="0"/>
      </w:pPr>
    </w:p>
    <w:p w14:paraId="200F3973">
      <w:pPr>
        <w:pStyle w:val="27"/>
        <w:bidi w:val="0"/>
        <w:ind w:left="0" w:leftChars="0" w:firstLine="0" w:firstLineChars="0"/>
      </w:pPr>
    </w:p>
    <w:tbl>
      <w:tblPr>
        <w:tblStyle w:val="9"/>
        <w:tblW w:w="0" w:type="auto"/>
        <w:jc w:val="center"/>
        <w:tblLayout w:type="fixed"/>
        <w:tblCellMar>
          <w:top w:w="0" w:type="dxa"/>
          <w:left w:w="10" w:type="dxa"/>
          <w:bottom w:w="0" w:type="dxa"/>
          <w:right w:w="10" w:type="dxa"/>
        </w:tblCellMar>
      </w:tblPr>
      <w:tblGrid>
        <w:gridCol w:w="1752"/>
        <w:gridCol w:w="1690"/>
        <w:gridCol w:w="874"/>
        <w:gridCol w:w="1325"/>
        <w:gridCol w:w="1114"/>
        <w:gridCol w:w="2338"/>
      </w:tblGrid>
      <w:tr w14:paraId="7024161A">
        <w:tblPrEx>
          <w:tblCellMar>
            <w:top w:w="0" w:type="dxa"/>
            <w:left w:w="10" w:type="dxa"/>
            <w:bottom w:w="0" w:type="dxa"/>
            <w:right w:w="10" w:type="dxa"/>
          </w:tblCellMar>
        </w:tblPrEx>
        <w:trPr>
          <w:trHeight w:val="542" w:hRule="exact"/>
          <w:jc w:val="center"/>
        </w:trPr>
        <w:tc>
          <w:tcPr>
            <w:tcBorders>
              <w:top w:val="single" w:color="auto" w:sz="4" w:space="0"/>
              <w:left w:val="single" w:color="auto" w:sz="4" w:space="0"/>
            </w:tcBorders>
            <w:shd w:val="clear" w:color="auto" w:fill="FFFFFF"/>
            <w:vAlign w:val="center"/>
          </w:tcPr>
          <w:p w14:paraId="35FDBF1D">
            <w:pPr>
              <w:pStyle w:val="33"/>
              <w:keepNext w:val="0"/>
              <w:keepLines w:val="0"/>
              <w:widowControl w:val="0"/>
              <w:shd w:val="clear" w:color="auto" w:fill="auto"/>
              <w:bidi w:val="0"/>
              <w:spacing w:before="0" w:after="0" w:line="240" w:lineRule="auto"/>
              <w:ind w:left="0" w:right="0" w:firstLine="380"/>
              <w:jc w:val="left"/>
              <w:rPr>
                <w:rFonts w:hint="eastAsia" w:ascii="仿宋_GB2312" w:hAnsi="仿宋_GB2312" w:eastAsia="仿宋_GB2312" w:cs="仿宋_GB2312"/>
                <w:sz w:val="22"/>
                <w:szCs w:val="22"/>
              </w:rPr>
            </w:pPr>
            <w:r>
              <w:rPr>
                <w:rFonts w:hint="eastAsia" w:ascii="仿宋_GB2312" w:hAnsi="仿宋_GB2312" w:eastAsia="仿宋_GB2312" w:cs="仿宋_GB2312"/>
                <w:color w:val="000000"/>
                <w:spacing w:val="0"/>
                <w:w w:val="100"/>
                <w:position w:val="0"/>
                <w:sz w:val="22"/>
                <w:szCs w:val="22"/>
              </w:rPr>
              <w:t>企业名称</w:t>
            </w:r>
          </w:p>
        </w:tc>
        <w:tc>
          <w:tcPr>
            <w:gridSpan w:val="5"/>
            <w:tcBorders>
              <w:top w:val="single" w:color="auto" w:sz="4" w:space="0"/>
              <w:left w:val="single" w:color="auto" w:sz="4" w:space="0"/>
              <w:right w:val="single" w:color="auto" w:sz="4" w:space="0"/>
            </w:tcBorders>
            <w:shd w:val="clear" w:color="auto" w:fill="FFFFFF"/>
            <w:vAlign w:val="center"/>
          </w:tcPr>
          <w:p w14:paraId="5F3ADC87">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8"/>
                <w:szCs w:val="28"/>
              </w:rPr>
            </w:pPr>
            <w:r>
              <w:rPr>
                <w:rFonts w:hint="eastAsia" w:ascii="仿宋_GB2312" w:hAnsi="仿宋_GB2312" w:eastAsia="仿宋_GB2312" w:cs="仿宋_GB2312"/>
                <w:b w:val="0"/>
                <w:bCs w:val="0"/>
                <w:i w:val="0"/>
                <w:iCs w:val="0"/>
                <w:smallCaps w:val="0"/>
                <w:strike w:val="0"/>
                <w:sz w:val="22"/>
                <w:szCs w:val="22"/>
                <w:lang w:val="en-US" w:eastAsia="zh-CN"/>
              </w:rPr>
              <w:t>石柱县海创环保科技有限责任公司</w:t>
            </w:r>
          </w:p>
        </w:tc>
      </w:tr>
      <w:tr w14:paraId="7774ACE6">
        <w:tblPrEx>
          <w:tblCellMar>
            <w:top w:w="0" w:type="dxa"/>
            <w:left w:w="10" w:type="dxa"/>
            <w:bottom w:w="0" w:type="dxa"/>
            <w:right w:w="10" w:type="dxa"/>
          </w:tblCellMar>
        </w:tblPrEx>
        <w:trPr>
          <w:trHeight w:val="538" w:hRule="exact"/>
          <w:jc w:val="center"/>
        </w:trPr>
        <w:tc>
          <w:tcPr>
            <w:tcBorders>
              <w:top w:val="single" w:color="auto" w:sz="4" w:space="0"/>
              <w:left w:val="single" w:color="auto" w:sz="4" w:space="0"/>
            </w:tcBorders>
            <w:shd w:val="clear" w:color="auto" w:fill="FFFFFF"/>
            <w:vAlign w:val="center"/>
          </w:tcPr>
          <w:p w14:paraId="5E6C1E81">
            <w:pPr>
              <w:pStyle w:val="33"/>
              <w:keepNext w:val="0"/>
              <w:keepLines w:val="0"/>
              <w:widowControl w:val="0"/>
              <w:shd w:val="clear" w:color="auto" w:fill="auto"/>
              <w:bidi w:val="0"/>
              <w:spacing w:before="0" w:after="0" w:line="240" w:lineRule="auto"/>
              <w:ind w:left="0" w:right="0" w:firstLine="380"/>
              <w:jc w:val="left"/>
              <w:rPr>
                <w:rFonts w:hint="eastAsia" w:ascii="仿宋_GB2312" w:hAnsi="仿宋_GB2312" w:eastAsia="仿宋_GB2312" w:cs="仿宋_GB2312"/>
                <w:sz w:val="22"/>
                <w:szCs w:val="22"/>
              </w:rPr>
            </w:pPr>
            <w:r>
              <w:rPr>
                <w:rFonts w:hint="eastAsia" w:ascii="仿宋_GB2312" w:hAnsi="仿宋_GB2312" w:eastAsia="仿宋_GB2312" w:cs="仿宋_GB2312"/>
                <w:color w:val="000000"/>
                <w:spacing w:val="0"/>
                <w:w w:val="100"/>
                <w:position w:val="0"/>
                <w:sz w:val="22"/>
                <w:szCs w:val="22"/>
              </w:rPr>
              <w:t>法人代表</w:t>
            </w:r>
          </w:p>
        </w:tc>
        <w:tc>
          <w:tcPr>
            <w:gridSpan w:val="5"/>
            <w:tcBorders>
              <w:top w:val="single" w:color="auto" w:sz="4" w:space="0"/>
              <w:left w:val="single" w:color="auto" w:sz="4" w:space="0"/>
              <w:right w:val="single" w:color="auto" w:sz="4" w:space="0"/>
            </w:tcBorders>
            <w:shd w:val="clear" w:color="auto" w:fill="FFFFFF"/>
            <w:vAlign w:val="center"/>
          </w:tcPr>
          <w:p w14:paraId="5F0957EE">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2"/>
                <w:szCs w:val="22"/>
                <w:lang w:val="en-US" w:eastAsia="zh-CN"/>
              </w:rPr>
            </w:pPr>
            <w:r>
              <w:rPr>
                <w:rFonts w:hint="eastAsia" w:ascii="仿宋_GB2312" w:hAnsi="仿宋_GB2312" w:eastAsia="仿宋_GB2312" w:cs="仿宋_GB2312"/>
                <w:sz w:val="22"/>
                <w:szCs w:val="22"/>
                <w:lang w:val="en-US" w:eastAsia="zh-CN"/>
              </w:rPr>
              <w:t>汪俊贤</w:t>
            </w:r>
          </w:p>
        </w:tc>
      </w:tr>
      <w:tr w14:paraId="2025AF1C">
        <w:tblPrEx>
          <w:tblCellMar>
            <w:top w:w="0" w:type="dxa"/>
            <w:left w:w="10" w:type="dxa"/>
            <w:bottom w:w="0" w:type="dxa"/>
            <w:right w:w="10" w:type="dxa"/>
          </w:tblCellMar>
        </w:tblPrEx>
        <w:trPr>
          <w:trHeight w:val="533" w:hRule="exact"/>
          <w:jc w:val="center"/>
        </w:trPr>
        <w:tc>
          <w:tcPr>
            <w:tcBorders>
              <w:top w:val="single" w:color="auto" w:sz="4" w:space="0"/>
              <w:left w:val="single" w:color="auto" w:sz="4" w:space="0"/>
            </w:tcBorders>
            <w:shd w:val="clear" w:color="auto" w:fill="FFFFFF"/>
            <w:vAlign w:val="center"/>
          </w:tcPr>
          <w:p w14:paraId="21DB5C52">
            <w:pPr>
              <w:pStyle w:val="33"/>
              <w:keepNext w:val="0"/>
              <w:keepLines w:val="0"/>
              <w:widowControl w:val="0"/>
              <w:shd w:val="clear" w:color="auto" w:fill="auto"/>
              <w:bidi w:val="0"/>
              <w:spacing w:before="0" w:after="0" w:line="240" w:lineRule="auto"/>
              <w:ind w:left="0" w:right="0" w:firstLine="380"/>
              <w:jc w:val="left"/>
              <w:rPr>
                <w:rFonts w:hint="eastAsia" w:ascii="仿宋_GB2312" w:hAnsi="仿宋_GB2312" w:eastAsia="仿宋_GB2312" w:cs="仿宋_GB2312"/>
                <w:sz w:val="22"/>
                <w:szCs w:val="22"/>
              </w:rPr>
            </w:pPr>
            <w:r>
              <w:rPr>
                <w:rFonts w:hint="eastAsia" w:ascii="仿宋_GB2312" w:hAnsi="仿宋_GB2312" w:eastAsia="仿宋_GB2312" w:cs="仿宋_GB2312"/>
                <w:color w:val="000000"/>
                <w:spacing w:val="0"/>
                <w:w w:val="100"/>
                <w:position w:val="0"/>
                <w:sz w:val="22"/>
                <w:szCs w:val="22"/>
              </w:rPr>
              <w:t>建设地点</w:t>
            </w:r>
          </w:p>
        </w:tc>
        <w:tc>
          <w:tcPr>
            <w:gridSpan w:val="4"/>
            <w:tcBorders>
              <w:top w:val="single" w:color="auto" w:sz="4" w:space="0"/>
              <w:left w:val="single" w:color="auto" w:sz="4" w:space="0"/>
            </w:tcBorders>
            <w:shd w:val="clear" w:color="auto" w:fill="FFFFFF"/>
            <w:vAlign w:val="center"/>
          </w:tcPr>
          <w:p w14:paraId="2AA19F2A">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i w:val="0"/>
                <w:iCs w:val="0"/>
                <w:smallCaps w:val="0"/>
                <w:strike w:val="0"/>
                <w:color w:val="000000"/>
                <w:spacing w:val="0"/>
                <w:w w:val="100"/>
                <w:position w:val="0"/>
                <w:sz w:val="22"/>
                <w:szCs w:val="22"/>
                <w:lang w:val="en-US" w:eastAsia="zh-CN"/>
              </w:rPr>
            </w:pPr>
            <w:r>
              <w:rPr>
                <w:rFonts w:hint="eastAsia" w:ascii="仿宋_GB2312" w:hAnsi="仿宋_GB2312" w:eastAsia="仿宋_GB2312" w:cs="仿宋_GB2312"/>
                <w:b w:val="0"/>
                <w:bCs w:val="0"/>
                <w:i w:val="0"/>
                <w:iCs w:val="0"/>
                <w:smallCaps w:val="0"/>
                <w:strike w:val="0"/>
                <w:color w:val="000000"/>
                <w:spacing w:val="0"/>
                <w:w w:val="100"/>
                <w:position w:val="0"/>
                <w:sz w:val="22"/>
                <w:szCs w:val="22"/>
              </w:rPr>
              <w:t>石柱县</w:t>
            </w:r>
            <w:r>
              <w:rPr>
                <w:rFonts w:hint="eastAsia" w:ascii="仿宋_GB2312" w:hAnsi="仿宋_GB2312" w:eastAsia="仿宋_GB2312" w:cs="仿宋_GB2312"/>
                <w:b w:val="0"/>
                <w:bCs w:val="0"/>
                <w:i w:val="0"/>
                <w:iCs w:val="0"/>
                <w:smallCaps w:val="0"/>
                <w:strike w:val="0"/>
                <w:color w:val="000000"/>
                <w:spacing w:val="0"/>
                <w:w w:val="100"/>
                <w:position w:val="0"/>
                <w:sz w:val="22"/>
                <w:szCs w:val="22"/>
                <w:lang w:val="en-US" w:eastAsia="zh-CN"/>
              </w:rPr>
              <w:t>万朝镇万康村茶园组</w:t>
            </w:r>
          </w:p>
        </w:tc>
        <w:tc>
          <w:tcPr>
            <w:tcBorders>
              <w:top w:val="single" w:color="auto" w:sz="4" w:space="0"/>
              <w:left w:val="single" w:color="auto" w:sz="4" w:space="0"/>
              <w:right w:val="single" w:color="auto" w:sz="4" w:space="0"/>
            </w:tcBorders>
            <w:shd w:val="clear" w:color="auto" w:fill="FFFFFF"/>
            <w:vAlign w:val="center"/>
          </w:tcPr>
          <w:p w14:paraId="3389B6D0">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i w:val="0"/>
                <w:iCs w:val="0"/>
                <w:smallCaps w:val="0"/>
                <w:strike w:val="0"/>
                <w:color w:val="000000"/>
                <w:spacing w:val="0"/>
                <w:w w:val="100"/>
                <w:position w:val="0"/>
                <w:sz w:val="22"/>
                <w:szCs w:val="22"/>
                <w:lang w:eastAsia="zh-CN"/>
              </w:rPr>
            </w:pPr>
            <w:r>
              <w:rPr>
                <w:rFonts w:hint="eastAsia" w:ascii="仿宋_GB2312" w:hAnsi="仿宋_GB2312" w:eastAsia="仿宋_GB2312" w:cs="仿宋_GB2312"/>
                <w:b w:val="0"/>
                <w:bCs w:val="0"/>
                <w:i w:val="0"/>
                <w:iCs w:val="0"/>
                <w:smallCaps w:val="0"/>
                <w:strike w:val="0"/>
                <w:color w:val="000000"/>
                <w:spacing w:val="0"/>
                <w:w w:val="100"/>
                <w:position w:val="0"/>
                <w:sz w:val="22"/>
                <w:szCs w:val="22"/>
              </w:rPr>
              <w:t>邮编</w:t>
            </w:r>
            <w:r>
              <w:rPr>
                <w:rFonts w:hint="eastAsia" w:ascii="仿宋_GB2312" w:hAnsi="仿宋_GB2312" w:eastAsia="仿宋_GB2312" w:cs="仿宋_GB2312"/>
                <w:b w:val="0"/>
                <w:bCs w:val="0"/>
                <w:i w:val="0"/>
                <w:iCs w:val="0"/>
                <w:smallCaps w:val="0"/>
                <w:strike w:val="0"/>
                <w:color w:val="000000"/>
                <w:spacing w:val="0"/>
                <w:w w:val="100"/>
                <w:position w:val="0"/>
                <w:sz w:val="22"/>
                <w:szCs w:val="22"/>
              </w:rPr>
              <w:tab/>
            </w:r>
            <w:r>
              <w:rPr>
                <w:rFonts w:hint="eastAsia" w:ascii="仿宋_GB2312" w:hAnsi="仿宋_GB2312" w:eastAsia="仿宋_GB2312" w:cs="仿宋_GB2312"/>
                <w:b w:val="0"/>
                <w:bCs w:val="0"/>
                <w:i w:val="0"/>
                <w:iCs w:val="0"/>
                <w:smallCaps w:val="0"/>
                <w:strike w:val="0"/>
                <w:color w:val="000000"/>
                <w:spacing w:val="0"/>
                <w:w w:val="100"/>
                <w:position w:val="0"/>
                <w:sz w:val="22"/>
                <w:szCs w:val="22"/>
              </w:rPr>
              <w:t>40910</w:t>
            </w:r>
            <w:r>
              <w:rPr>
                <w:rFonts w:hint="eastAsia" w:ascii="仿宋_GB2312" w:hAnsi="仿宋_GB2312" w:eastAsia="仿宋_GB2312" w:cs="仿宋_GB2312"/>
                <w:b w:val="0"/>
                <w:bCs w:val="0"/>
                <w:i w:val="0"/>
                <w:iCs w:val="0"/>
                <w:smallCaps w:val="0"/>
                <w:strike w:val="0"/>
                <w:color w:val="000000"/>
                <w:spacing w:val="0"/>
                <w:w w:val="100"/>
                <w:position w:val="0"/>
                <w:sz w:val="22"/>
                <w:szCs w:val="22"/>
                <w:lang w:val="en-US" w:eastAsia="zh-CN"/>
              </w:rPr>
              <w:t>3</w:t>
            </w:r>
          </w:p>
        </w:tc>
      </w:tr>
      <w:tr w14:paraId="610E8883">
        <w:tblPrEx>
          <w:tblCellMar>
            <w:top w:w="0" w:type="dxa"/>
            <w:left w:w="10" w:type="dxa"/>
            <w:bottom w:w="0" w:type="dxa"/>
            <w:right w:w="10" w:type="dxa"/>
          </w:tblCellMar>
        </w:tblPrEx>
        <w:trPr>
          <w:trHeight w:val="538" w:hRule="exact"/>
          <w:jc w:val="center"/>
        </w:trPr>
        <w:tc>
          <w:tcPr>
            <w:tcBorders>
              <w:top w:val="single" w:color="auto" w:sz="4" w:space="0"/>
              <w:left w:val="single" w:color="auto" w:sz="4" w:space="0"/>
            </w:tcBorders>
            <w:shd w:val="clear" w:color="auto" w:fill="FFFFFF"/>
            <w:vAlign w:val="center"/>
          </w:tcPr>
          <w:p w14:paraId="47621C27">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2"/>
                <w:szCs w:val="22"/>
              </w:rPr>
            </w:pPr>
            <w:r>
              <w:rPr>
                <w:rFonts w:hint="eastAsia" w:ascii="仿宋_GB2312" w:hAnsi="仿宋_GB2312" w:eastAsia="仿宋_GB2312" w:cs="仿宋_GB2312"/>
                <w:color w:val="000000"/>
                <w:spacing w:val="0"/>
                <w:w w:val="100"/>
                <w:position w:val="0"/>
                <w:sz w:val="22"/>
                <w:szCs w:val="22"/>
              </w:rPr>
              <w:t>中心经纬度</w:t>
            </w:r>
          </w:p>
        </w:tc>
        <w:tc>
          <w:tcPr>
            <w:gridSpan w:val="5"/>
            <w:tcBorders>
              <w:top w:val="single" w:color="auto" w:sz="4" w:space="0"/>
              <w:left w:val="single" w:color="auto" w:sz="4" w:space="0"/>
              <w:right w:val="single" w:color="auto" w:sz="4" w:space="0"/>
            </w:tcBorders>
            <w:shd w:val="clear" w:color="auto" w:fill="FFFFFF"/>
            <w:vAlign w:val="center"/>
          </w:tcPr>
          <w:p w14:paraId="1D2502DB">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i w:val="0"/>
                <w:iCs w:val="0"/>
                <w:smallCaps w:val="0"/>
                <w:strike w:val="0"/>
                <w:color w:val="000000"/>
                <w:spacing w:val="0"/>
                <w:w w:val="100"/>
                <w:position w:val="0"/>
                <w:sz w:val="22"/>
                <w:szCs w:val="22"/>
              </w:rPr>
            </w:pPr>
            <w:r>
              <w:rPr>
                <w:rFonts w:hint="eastAsia" w:ascii="仿宋_GB2312" w:hAnsi="仿宋_GB2312" w:eastAsia="仿宋_GB2312" w:cs="仿宋_GB2312"/>
                <w:b w:val="0"/>
                <w:bCs w:val="0"/>
                <w:i w:val="0"/>
                <w:iCs w:val="0"/>
                <w:smallCaps w:val="0"/>
                <w:strike w:val="0"/>
                <w:color w:val="000000"/>
                <w:spacing w:val="0"/>
                <w:w w:val="100"/>
                <w:position w:val="0"/>
                <w:sz w:val="22"/>
                <w:szCs w:val="22"/>
                <w:lang w:val="en-US" w:eastAsia="zh-CN"/>
              </w:rPr>
              <w:t>中心经度108°6′45.47"</w:t>
            </w:r>
            <w:r>
              <w:rPr>
                <w:rFonts w:hint="eastAsia" w:ascii="仿宋_GB2312" w:hAnsi="仿宋_GB2312" w:eastAsia="仿宋_GB2312" w:cs="仿宋_GB2312"/>
                <w:b w:val="0"/>
                <w:bCs w:val="0"/>
                <w:i w:val="0"/>
                <w:iCs w:val="0"/>
                <w:smallCaps w:val="0"/>
                <w:strike w:val="0"/>
                <w:color w:val="000000"/>
                <w:spacing w:val="0"/>
                <w:w w:val="100"/>
                <w:position w:val="0"/>
                <w:sz w:val="22"/>
                <w:szCs w:val="22"/>
              </w:rPr>
              <w:tab/>
            </w:r>
            <w:r>
              <w:rPr>
                <w:rFonts w:hint="eastAsia" w:ascii="仿宋_GB2312" w:hAnsi="仿宋_GB2312" w:eastAsia="仿宋_GB2312" w:cs="仿宋_GB2312"/>
                <w:b w:val="0"/>
                <w:bCs w:val="0"/>
                <w:i w:val="0"/>
                <w:iCs w:val="0"/>
                <w:smallCaps w:val="0"/>
                <w:strike w:val="0"/>
                <w:color w:val="000000"/>
                <w:spacing w:val="0"/>
                <w:w w:val="100"/>
                <w:position w:val="0"/>
                <w:sz w:val="22"/>
                <w:szCs w:val="22"/>
                <w:lang w:eastAsia="zh-CN"/>
              </w:rPr>
              <w:t>，</w:t>
            </w:r>
            <w:r>
              <w:rPr>
                <w:rFonts w:hint="eastAsia" w:ascii="仿宋_GB2312" w:hAnsi="仿宋_GB2312" w:eastAsia="仿宋_GB2312" w:cs="仿宋_GB2312"/>
                <w:b w:val="0"/>
                <w:bCs w:val="0"/>
                <w:i w:val="0"/>
                <w:iCs w:val="0"/>
                <w:smallCaps w:val="0"/>
                <w:strike w:val="0"/>
                <w:color w:val="000000"/>
                <w:spacing w:val="0"/>
                <w:w w:val="100"/>
                <w:position w:val="0"/>
                <w:sz w:val="22"/>
                <w:szCs w:val="22"/>
                <w:lang w:val="en-US" w:eastAsia="zh-CN"/>
              </w:rPr>
              <w:t>中心纬度30°10′12.50"</w:t>
            </w:r>
          </w:p>
        </w:tc>
      </w:tr>
      <w:tr w14:paraId="3AB472D8">
        <w:tblPrEx>
          <w:tblCellMar>
            <w:top w:w="0" w:type="dxa"/>
            <w:left w:w="10" w:type="dxa"/>
            <w:bottom w:w="0" w:type="dxa"/>
            <w:right w:w="10" w:type="dxa"/>
          </w:tblCellMar>
        </w:tblPrEx>
        <w:trPr>
          <w:trHeight w:val="538" w:hRule="exact"/>
          <w:jc w:val="center"/>
        </w:trPr>
        <w:tc>
          <w:tcPr>
            <w:vMerge w:val="restart"/>
            <w:tcBorders>
              <w:top w:val="single" w:color="auto" w:sz="4" w:space="0"/>
              <w:left w:val="single" w:color="auto" w:sz="4" w:space="0"/>
            </w:tcBorders>
            <w:shd w:val="clear" w:color="auto" w:fill="FFFFFF"/>
            <w:vAlign w:val="center"/>
          </w:tcPr>
          <w:p w14:paraId="4C39ED4F">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2"/>
                <w:szCs w:val="22"/>
              </w:rPr>
            </w:pPr>
            <w:r>
              <w:rPr>
                <w:rFonts w:hint="eastAsia" w:ascii="仿宋_GB2312" w:hAnsi="仿宋_GB2312" w:eastAsia="仿宋_GB2312" w:cs="仿宋_GB2312"/>
                <w:color w:val="000000"/>
                <w:spacing w:val="0"/>
                <w:w w:val="100"/>
                <w:position w:val="0"/>
                <w:sz w:val="22"/>
                <w:szCs w:val="22"/>
              </w:rPr>
              <w:t>联系人</w:t>
            </w:r>
          </w:p>
        </w:tc>
        <w:tc>
          <w:tcPr>
            <w:gridSpan w:val="2"/>
            <w:vMerge w:val="restart"/>
            <w:tcBorders>
              <w:top w:val="single" w:color="auto" w:sz="4" w:space="0"/>
              <w:left w:val="single" w:color="auto" w:sz="4" w:space="0"/>
            </w:tcBorders>
            <w:shd w:val="clear" w:color="auto" w:fill="FFFFFF"/>
            <w:vAlign w:val="center"/>
          </w:tcPr>
          <w:p w14:paraId="130EB7E0">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i w:val="0"/>
                <w:iCs w:val="0"/>
                <w:smallCaps w:val="0"/>
                <w:strike w:val="0"/>
                <w:color w:val="000000"/>
                <w:spacing w:val="0"/>
                <w:w w:val="100"/>
                <w:position w:val="0"/>
                <w:sz w:val="22"/>
                <w:szCs w:val="22"/>
                <w:lang w:eastAsia="zh-CN"/>
              </w:rPr>
            </w:pPr>
            <w:r>
              <w:rPr>
                <w:rFonts w:hint="eastAsia" w:ascii="仿宋_GB2312" w:hAnsi="仿宋_GB2312" w:eastAsia="仿宋_GB2312" w:cs="仿宋_GB2312"/>
                <w:b w:val="0"/>
                <w:bCs w:val="0"/>
                <w:i w:val="0"/>
                <w:iCs w:val="0"/>
                <w:smallCaps w:val="0"/>
                <w:strike w:val="0"/>
                <w:color w:val="000000"/>
                <w:spacing w:val="0"/>
                <w:w w:val="100"/>
                <w:position w:val="0"/>
                <w:sz w:val="22"/>
                <w:szCs w:val="22"/>
                <w:lang w:val="en-US" w:eastAsia="zh-CN"/>
              </w:rPr>
              <w:t>江令</w:t>
            </w:r>
          </w:p>
        </w:tc>
        <w:tc>
          <w:tcPr>
            <w:gridSpan w:val="2"/>
            <w:vMerge w:val="restart"/>
            <w:tcBorders>
              <w:top w:val="single" w:color="auto" w:sz="4" w:space="0"/>
              <w:left w:val="single" w:color="auto" w:sz="4" w:space="0"/>
            </w:tcBorders>
            <w:shd w:val="clear" w:color="auto" w:fill="FFFFFF"/>
            <w:vAlign w:val="center"/>
          </w:tcPr>
          <w:p w14:paraId="1E1C562D">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i w:val="0"/>
                <w:iCs w:val="0"/>
                <w:smallCaps w:val="0"/>
                <w:strike w:val="0"/>
                <w:color w:val="000000"/>
                <w:spacing w:val="0"/>
                <w:w w:val="100"/>
                <w:position w:val="0"/>
                <w:sz w:val="22"/>
                <w:szCs w:val="22"/>
              </w:rPr>
            </w:pPr>
            <w:r>
              <w:rPr>
                <w:rFonts w:hint="eastAsia" w:ascii="仿宋_GB2312" w:hAnsi="仿宋_GB2312" w:eastAsia="仿宋_GB2312" w:cs="仿宋_GB2312"/>
                <w:b w:val="0"/>
                <w:bCs w:val="0"/>
                <w:i w:val="0"/>
                <w:iCs w:val="0"/>
                <w:smallCaps w:val="0"/>
                <w:strike w:val="0"/>
                <w:color w:val="000000"/>
                <w:spacing w:val="0"/>
                <w:w w:val="100"/>
                <w:position w:val="0"/>
                <w:sz w:val="22"/>
                <w:szCs w:val="22"/>
              </w:rPr>
              <w:t>联系电话</w:t>
            </w:r>
          </w:p>
        </w:tc>
        <w:tc>
          <w:tcPr>
            <w:tcBorders>
              <w:top w:val="single" w:color="auto" w:sz="4" w:space="0"/>
              <w:left w:val="single" w:color="auto" w:sz="4" w:space="0"/>
              <w:right w:val="single" w:color="auto" w:sz="4" w:space="0"/>
            </w:tcBorders>
            <w:shd w:val="clear" w:color="auto" w:fill="FFFFFF"/>
            <w:vAlign w:val="center"/>
          </w:tcPr>
          <w:p w14:paraId="5E8F0C6E">
            <w:pPr>
              <w:pStyle w:val="33"/>
              <w:keepNext w:val="0"/>
              <w:keepLines w:val="0"/>
              <w:widowControl w:val="0"/>
              <w:shd w:val="clear" w:color="auto" w:fill="auto"/>
              <w:bidi w:val="0"/>
              <w:spacing w:before="0" w:after="0" w:line="240" w:lineRule="auto"/>
              <w:ind w:left="0" w:right="0" w:firstLine="0"/>
              <w:jc w:val="left"/>
              <w:rPr>
                <w:rFonts w:hint="eastAsia" w:ascii="仿宋_GB2312" w:hAnsi="仿宋_GB2312" w:eastAsia="仿宋_GB2312" w:cs="仿宋_GB2312"/>
                <w:b w:val="0"/>
                <w:bCs w:val="0"/>
                <w:i w:val="0"/>
                <w:iCs w:val="0"/>
                <w:smallCaps w:val="0"/>
                <w:strike w:val="0"/>
                <w:color w:val="000000"/>
                <w:spacing w:val="0"/>
                <w:w w:val="100"/>
                <w:position w:val="0"/>
                <w:sz w:val="22"/>
                <w:szCs w:val="22"/>
                <w:lang w:val="en-US" w:eastAsia="zh-CN"/>
              </w:rPr>
            </w:pPr>
            <w:r>
              <w:rPr>
                <w:rFonts w:hint="eastAsia" w:ascii="仿宋_GB2312" w:hAnsi="仿宋_GB2312" w:eastAsia="仿宋_GB2312" w:cs="仿宋_GB2312"/>
                <w:b w:val="0"/>
                <w:bCs w:val="0"/>
                <w:i w:val="0"/>
                <w:iCs w:val="0"/>
                <w:smallCaps w:val="0"/>
                <w:strike w:val="0"/>
                <w:color w:val="000000"/>
                <w:spacing w:val="0"/>
                <w:w w:val="100"/>
                <w:position w:val="0"/>
                <w:sz w:val="22"/>
                <w:szCs w:val="22"/>
              </w:rPr>
              <w:t>座机：</w:t>
            </w:r>
            <w:r>
              <w:rPr>
                <w:rFonts w:hint="eastAsia" w:ascii="仿宋_GB2312" w:hAnsi="仿宋_GB2312" w:eastAsia="仿宋_GB2312" w:cs="仿宋_GB2312"/>
                <w:b w:val="0"/>
                <w:bCs w:val="0"/>
                <w:i w:val="0"/>
                <w:iCs w:val="0"/>
                <w:smallCaps w:val="0"/>
                <w:strike w:val="0"/>
                <w:color w:val="000000"/>
                <w:spacing w:val="0"/>
                <w:w w:val="100"/>
                <w:position w:val="0"/>
                <w:sz w:val="22"/>
                <w:szCs w:val="22"/>
                <w:lang w:val="en-US" w:eastAsia="zh-CN"/>
              </w:rPr>
              <w:t>02381508107</w:t>
            </w:r>
          </w:p>
        </w:tc>
      </w:tr>
      <w:tr w14:paraId="7CFF8B61">
        <w:tblPrEx>
          <w:tblCellMar>
            <w:top w:w="0" w:type="dxa"/>
            <w:left w:w="10" w:type="dxa"/>
            <w:bottom w:w="0" w:type="dxa"/>
            <w:right w:w="10" w:type="dxa"/>
          </w:tblCellMar>
        </w:tblPrEx>
        <w:trPr>
          <w:trHeight w:val="394" w:hRule="exact"/>
          <w:jc w:val="center"/>
        </w:trPr>
        <w:tc>
          <w:tcPr>
            <w:vMerge w:val="continue"/>
            <w:tcBorders>
              <w:left w:val="single" w:color="auto" w:sz="4" w:space="0"/>
            </w:tcBorders>
            <w:shd w:val="clear" w:color="auto" w:fill="FFFFFF"/>
            <w:vAlign w:val="center"/>
          </w:tcPr>
          <w:p w14:paraId="1F064CEA">
            <w:pPr>
              <w:rPr>
                <w:rFonts w:hint="eastAsia" w:ascii="仿宋_GB2312" w:hAnsi="仿宋_GB2312" w:eastAsia="仿宋_GB2312" w:cs="仿宋_GB2312"/>
              </w:rPr>
            </w:pPr>
          </w:p>
        </w:tc>
        <w:tc>
          <w:tcPr>
            <w:gridSpan w:val="2"/>
            <w:vMerge w:val="continue"/>
            <w:tcBorders>
              <w:left w:val="single" w:color="auto" w:sz="4" w:space="0"/>
            </w:tcBorders>
            <w:shd w:val="clear" w:color="auto" w:fill="FFFFFF"/>
            <w:vAlign w:val="center"/>
          </w:tcPr>
          <w:p w14:paraId="3059BF95">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i w:val="0"/>
                <w:iCs w:val="0"/>
                <w:smallCaps w:val="0"/>
                <w:strike w:val="0"/>
                <w:color w:val="000000"/>
                <w:spacing w:val="0"/>
                <w:w w:val="100"/>
                <w:position w:val="0"/>
                <w:sz w:val="22"/>
                <w:szCs w:val="22"/>
              </w:rPr>
            </w:pPr>
          </w:p>
        </w:tc>
        <w:tc>
          <w:tcPr>
            <w:gridSpan w:val="2"/>
            <w:vMerge w:val="continue"/>
            <w:tcBorders>
              <w:left w:val="single" w:color="auto" w:sz="4" w:space="0"/>
            </w:tcBorders>
            <w:shd w:val="clear" w:color="auto" w:fill="FFFFFF"/>
            <w:vAlign w:val="center"/>
          </w:tcPr>
          <w:p w14:paraId="66502634">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i w:val="0"/>
                <w:iCs w:val="0"/>
                <w:smallCaps w:val="0"/>
                <w:strike w:val="0"/>
                <w:color w:val="000000"/>
                <w:spacing w:val="0"/>
                <w:w w:val="100"/>
                <w:position w:val="0"/>
                <w:sz w:val="22"/>
                <w:szCs w:val="22"/>
              </w:rPr>
            </w:pPr>
          </w:p>
        </w:tc>
        <w:tc>
          <w:tcPr>
            <w:tcBorders>
              <w:top w:val="single" w:color="auto" w:sz="4" w:space="0"/>
              <w:left w:val="single" w:color="auto" w:sz="4" w:space="0"/>
              <w:right w:val="single" w:color="auto" w:sz="4" w:space="0"/>
            </w:tcBorders>
            <w:shd w:val="clear" w:color="auto" w:fill="FFFFFF"/>
            <w:vAlign w:val="top"/>
          </w:tcPr>
          <w:p w14:paraId="4E60D425">
            <w:pPr>
              <w:pStyle w:val="33"/>
              <w:keepNext w:val="0"/>
              <w:keepLines w:val="0"/>
              <w:widowControl w:val="0"/>
              <w:shd w:val="clear" w:color="auto" w:fill="auto"/>
              <w:bidi w:val="0"/>
              <w:spacing w:before="0" w:after="0" w:line="240" w:lineRule="auto"/>
              <w:ind w:left="0" w:right="0" w:firstLine="0"/>
              <w:jc w:val="left"/>
              <w:rPr>
                <w:rFonts w:hint="eastAsia" w:ascii="仿宋_GB2312" w:hAnsi="仿宋_GB2312" w:eastAsia="仿宋_GB2312" w:cs="仿宋_GB2312"/>
                <w:b w:val="0"/>
                <w:bCs w:val="0"/>
                <w:i w:val="0"/>
                <w:iCs w:val="0"/>
                <w:smallCaps w:val="0"/>
                <w:strike w:val="0"/>
                <w:color w:val="000000"/>
                <w:spacing w:val="0"/>
                <w:w w:val="100"/>
                <w:position w:val="0"/>
                <w:sz w:val="22"/>
                <w:szCs w:val="22"/>
                <w:lang w:val="en-US" w:eastAsia="zh-CN"/>
              </w:rPr>
            </w:pPr>
            <w:r>
              <w:rPr>
                <w:rFonts w:hint="eastAsia" w:ascii="仿宋_GB2312" w:hAnsi="仿宋_GB2312" w:eastAsia="仿宋_GB2312" w:cs="仿宋_GB2312"/>
                <w:b w:val="0"/>
                <w:bCs w:val="0"/>
                <w:i w:val="0"/>
                <w:iCs w:val="0"/>
                <w:smallCaps w:val="0"/>
                <w:strike w:val="0"/>
                <w:color w:val="000000"/>
                <w:spacing w:val="0"/>
                <w:w w:val="100"/>
                <w:position w:val="0"/>
                <w:sz w:val="22"/>
                <w:szCs w:val="22"/>
              </w:rPr>
              <w:t>手机：1</w:t>
            </w:r>
            <w:r>
              <w:rPr>
                <w:rFonts w:hint="eastAsia" w:ascii="仿宋_GB2312" w:hAnsi="仿宋_GB2312" w:eastAsia="仿宋_GB2312" w:cs="仿宋_GB2312"/>
                <w:b w:val="0"/>
                <w:bCs w:val="0"/>
                <w:i w:val="0"/>
                <w:iCs w:val="0"/>
                <w:smallCaps w:val="0"/>
                <w:strike w:val="0"/>
                <w:color w:val="000000"/>
                <w:spacing w:val="0"/>
                <w:w w:val="100"/>
                <w:position w:val="0"/>
                <w:sz w:val="22"/>
                <w:szCs w:val="22"/>
                <w:lang w:val="en-US" w:eastAsia="zh-CN"/>
              </w:rPr>
              <w:t>83xxxx1451</w:t>
            </w:r>
          </w:p>
        </w:tc>
      </w:tr>
      <w:tr w14:paraId="069DBA26">
        <w:tblPrEx>
          <w:tblCellMar>
            <w:top w:w="0" w:type="dxa"/>
            <w:left w:w="10" w:type="dxa"/>
            <w:bottom w:w="0" w:type="dxa"/>
            <w:right w:w="10" w:type="dxa"/>
          </w:tblCellMar>
        </w:tblPrEx>
        <w:trPr>
          <w:trHeight w:val="533" w:hRule="exact"/>
          <w:jc w:val="center"/>
        </w:trPr>
        <w:tc>
          <w:tcPr>
            <w:tcBorders>
              <w:top w:val="single" w:color="auto" w:sz="4" w:space="0"/>
              <w:left w:val="single" w:color="auto" w:sz="4" w:space="0"/>
            </w:tcBorders>
            <w:shd w:val="clear" w:color="auto" w:fill="FFFFFF"/>
            <w:vAlign w:val="center"/>
          </w:tcPr>
          <w:p w14:paraId="5F33346E">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2"/>
                <w:szCs w:val="22"/>
              </w:rPr>
            </w:pPr>
            <w:r>
              <w:rPr>
                <w:rFonts w:hint="eastAsia" w:ascii="仿宋_GB2312" w:hAnsi="仿宋_GB2312" w:eastAsia="仿宋_GB2312" w:cs="仿宋_GB2312"/>
                <w:color w:val="000000"/>
                <w:spacing w:val="0"/>
                <w:w w:val="100"/>
                <w:position w:val="0"/>
                <w:sz w:val="22"/>
                <w:szCs w:val="22"/>
              </w:rPr>
              <w:t>所属行业</w:t>
            </w:r>
          </w:p>
        </w:tc>
        <w:tc>
          <w:tcPr>
            <w:gridSpan w:val="5"/>
            <w:tcBorders>
              <w:top w:val="single" w:color="auto" w:sz="4" w:space="0"/>
              <w:left w:val="single" w:color="auto" w:sz="4" w:space="0"/>
              <w:right w:val="single" w:color="auto" w:sz="4" w:space="0"/>
            </w:tcBorders>
            <w:shd w:val="clear" w:color="auto" w:fill="FFFFFF"/>
            <w:vAlign w:val="center"/>
          </w:tcPr>
          <w:p w14:paraId="66AC6F37">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i w:val="0"/>
                <w:iCs w:val="0"/>
                <w:smallCaps w:val="0"/>
                <w:strike w:val="0"/>
                <w:color w:val="000000"/>
                <w:spacing w:val="0"/>
                <w:w w:val="100"/>
                <w:position w:val="0"/>
                <w:sz w:val="22"/>
                <w:szCs w:val="22"/>
                <w:lang w:val="en-US" w:eastAsia="zh-CN"/>
              </w:rPr>
            </w:pPr>
            <w:r>
              <w:rPr>
                <w:rFonts w:hint="eastAsia" w:ascii="仿宋_GB2312" w:hAnsi="仿宋_GB2312" w:eastAsia="仿宋_GB2312" w:cs="仿宋_GB2312"/>
                <w:b w:val="0"/>
                <w:bCs w:val="0"/>
                <w:i w:val="0"/>
                <w:iCs w:val="0"/>
                <w:smallCaps w:val="0"/>
                <w:strike w:val="0"/>
                <w:color w:val="000000"/>
                <w:spacing w:val="0"/>
                <w:w w:val="100"/>
                <w:position w:val="0"/>
                <w:sz w:val="22"/>
                <w:szCs w:val="22"/>
                <w:lang w:val="en-US" w:eastAsia="zh-CN"/>
              </w:rPr>
              <w:t>生物质能发电-生活垃圾焚烧发电</w:t>
            </w:r>
          </w:p>
        </w:tc>
      </w:tr>
      <w:tr w14:paraId="399ECD03">
        <w:tblPrEx>
          <w:tblCellMar>
            <w:top w:w="0" w:type="dxa"/>
            <w:left w:w="10" w:type="dxa"/>
            <w:bottom w:w="0" w:type="dxa"/>
            <w:right w:w="10" w:type="dxa"/>
          </w:tblCellMar>
        </w:tblPrEx>
        <w:trPr>
          <w:trHeight w:val="538" w:hRule="exact"/>
          <w:jc w:val="center"/>
        </w:trPr>
        <w:tc>
          <w:tcPr>
            <w:tcBorders>
              <w:top w:val="single" w:color="auto" w:sz="4" w:space="0"/>
              <w:left w:val="single" w:color="auto" w:sz="4" w:space="0"/>
            </w:tcBorders>
            <w:shd w:val="clear" w:color="auto" w:fill="FFFFFF"/>
            <w:vAlign w:val="center"/>
          </w:tcPr>
          <w:p w14:paraId="24CF84F8">
            <w:pPr>
              <w:pStyle w:val="33"/>
              <w:keepNext w:val="0"/>
              <w:keepLines w:val="0"/>
              <w:widowControl w:val="0"/>
              <w:shd w:val="clear" w:color="auto" w:fill="auto"/>
              <w:bidi w:val="0"/>
              <w:spacing w:before="0" w:after="0" w:line="240" w:lineRule="auto"/>
              <w:ind w:left="0" w:right="0" w:firstLine="380"/>
              <w:jc w:val="left"/>
              <w:rPr>
                <w:rFonts w:hint="eastAsia" w:ascii="仿宋_GB2312" w:hAnsi="仿宋_GB2312" w:eastAsia="仿宋_GB2312" w:cs="仿宋_GB2312"/>
                <w:sz w:val="22"/>
                <w:szCs w:val="22"/>
              </w:rPr>
            </w:pPr>
            <w:r>
              <w:rPr>
                <w:rFonts w:hint="eastAsia" w:ascii="仿宋_GB2312" w:hAnsi="仿宋_GB2312" w:eastAsia="仿宋_GB2312" w:cs="仿宋_GB2312"/>
                <w:color w:val="000000"/>
                <w:spacing w:val="0"/>
                <w:w w:val="100"/>
                <w:position w:val="0"/>
                <w:sz w:val="22"/>
                <w:szCs w:val="22"/>
              </w:rPr>
              <w:t>国控类型</w:t>
            </w:r>
          </w:p>
        </w:tc>
        <w:tc>
          <w:tcPr>
            <w:gridSpan w:val="5"/>
            <w:tcBorders>
              <w:top w:val="single" w:color="auto" w:sz="4" w:space="0"/>
              <w:left w:val="single" w:color="auto" w:sz="4" w:space="0"/>
              <w:right w:val="single" w:color="auto" w:sz="4" w:space="0"/>
            </w:tcBorders>
            <w:shd w:val="clear" w:color="auto" w:fill="FFFFFF"/>
            <w:vAlign w:val="center"/>
          </w:tcPr>
          <w:p w14:paraId="01EA24F2">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i w:val="0"/>
                <w:iCs w:val="0"/>
                <w:smallCaps w:val="0"/>
                <w:strike w:val="0"/>
                <w:color w:val="000000"/>
                <w:spacing w:val="0"/>
                <w:w w:val="100"/>
                <w:position w:val="0"/>
                <w:sz w:val="22"/>
                <w:szCs w:val="22"/>
              </w:rPr>
            </w:pPr>
            <w:r>
              <w:rPr>
                <w:rFonts w:hint="eastAsia" w:ascii="仿宋_GB2312" w:hAnsi="仿宋_GB2312" w:eastAsia="仿宋_GB2312" w:cs="仿宋_GB2312"/>
                <w:b w:val="0"/>
                <w:bCs w:val="0"/>
                <w:i w:val="0"/>
                <w:iCs w:val="0"/>
                <w:smallCaps w:val="0"/>
                <w:strike w:val="0"/>
                <w:color w:val="000000"/>
                <w:spacing w:val="0"/>
                <w:w w:val="100"/>
                <w:position w:val="0"/>
                <w:sz w:val="22"/>
                <w:szCs w:val="22"/>
              </w:rPr>
              <w:t>口废水</w:t>
            </w:r>
            <w:r>
              <w:rPr>
                <w:rFonts w:hint="eastAsia" w:ascii="仿宋_GB2312" w:hAnsi="仿宋_GB2312" w:eastAsia="仿宋_GB2312" w:cs="仿宋_GB2312"/>
                <w:b w:val="0"/>
                <w:bCs w:val="0"/>
                <w:i w:val="0"/>
                <w:iCs w:val="0"/>
                <w:smallCaps w:val="0"/>
                <w:strike w:val="0"/>
                <w:color w:val="000000"/>
                <w:spacing w:val="0"/>
                <w:w w:val="100"/>
                <w:position w:val="0"/>
                <w:sz w:val="22"/>
                <w:szCs w:val="22"/>
              </w:rPr>
              <w:sym w:font="Wingdings 2" w:char="0052"/>
            </w:r>
            <w:r>
              <w:rPr>
                <w:rFonts w:hint="eastAsia" w:ascii="仿宋_GB2312" w:hAnsi="仿宋_GB2312" w:eastAsia="仿宋_GB2312" w:cs="仿宋_GB2312"/>
                <w:b w:val="0"/>
                <w:bCs w:val="0"/>
                <w:i w:val="0"/>
                <w:iCs w:val="0"/>
                <w:smallCaps w:val="0"/>
                <w:strike w:val="0"/>
                <w:color w:val="000000"/>
                <w:spacing w:val="0"/>
                <w:w w:val="100"/>
                <w:position w:val="0"/>
                <w:sz w:val="22"/>
                <w:szCs w:val="22"/>
              </w:rPr>
              <w:t>废气</w:t>
            </w:r>
            <w:r>
              <w:rPr>
                <w:rFonts w:hint="eastAsia" w:ascii="仿宋_GB2312" w:hAnsi="仿宋_GB2312" w:eastAsia="仿宋_GB2312" w:cs="仿宋_GB2312"/>
                <w:b w:val="0"/>
                <w:bCs w:val="0"/>
                <w:i w:val="0"/>
                <w:iCs w:val="0"/>
                <w:smallCaps w:val="0"/>
                <w:strike w:val="0"/>
                <w:color w:val="000000"/>
                <w:spacing w:val="0"/>
                <w:w w:val="100"/>
                <w:position w:val="0"/>
                <w:sz w:val="22"/>
                <w:szCs w:val="22"/>
                <w:lang w:val="en-US" w:eastAsia="zh-CN"/>
              </w:rPr>
              <w:t>口</w:t>
            </w:r>
            <w:r>
              <w:rPr>
                <w:rFonts w:hint="eastAsia" w:ascii="仿宋_GB2312" w:hAnsi="仿宋_GB2312" w:eastAsia="仿宋_GB2312" w:cs="仿宋_GB2312"/>
                <w:b w:val="0"/>
                <w:bCs w:val="0"/>
                <w:i w:val="0"/>
                <w:iCs w:val="0"/>
                <w:smallCaps w:val="0"/>
                <w:strike w:val="0"/>
                <w:color w:val="000000"/>
                <w:spacing w:val="0"/>
                <w:w w:val="100"/>
                <w:position w:val="0"/>
                <w:sz w:val="22"/>
                <w:szCs w:val="22"/>
              </w:rPr>
              <w:t>重金属口污水处理厂□其它</w:t>
            </w:r>
          </w:p>
        </w:tc>
      </w:tr>
      <w:tr w14:paraId="00E5F90C">
        <w:tblPrEx>
          <w:tblCellMar>
            <w:top w:w="0" w:type="dxa"/>
            <w:left w:w="10" w:type="dxa"/>
            <w:bottom w:w="0" w:type="dxa"/>
            <w:right w:w="10" w:type="dxa"/>
          </w:tblCellMar>
        </w:tblPrEx>
        <w:trPr>
          <w:trHeight w:val="538" w:hRule="exact"/>
          <w:jc w:val="center"/>
        </w:trPr>
        <w:tc>
          <w:tcPr>
            <w:tcBorders>
              <w:top w:val="single" w:color="auto" w:sz="4" w:space="0"/>
              <w:left w:val="single" w:color="auto" w:sz="4" w:space="0"/>
            </w:tcBorders>
            <w:shd w:val="clear" w:color="auto" w:fill="FFFFFF"/>
            <w:vAlign w:val="center"/>
          </w:tcPr>
          <w:p w14:paraId="2FC09CBD">
            <w:pPr>
              <w:pStyle w:val="33"/>
              <w:keepNext w:val="0"/>
              <w:keepLines w:val="0"/>
              <w:widowControl w:val="0"/>
              <w:shd w:val="clear" w:color="auto" w:fill="auto"/>
              <w:bidi w:val="0"/>
              <w:spacing w:before="0" w:after="0" w:line="240" w:lineRule="auto"/>
              <w:ind w:left="0" w:right="0" w:firstLine="380"/>
              <w:jc w:val="left"/>
              <w:rPr>
                <w:rFonts w:hint="eastAsia" w:ascii="仿宋_GB2312" w:hAnsi="仿宋_GB2312" w:eastAsia="仿宋_GB2312" w:cs="仿宋_GB2312"/>
                <w:sz w:val="22"/>
                <w:szCs w:val="22"/>
              </w:rPr>
            </w:pPr>
            <w:r>
              <w:rPr>
                <w:rFonts w:hint="eastAsia" w:ascii="仿宋_GB2312" w:hAnsi="仿宋_GB2312" w:eastAsia="仿宋_GB2312" w:cs="仿宋_GB2312"/>
                <w:color w:val="000000"/>
                <w:spacing w:val="0"/>
                <w:w w:val="100"/>
                <w:position w:val="0"/>
                <w:sz w:val="22"/>
                <w:szCs w:val="22"/>
              </w:rPr>
              <w:t>主要产品</w:t>
            </w:r>
          </w:p>
        </w:tc>
        <w:tc>
          <w:tcPr>
            <w:gridSpan w:val="5"/>
            <w:tcBorders>
              <w:top w:val="single" w:color="auto" w:sz="4" w:space="0"/>
              <w:left w:val="single" w:color="auto" w:sz="4" w:space="0"/>
              <w:right w:val="single" w:color="auto" w:sz="4" w:space="0"/>
            </w:tcBorders>
            <w:shd w:val="clear" w:color="auto" w:fill="FFFFFF"/>
            <w:vAlign w:val="center"/>
          </w:tcPr>
          <w:p w14:paraId="3E748803">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i w:val="0"/>
                <w:iCs w:val="0"/>
                <w:smallCaps w:val="0"/>
                <w:strike w:val="0"/>
                <w:color w:val="000000"/>
                <w:spacing w:val="0"/>
                <w:w w:val="100"/>
                <w:position w:val="0"/>
                <w:sz w:val="22"/>
                <w:szCs w:val="22"/>
                <w:lang w:eastAsia="zh-CN"/>
              </w:rPr>
            </w:pPr>
            <w:r>
              <w:rPr>
                <w:rFonts w:hint="eastAsia" w:ascii="仿宋_GB2312" w:hAnsi="仿宋_GB2312" w:eastAsia="仿宋_GB2312" w:cs="仿宋_GB2312"/>
                <w:b w:val="0"/>
                <w:bCs w:val="0"/>
                <w:i w:val="0"/>
                <w:iCs w:val="0"/>
                <w:smallCaps w:val="0"/>
                <w:strike w:val="0"/>
                <w:color w:val="000000"/>
                <w:spacing w:val="0"/>
                <w:w w:val="100"/>
                <w:position w:val="0"/>
                <w:sz w:val="22"/>
                <w:szCs w:val="22"/>
                <w:lang w:val="en-US" w:eastAsia="zh-CN"/>
              </w:rPr>
              <w:t>电能</w:t>
            </w:r>
          </w:p>
        </w:tc>
      </w:tr>
      <w:tr w14:paraId="2785571B">
        <w:tblPrEx>
          <w:tblCellMar>
            <w:top w:w="0" w:type="dxa"/>
            <w:left w:w="10" w:type="dxa"/>
            <w:bottom w:w="0" w:type="dxa"/>
            <w:right w:w="10" w:type="dxa"/>
          </w:tblCellMar>
        </w:tblPrEx>
        <w:trPr>
          <w:trHeight w:val="720" w:hRule="exact"/>
          <w:jc w:val="center"/>
        </w:trPr>
        <w:tc>
          <w:tcPr>
            <w:tcBorders>
              <w:top w:val="single" w:color="auto" w:sz="4" w:space="0"/>
              <w:left w:val="single" w:color="auto" w:sz="4" w:space="0"/>
            </w:tcBorders>
            <w:shd w:val="clear" w:color="auto" w:fill="FFFFFF"/>
            <w:vAlign w:val="bottom"/>
          </w:tcPr>
          <w:p w14:paraId="1124F2FE">
            <w:pPr>
              <w:pStyle w:val="33"/>
              <w:keepNext w:val="0"/>
              <w:keepLines w:val="0"/>
              <w:widowControl w:val="0"/>
              <w:shd w:val="clear" w:color="auto" w:fill="auto"/>
              <w:bidi w:val="0"/>
              <w:spacing w:before="0" w:after="0" w:line="307" w:lineRule="exact"/>
              <w:ind w:left="0" w:right="0" w:firstLine="0"/>
              <w:jc w:val="center"/>
              <w:rPr>
                <w:rFonts w:hint="eastAsia" w:ascii="仿宋_GB2312" w:hAnsi="仿宋_GB2312" w:eastAsia="仿宋_GB2312" w:cs="仿宋_GB2312"/>
                <w:sz w:val="22"/>
                <w:szCs w:val="22"/>
              </w:rPr>
            </w:pPr>
            <w:r>
              <w:rPr>
                <w:rFonts w:hint="eastAsia" w:ascii="仿宋_GB2312" w:hAnsi="仿宋_GB2312" w:eastAsia="仿宋_GB2312" w:cs="仿宋_GB2312"/>
                <w:color w:val="000000"/>
                <w:spacing w:val="0"/>
                <w:w w:val="100"/>
                <w:position w:val="0"/>
                <w:sz w:val="22"/>
                <w:szCs w:val="22"/>
              </w:rPr>
              <w:t>设计（实际）生产能力</w:t>
            </w:r>
          </w:p>
        </w:tc>
        <w:tc>
          <w:tcPr>
            <w:gridSpan w:val="5"/>
            <w:tcBorders>
              <w:top w:val="single" w:color="auto" w:sz="4" w:space="0"/>
              <w:left w:val="single" w:color="auto" w:sz="4" w:space="0"/>
              <w:right w:val="single" w:color="auto" w:sz="4" w:space="0"/>
            </w:tcBorders>
            <w:shd w:val="clear" w:color="auto" w:fill="FFFFFF"/>
            <w:vAlign w:val="center"/>
          </w:tcPr>
          <w:p w14:paraId="130C2C01">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i w:val="0"/>
                <w:iCs w:val="0"/>
                <w:smallCaps w:val="0"/>
                <w:strike w:val="0"/>
                <w:color w:val="000000"/>
                <w:spacing w:val="0"/>
                <w:w w:val="100"/>
                <w:position w:val="0"/>
                <w:sz w:val="22"/>
                <w:szCs w:val="22"/>
              </w:rPr>
            </w:pPr>
            <w:r>
              <w:rPr>
                <w:rFonts w:hint="eastAsia" w:ascii="仿宋_GB2312" w:hAnsi="仿宋_GB2312" w:eastAsia="仿宋_GB2312" w:cs="仿宋_GB2312"/>
                <w:b w:val="0"/>
                <w:bCs w:val="0"/>
                <w:i w:val="0"/>
                <w:iCs w:val="0"/>
                <w:smallCaps w:val="0"/>
                <w:strike w:val="0"/>
                <w:color w:val="000000"/>
                <w:spacing w:val="0"/>
                <w:w w:val="100"/>
                <w:position w:val="0"/>
                <w:sz w:val="22"/>
                <w:szCs w:val="22"/>
                <w:lang w:val="en-US" w:eastAsia="zh-CN"/>
              </w:rPr>
              <w:t>3360万KW·h</w:t>
            </w:r>
            <w:r>
              <w:rPr>
                <w:rFonts w:hint="eastAsia" w:ascii="仿宋_GB2312" w:hAnsi="仿宋_GB2312" w:eastAsia="仿宋_GB2312" w:cs="仿宋_GB2312"/>
                <w:b w:val="0"/>
                <w:bCs w:val="0"/>
                <w:i w:val="0"/>
                <w:iCs w:val="0"/>
                <w:smallCaps w:val="0"/>
                <w:strike w:val="0"/>
                <w:color w:val="000000"/>
                <w:spacing w:val="0"/>
                <w:w w:val="100"/>
                <w:position w:val="0"/>
                <w:sz w:val="22"/>
                <w:szCs w:val="22"/>
                <w:lang w:val="en-US" w:eastAsia="en-US"/>
              </w:rPr>
              <w:t>/a</w:t>
            </w:r>
          </w:p>
        </w:tc>
      </w:tr>
      <w:tr w14:paraId="652F5CD0">
        <w:tblPrEx>
          <w:tblCellMar>
            <w:top w:w="0" w:type="dxa"/>
            <w:left w:w="10" w:type="dxa"/>
            <w:bottom w:w="0" w:type="dxa"/>
            <w:right w:w="10" w:type="dxa"/>
          </w:tblCellMar>
        </w:tblPrEx>
        <w:trPr>
          <w:trHeight w:val="538" w:hRule="exact"/>
          <w:jc w:val="center"/>
        </w:trPr>
        <w:tc>
          <w:tcPr>
            <w:tcBorders>
              <w:top w:val="single" w:color="auto" w:sz="4" w:space="0"/>
              <w:left w:val="single" w:color="auto" w:sz="4" w:space="0"/>
            </w:tcBorders>
            <w:shd w:val="clear" w:color="auto" w:fill="FFFFFF"/>
            <w:vAlign w:val="center"/>
          </w:tcPr>
          <w:p w14:paraId="2E97A2C0">
            <w:pPr>
              <w:pStyle w:val="33"/>
              <w:keepNext w:val="0"/>
              <w:keepLines w:val="0"/>
              <w:widowControl w:val="0"/>
              <w:shd w:val="clear" w:color="auto" w:fill="auto"/>
              <w:bidi w:val="0"/>
              <w:spacing w:before="0" w:after="0" w:line="240" w:lineRule="auto"/>
              <w:ind w:left="0" w:right="0" w:firstLine="260"/>
              <w:jc w:val="left"/>
              <w:rPr>
                <w:rFonts w:hint="eastAsia" w:ascii="仿宋_GB2312" w:hAnsi="仿宋_GB2312" w:eastAsia="仿宋_GB2312" w:cs="仿宋_GB2312"/>
                <w:sz w:val="22"/>
                <w:szCs w:val="22"/>
              </w:rPr>
            </w:pPr>
            <w:r>
              <w:rPr>
                <w:rFonts w:hint="eastAsia" w:ascii="仿宋_GB2312" w:hAnsi="仿宋_GB2312" w:eastAsia="仿宋_GB2312" w:cs="仿宋_GB2312"/>
                <w:color w:val="000000"/>
                <w:spacing w:val="0"/>
                <w:w w:val="100"/>
                <w:position w:val="0"/>
                <w:sz w:val="22"/>
                <w:szCs w:val="22"/>
              </w:rPr>
              <w:t>企业职工数</w:t>
            </w:r>
          </w:p>
        </w:tc>
        <w:tc>
          <w:tcPr>
            <w:gridSpan w:val="5"/>
            <w:tcBorders>
              <w:top w:val="single" w:color="auto" w:sz="4" w:space="0"/>
              <w:left w:val="single" w:color="auto" w:sz="4" w:space="0"/>
              <w:right w:val="single" w:color="auto" w:sz="4" w:space="0"/>
            </w:tcBorders>
            <w:shd w:val="clear" w:color="auto" w:fill="FFFFFF"/>
            <w:vAlign w:val="center"/>
          </w:tcPr>
          <w:p w14:paraId="3DDB1650">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i w:val="0"/>
                <w:iCs w:val="0"/>
                <w:smallCaps w:val="0"/>
                <w:strike w:val="0"/>
                <w:color w:val="000000"/>
                <w:spacing w:val="0"/>
                <w:w w:val="100"/>
                <w:position w:val="0"/>
                <w:sz w:val="22"/>
                <w:szCs w:val="22"/>
                <w:lang w:val="en-US" w:eastAsia="zh-CN"/>
              </w:rPr>
            </w:pPr>
            <w:r>
              <w:rPr>
                <w:rFonts w:hint="eastAsia" w:ascii="仿宋_GB2312" w:hAnsi="仿宋_GB2312" w:eastAsia="仿宋_GB2312" w:cs="仿宋_GB2312"/>
                <w:b w:val="0"/>
                <w:bCs w:val="0"/>
                <w:i w:val="0"/>
                <w:iCs w:val="0"/>
                <w:smallCaps w:val="0"/>
                <w:strike w:val="0"/>
                <w:color w:val="000000"/>
                <w:spacing w:val="0"/>
                <w:w w:val="100"/>
                <w:position w:val="0"/>
                <w:sz w:val="22"/>
                <w:szCs w:val="22"/>
                <w:lang w:val="en-US" w:eastAsia="zh-CN"/>
              </w:rPr>
              <w:t>47</w:t>
            </w:r>
          </w:p>
        </w:tc>
      </w:tr>
      <w:tr w14:paraId="5696E2E9">
        <w:tblPrEx>
          <w:tblCellMar>
            <w:top w:w="0" w:type="dxa"/>
            <w:left w:w="10" w:type="dxa"/>
            <w:bottom w:w="0" w:type="dxa"/>
            <w:right w:w="10" w:type="dxa"/>
          </w:tblCellMar>
        </w:tblPrEx>
        <w:trPr>
          <w:trHeight w:val="538" w:hRule="exact"/>
          <w:jc w:val="center"/>
        </w:trPr>
        <w:tc>
          <w:tcPr>
            <w:tcBorders>
              <w:top w:val="single" w:color="auto" w:sz="4" w:space="0"/>
              <w:left w:val="single" w:color="auto" w:sz="4" w:space="0"/>
            </w:tcBorders>
            <w:shd w:val="clear" w:color="auto" w:fill="FFFFFF"/>
            <w:vAlign w:val="center"/>
          </w:tcPr>
          <w:p w14:paraId="4F98B07D">
            <w:pPr>
              <w:pStyle w:val="33"/>
              <w:keepNext w:val="0"/>
              <w:keepLines w:val="0"/>
              <w:widowControl w:val="0"/>
              <w:shd w:val="clear" w:color="auto" w:fill="auto"/>
              <w:bidi w:val="0"/>
              <w:spacing w:before="0" w:after="0" w:line="240" w:lineRule="auto"/>
              <w:ind w:left="0" w:right="0" w:firstLine="380"/>
              <w:jc w:val="left"/>
              <w:rPr>
                <w:rFonts w:hint="eastAsia" w:ascii="仿宋_GB2312" w:hAnsi="仿宋_GB2312" w:eastAsia="仿宋_GB2312" w:cs="仿宋_GB2312"/>
                <w:sz w:val="22"/>
                <w:szCs w:val="22"/>
              </w:rPr>
            </w:pPr>
            <w:r>
              <w:rPr>
                <w:rFonts w:hint="eastAsia" w:ascii="仿宋_GB2312" w:hAnsi="仿宋_GB2312" w:eastAsia="仿宋_GB2312" w:cs="仿宋_GB2312"/>
                <w:color w:val="000000"/>
                <w:spacing w:val="0"/>
                <w:w w:val="100"/>
                <w:position w:val="0"/>
                <w:sz w:val="22"/>
                <w:szCs w:val="22"/>
              </w:rPr>
              <w:t>生产周期</w:t>
            </w:r>
          </w:p>
        </w:tc>
        <w:tc>
          <w:tcPr>
            <w:gridSpan w:val="5"/>
            <w:tcBorders>
              <w:top w:val="single" w:color="auto" w:sz="4" w:space="0"/>
              <w:left w:val="single" w:color="auto" w:sz="4" w:space="0"/>
              <w:right w:val="single" w:color="auto" w:sz="4" w:space="0"/>
            </w:tcBorders>
            <w:shd w:val="clear" w:color="auto" w:fill="FFFFFF"/>
            <w:vAlign w:val="top"/>
          </w:tcPr>
          <w:p w14:paraId="2A3F82C5">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i w:val="0"/>
                <w:iCs w:val="0"/>
                <w:smallCaps w:val="0"/>
                <w:strike w:val="0"/>
                <w:color w:val="000000"/>
                <w:spacing w:val="0"/>
                <w:w w:val="100"/>
                <w:position w:val="0"/>
                <w:sz w:val="22"/>
                <w:szCs w:val="22"/>
              </w:rPr>
            </w:pPr>
          </w:p>
        </w:tc>
      </w:tr>
      <w:tr w14:paraId="798B5542">
        <w:tblPrEx>
          <w:tblCellMar>
            <w:top w:w="0" w:type="dxa"/>
            <w:left w:w="10" w:type="dxa"/>
            <w:bottom w:w="0" w:type="dxa"/>
            <w:right w:w="10" w:type="dxa"/>
          </w:tblCellMar>
        </w:tblPrEx>
        <w:trPr>
          <w:trHeight w:val="533" w:hRule="exact"/>
          <w:jc w:val="center"/>
        </w:trPr>
        <w:tc>
          <w:tcPr>
            <w:tcBorders>
              <w:top w:val="single" w:color="auto" w:sz="4" w:space="0"/>
              <w:left w:val="single" w:color="auto" w:sz="4" w:space="0"/>
            </w:tcBorders>
            <w:shd w:val="clear" w:color="auto" w:fill="FFFFFF"/>
            <w:vAlign w:val="center"/>
          </w:tcPr>
          <w:p w14:paraId="154CF311">
            <w:pPr>
              <w:pStyle w:val="33"/>
              <w:keepNext w:val="0"/>
              <w:keepLines w:val="0"/>
              <w:widowControl w:val="0"/>
              <w:shd w:val="clear" w:color="auto" w:fill="auto"/>
              <w:bidi w:val="0"/>
              <w:spacing w:before="0" w:after="0" w:line="240" w:lineRule="auto"/>
              <w:ind w:left="0" w:right="0" w:firstLine="260"/>
              <w:jc w:val="left"/>
              <w:rPr>
                <w:rFonts w:hint="eastAsia" w:ascii="仿宋_GB2312" w:hAnsi="仿宋_GB2312" w:eastAsia="仿宋_GB2312" w:cs="仿宋_GB2312"/>
                <w:sz w:val="22"/>
                <w:szCs w:val="22"/>
              </w:rPr>
            </w:pPr>
            <w:r>
              <w:rPr>
                <w:rFonts w:hint="eastAsia" w:ascii="仿宋_GB2312" w:hAnsi="仿宋_GB2312" w:eastAsia="仿宋_GB2312" w:cs="仿宋_GB2312"/>
                <w:color w:val="000000"/>
                <w:spacing w:val="0"/>
                <w:w w:val="100"/>
                <w:position w:val="0"/>
                <w:sz w:val="22"/>
                <w:szCs w:val="22"/>
              </w:rPr>
              <w:t>企业年产值</w:t>
            </w:r>
          </w:p>
        </w:tc>
        <w:tc>
          <w:tcPr>
            <w:gridSpan w:val="5"/>
            <w:tcBorders>
              <w:top w:val="single" w:color="auto" w:sz="4" w:space="0"/>
              <w:left w:val="single" w:color="auto" w:sz="4" w:space="0"/>
              <w:right w:val="single" w:color="auto" w:sz="4" w:space="0"/>
            </w:tcBorders>
            <w:shd w:val="clear" w:color="auto" w:fill="FFFFFF"/>
            <w:vAlign w:val="center"/>
          </w:tcPr>
          <w:p w14:paraId="391BC2BC">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i w:val="0"/>
                <w:iCs w:val="0"/>
                <w:smallCaps w:val="0"/>
                <w:strike w:val="0"/>
                <w:color w:val="000000"/>
                <w:spacing w:val="0"/>
                <w:w w:val="100"/>
                <w:position w:val="0"/>
                <w:sz w:val="22"/>
                <w:szCs w:val="22"/>
              </w:rPr>
            </w:pPr>
          </w:p>
        </w:tc>
      </w:tr>
      <w:tr w14:paraId="2F1E1D8C">
        <w:tblPrEx>
          <w:tblCellMar>
            <w:top w:w="0" w:type="dxa"/>
            <w:left w:w="10" w:type="dxa"/>
            <w:bottom w:w="0" w:type="dxa"/>
            <w:right w:w="10" w:type="dxa"/>
          </w:tblCellMar>
        </w:tblPrEx>
        <w:trPr>
          <w:trHeight w:val="408" w:hRule="exact"/>
          <w:jc w:val="center"/>
        </w:trPr>
        <w:tc>
          <w:tcPr>
            <w:tcBorders>
              <w:top w:val="single" w:color="auto" w:sz="4" w:space="0"/>
              <w:left w:val="single" w:color="auto" w:sz="4" w:space="0"/>
            </w:tcBorders>
            <w:shd w:val="clear" w:color="auto" w:fill="FFFFFF"/>
            <w:vAlign w:val="bottom"/>
          </w:tcPr>
          <w:p w14:paraId="458CB808">
            <w:pPr>
              <w:pStyle w:val="33"/>
              <w:keepNext w:val="0"/>
              <w:keepLines w:val="0"/>
              <w:widowControl w:val="0"/>
              <w:shd w:val="clear" w:color="auto" w:fill="auto"/>
              <w:bidi w:val="0"/>
              <w:spacing w:before="0" w:after="0" w:line="240" w:lineRule="auto"/>
              <w:ind w:left="0" w:right="0" w:firstLine="380"/>
              <w:jc w:val="left"/>
              <w:rPr>
                <w:rFonts w:hint="eastAsia" w:ascii="仿宋_GB2312" w:hAnsi="仿宋_GB2312" w:eastAsia="仿宋_GB2312" w:cs="仿宋_GB2312"/>
                <w:sz w:val="22"/>
                <w:szCs w:val="22"/>
              </w:rPr>
            </w:pPr>
            <w:r>
              <w:rPr>
                <w:rFonts w:hint="eastAsia" w:ascii="仿宋_GB2312" w:hAnsi="仿宋_GB2312" w:eastAsia="仿宋_GB2312" w:cs="仿宋_GB2312"/>
                <w:color w:val="000000"/>
                <w:spacing w:val="0"/>
                <w:w w:val="100"/>
                <w:position w:val="0"/>
                <w:sz w:val="22"/>
                <w:szCs w:val="22"/>
              </w:rPr>
              <w:t>建厂时间</w:t>
            </w:r>
          </w:p>
        </w:tc>
        <w:tc>
          <w:tcPr>
            <w:gridSpan w:val="5"/>
            <w:tcBorders>
              <w:top w:val="single" w:color="auto" w:sz="4" w:space="0"/>
              <w:left w:val="single" w:color="auto" w:sz="4" w:space="0"/>
              <w:right w:val="single" w:color="auto" w:sz="4" w:space="0"/>
            </w:tcBorders>
            <w:shd w:val="clear" w:color="auto" w:fill="FFFFFF"/>
            <w:vAlign w:val="bottom"/>
          </w:tcPr>
          <w:p w14:paraId="4B4F83F3">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i w:val="0"/>
                <w:iCs w:val="0"/>
                <w:smallCaps w:val="0"/>
                <w:strike w:val="0"/>
                <w:color w:val="000000"/>
                <w:spacing w:val="0"/>
                <w:w w:val="100"/>
                <w:position w:val="0"/>
                <w:sz w:val="22"/>
                <w:szCs w:val="22"/>
              </w:rPr>
            </w:pPr>
            <w:r>
              <w:rPr>
                <w:rFonts w:hint="eastAsia" w:ascii="仿宋_GB2312" w:hAnsi="仿宋_GB2312" w:eastAsia="仿宋_GB2312" w:cs="仿宋_GB2312"/>
                <w:b w:val="0"/>
                <w:bCs w:val="0"/>
                <w:i w:val="0"/>
                <w:iCs w:val="0"/>
                <w:smallCaps w:val="0"/>
                <w:strike w:val="0"/>
                <w:color w:val="000000"/>
                <w:spacing w:val="0"/>
                <w:w w:val="100"/>
                <w:position w:val="0"/>
                <w:sz w:val="22"/>
                <w:szCs w:val="22"/>
                <w:lang w:val="en-US" w:eastAsia="zh-CN"/>
              </w:rPr>
              <w:t>2019</w:t>
            </w:r>
            <w:r>
              <w:rPr>
                <w:rFonts w:hint="eastAsia" w:ascii="仿宋_GB2312" w:hAnsi="仿宋_GB2312" w:eastAsia="仿宋_GB2312" w:cs="仿宋_GB2312"/>
                <w:b w:val="0"/>
                <w:bCs w:val="0"/>
                <w:i w:val="0"/>
                <w:iCs w:val="0"/>
                <w:smallCaps w:val="0"/>
                <w:strike w:val="0"/>
                <w:color w:val="000000"/>
                <w:spacing w:val="0"/>
                <w:w w:val="100"/>
                <w:position w:val="0"/>
                <w:sz w:val="22"/>
                <w:szCs w:val="22"/>
              </w:rPr>
              <w:t>年</w:t>
            </w:r>
            <w:r>
              <w:rPr>
                <w:rFonts w:hint="eastAsia" w:ascii="仿宋_GB2312" w:hAnsi="仿宋_GB2312" w:eastAsia="仿宋_GB2312" w:cs="仿宋_GB2312"/>
                <w:b w:val="0"/>
                <w:bCs w:val="0"/>
                <w:i w:val="0"/>
                <w:iCs w:val="0"/>
                <w:smallCaps w:val="0"/>
                <w:strike w:val="0"/>
                <w:color w:val="000000"/>
                <w:spacing w:val="0"/>
                <w:w w:val="100"/>
                <w:position w:val="0"/>
                <w:sz w:val="22"/>
                <w:szCs w:val="22"/>
                <w:lang w:val="en-US" w:eastAsia="zh-CN"/>
              </w:rPr>
              <w:t>7</w:t>
            </w:r>
            <w:r>
              <w:rPr>
                <w:rFonts w:hint="eastAsia" w:ascii="仿宋_GB2312" w:hAnsi="仿宋_GB2312" w:eastAsia="仿宋_GB2312" w:cs="仿宋_GB2312"/>
                <w:b w:val="0"/>
                <w:bCs w:val="0"/>
                <w:i w:val="0"/>
                <w:iCs w:val="0"/>
                <w:smallCaps w:val="0"/>
                <w:strike w:val="0"/>
                <w:color w:val="000000"/>
                <w:spacing w:val="0"/>
                <w:w w:val="100"/>
                <w:position w:val="0"/>
                <w:sz w:val="22"/>
                <w:szCs w:val="22"/>
              </w:rPr>
              <w:t>月</w:t>
            </w:r>
          </w:p>
        </w:tc>
      </w:tr>
      <w:tr w14:paraId="0F2EB2FA">
        <w:tblPrEx>
          <w:tblCellMar>
            <w:top w:w="0" w:type="dxa"/>
            <w:left w:w="10" w:type="dxa"/>
            <w:bottom w:w="0" w:type="dxa"/>
            <w:right w:w="10" w:type="dxa"/>
          </w:tblCellMar>
        </w:tblPrEx>
        <w:trPr>
          <w:trHeight w:val="442" w:hRule="exact"/>
          <w:jc w:val="center"/>
        </w:trPr>
        <w:tc>
          <w:tcPr>
            <w:tcBorders>
              <w:top w:val="single" w:color="auto" w:sz="4" w:space="0"/>
              <w:left w:val="single" w:color="auto" w:sz="4" w:space="0"/>
            </w:tcBorders>
            <w:shd w:val="clear" w:color="auto" w:fill="FFFFFF"/>
            <w:vAlign w:val="center"/>
          </w:tcPr>
          <w:p w14:paraId="468D8B34">
            <w:pPr>
              <w:pStyle w:val="33"/>
              <w:keepNext w:val="0"/>
              <w:keepLines w:val="0"/>
              <w:widowControl w:val="0"/>
              <w:shd w:val="clear" w:color="auto" w:fill="auto"/>
              <w:bidi w:val="0"/>
              <w:spacing w:before="0" w:after="0" w:line="240" w:lineRule="auto"/>
              <w:ind w:left="0" w:right="0" w:firstLine="380"/>
              <w:jc w:val="left"/>
              <w:rPr>
                <w:rFonts w:hint="eastAsia" w:ascii="仿宋_GB2312" w:hAnsi="仿宋_GB2312" w:eastAsia="仿宋_GB2312" w:cs="仿宋_GB2312"/>
                <w:sz w:val="22"/>
                <w:szCs w:val="22"/>
              </w:rPr>
            </w:pPr>
            <w:r>
              <w:rPr>
                <w:rFonts w:hint="eastAsia" w:ascii="仿宋_GB2312" w:hAnsi="仿宋_GB2312" w:eastAsia="仿宋_GB2312" w:cs="仿宋_GB2312"/>
                <w:color w:val="000000"/>
                <w:spacing w:val="0"/>
                <w:w w:val="100"/>
                <w:position w:val="0"/>
                <w:sz w:val="22"/>
                <w:szCs w:val="22"/>
              </w:rPr>
              <w:t>环评时间</w:t>
            </w:r>
          </w:p>
        </w:tc>
        <w:tc>
          <w:tcPr>
            <w:gridSpan w:val="5"/>
            <w:tcBorders>
              <w:top w:val="single" w:color="auto" w:sz="4" w:space="0"/>
              <w:left w:val="single" w:color="auto" w:sz="4" w:space="0"/>
              <w:right w:val="single" w:color="auto" w:sz="4" w:space="0"/>
            </w:tcBorders>
            <w:shd w:val="clear" w:color="auto" w:fill="FFFFFF"/>
            <w:vAlign w:val="center"/>
          </w:tcPr>
          <w:p w14:paraId="7045D243">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i w:val="0"/>
                <w:iCs w:val="0"/>
                <w:smallCaps w:val="0"/>
                <w:strike w:val="0"/>
                <w:color w:val="000000"/>
                <w:spacing w:val="0"/>
                <w:w w:val="100"/>
                <w:position w:val="0"/>
                <w:sz w:val="22"/>
                <w:szCs w:val="22"/>
              </w:rPr>
            </w:pPr>
            <w:r>
              <w:rPr>
                <w:rFonts w:hint="eastAsia" w:ascii="仿宋_GB2312" w:hAnsi="仿宋_GB2312" w:eastAsia="仿宋_GB2312" w:cs="仿宋_GB2312"/>
                <w:b w:val="0"/>
                <w:bCs w:val="0"/>
                <w:i w:val="0"/>
                <w:iCs w:val="0"/>
                <w:smallCaps w:val="0"/>
                <w:strike w:val="0"/>
                <w:color w:val="000000"/>
                <w:spacing w:val="0"/>
                <w:w w:val="100"/>
                <w:position w:val="0"/>
                <w:sz w:val="22"/>
                <w:szCs w:val="22"/>
              </w:rPr>
              <w:t>20</w:t>
            </w:r>
            <w:r>
              <w:rPr>
                <w:rFonts w:hint="eastAsia" w:ascii="仿宋_GB2312" w:hAnsi="仿宋_GB2312" w:eastAsia="仿宋_GB2312" w:cs="仿宋_GB2312"/>
                <w:b w:val="0"/>
                <w:bCs w:val="0"/>
                <w:i w:val="0"/>
                <w:iCs w:val="0"/>
                <w:smallCaps w:val="0"/>
                <w:strike w:val="0"/>
                <w:color w:val="000000"/>
                <w:spacing w:val="0"/>
                <w:w w:val="100"/>
                <w:position w:val="0"/>
                <w:sz w:val="22"/>
                <w:szCs w:val="22"/>
                <w:lang w:val="en-US" w:eastAsia="zh-CN"/>
              </w:rPr>
              <w:t>18</w:t>
            </w:r>
            <w:r>
              <w:rPr>
                <w:rFonts w:hint="eastAsia" w:ascii="仿宋_GB2312" w:hAnsi="仿宋_GB2312" w:eastAsia="仿宋_GB2312" w:cs="仿宋_GB2312"/>
                <w:b w:val="0"/>
                <w:bCs w:val="0"/>
                <w:i w:val="0"/>
                <w:iCs w:val="0"/>
                <w:smallCaps w:val="0"/>
                <w:strike w:val="0"/>
                <w:color w:val="000000"/>
                <w:spacing w:val="0"/>
                <w:w w:val="100"/>
                <w:position w:val="0"/>
                <w:sz w:val="22"/>
                <w:szCs w:val="22"/>
              </w:rPr>
              <w:t>年</w:t>
            </w:r>
            <w:r>
              <w:rPr>
                <w:rFonts w:hint="eastAsia" w:ascii="仿宋_GB2312" w:hAnsi="仿宋_GB2312" w:eastAsia="仿宋_GB2312" w:cs="仿宋_GB2312"/>
                <w:b w:val="0"/>
                <w:bCs w:val="0"/>
                <w:i w:val="0"/>
                <w:iCs w:val="0"/>
                <w:smallCaps w:val="0"/>
                <w:strike w:val="0"/>
                <w:color w:val="000000"/>
                <w:spacing w:val="0"/>
                <w:w w:val="100"/>
                <w:position w:val="0"/>
                <w:sz w:val="22"/>
                <w:szCs w:val="22"/>
                <w:lang w:val="en-US" w:eastAsia="zh-CN"/>
              </w:rPr>
              <w:t>11</w:t>
            </w:r>
            <w:r>
              <w:rPr>
                <w:rFonts w:hint="eastAsia" w:ascii="仿宋_GB2312" w:hAnsi="仿宋_GB2312" w:eastAsia="仿宋_GB2312" w:cs="仿宋_GB2312"/>
                <w:b w:val="0"/>
                <w:bCs w:val="0"/>
                <w:i w:val="0"/>
                <w:iCs w:val="0"/>
                <w:smallCaps w:val="0"/>
                <w:strike w:val="0"/>
                <w:color w:val="000000"/>
                <w:spacing w:val="0"/>
                <w:w w:val="100"/>
                <w:position w:val="0"/>
                <w:sz w:val="22"/>
                <w:szCs w:val="22"/>
              </w:rPr>
              <w:t>月</w:t>
            </w:r>
          </w:p>
        </w:tc>
      </w:tr>
      <w:tr w14:paraId="40F63244">
        <w:tblPrEx>
          <w:tblCellMar>
            <w:top w:w="0" w:type="dxa"/>
            <w:left w:w="10" w:type="dxa"/>
            <w:bottom w:w="0" w:type="dxa"/>
            <w:right w:w="10" w:type="dxa"/>
          </w:tblCellMar>
        </w:tblPrEx>
        <w:trPr>
          <w:trHeight w:val="480" w:hRule="exact"/>
          <w:jc w:val="center"/>
        </w:trPr>
        <w:tc>
          <w:tcPr>
            <w:tcBorders>
              <w:top w:val="single" w:color="auto" w:sz="4" w:space="0"/>
              <w:left w:val="single" w:color="auto" w:sz="4" w:space="0"/>
            </w:tcBorders>
            <w:shd w:val="clear" w:color="auto" w:fill="FFFFFF"/>
            <w:vAlign w:val="center"/>
          </w:tcPr>
          <w:p w14:paraId="7F8E1D2D">
            <w:pPr>
              <w:pStyle w:val="33"/>
              <w:keepNext w:val="0"/>
              <w:keepLines w:val="0"/>
              <w:widowControl w:val="0"/>
              <w:shd w:val="clear" w:color="auto" w:fill="auto"/>
              <w:bidi w:val="0"/>
              <w:spacing w:before="0" w:after="0" w:line="240" w:lineRule="auto"/>
              <w:ind w:left="0" w:right="0" w:firstLine="380"/>
              <w:jc w:val="left"/>
              <w:rPr>
                <w:rFonts w:hint="eastAsia" w:ascii="仿宋_GB2312" w:hAnsi="仿宋_GB2312" w:eastAsia="仿宋_GB2312" w:cs="仿宋_GB2312"/>
                <w:sz w:val="22"/>
                <w:szCs w:val="22"/>
              </w:rPr>
            </w:pPr>
            <w:r>
              <w:rPr>
                <w:rFonts w:hint="eastAsia" w:ascii="仿宋_GB2312" w:hAnsi="仿宋_GB2312" w:eastAsia="仿宋_GB2312" w:cs="仿宋_GB2312"/>
                <w:color w:val="000000"/>
                <w:spacing w:val="0"/>
                <w:w w:val="100"/>
                <w:position w:val="0"/>
                <w:sz w:val="22"/>
                <w:szCs w:val="22"/>
              </w:rPr>
              <w:t>验收时间</w:t>
            </w:r>
          </w:p>
        </w:tc>
        <w:tc>
          <w:tcPr>
            <w:gridSpan w:val="5"/>
            <w:tcBorders>
              <w:top w:val="single" w:color="auto" w:sz="4" w:space="0"/>
              <w:left w:val="single" w:color="auto" w:sz="4" w:space="0"/>
              <w:right w:val="single" w:color="auto" w:sz="4" w:space="0"/>
            </w:tcBorders>
            <w:shd w:val="clear" w:color="auto" w:fill="FFFFFF"/>
            <w:vAlign w:val="center"/>
          </w:tcPr>
          <w:p w14:paraId="6865239A">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i w:val="0"/>
                <w:iCs w:val="0"/>
                <w:smallCaps w:val="0"/>
                <w:strike w:val="0"/>
                <w:color w:val="000000"/>
                <w:spacing w:val="0"/>
                <w:w w:val="100"/>
                <w:position w:val="0"/>
                <w:sz w:val="22"/>
                <w:szCs w:val="22"/>
              </w:rPr>
            </w:pPr>
            <w:r>
              <w:rPr>
                <w:rFonts w:hint="eastAsia" w:ascii="仿宋_GB2312" w:hAnsi="仿宋_GB2312" w:eastAsia="仿宋_GB2312" w:cs="仿宋_GB2312"/>
                <w:b w:val="0"/>
                <w:bCs w:val="0"/>
                <w:i w:val="0"/>
                <w:iCs w:val="0"/>
                <w:smallCaps w:val="0"/>
                <w:strike w:val="0"/>
                <w:color w:val="000000"/>
                <w:spacing w:val="0"/>
                <w:w w:val="100"/>
                <w:position w:val="0"/>
                <w:sz w:val="22"/>
                <w:szCs w:val="22"/>
              </w:rPr>
              <w:t>20</w:t>
            </w:r>
            <w:r>
              <w:rPr>
                <w:rFonts w:hint="eastAsia" w:ascii="仿宋_GB2312" w:hAnsi="仿宋_GB2312" w:eastAsia="仿宋_GB2312" w:cs="仿宋_GB2312"/>
                <w:b w:val="0"/>
                <w:bCs w:val="0"/>
                <w:i w:val="0"/>
                <w:iCs w:val="0"/>
                <w:smallCaps w:val="0"/>
                <w:strike w:val="0"/>
                <w:color w:val="000000"/>
                <w:spacing w:val="0"/>
                <w:w w:val="100"/>
                <w:position w:val="0"/>
                <w:sz w:val="22"/>
                <w:szCs w:val="22"/>
                <w:lang w:val="en-US" w:eastAsia="zh-CN"/>
              </w:rPr>
              <w:t>21</w:t>
            </w:r>
            <w:r>
              <w:rPr>
                <w:rFonts w:hint="eastAsia" w:ascii="仿宋_GB2312" w:hAnsi="仿宋_GB2312" w:eastAsia="仿宋_GB2312" w:cs="仿宋_GB2312"/>
                <w:b w:val="0"/>
                <w:bCs w:val="0"/>
                <w:i w:val="0"/>
                <w:iCs w:val="0"/>
                <w:smallCaps w:val="0"/>
                <w:strike w:val="0"/>
                <w:color w:val="000000"/>
                <w:spacing w:val="0"/>
                <w:w w:val="100"/>
                <w:position w:val="0"/>
                <w:sz w:val="22"/>
                <w:szCs w:val="22"/>
              </w:rPr>
              <w:t>年</w:t>
            </w:r>
            <w:r>
              <w:rPr>
                <w:rFonts w:hint="eastAsia" w:ascii="仿宋_GB2312" w:hAnsi="仿宋_GB2312" w:eastAsia="仿宋_GB2312" w:cs="仿宋_GB2312"/>
                <w:b w:val="0"/>
                <w:bCs w:val="0"/>
                <w:i w:val="0"/>
                <w:iCs w:val="0"/>
                <w:smallCaps w:val="0"/>
                <w:strike w:val="0"/>
                <w:color w:val="000000"/>
                <w:spacing w:val="0"/>
                <w:w w:val="100"/>
                <w:position w:val="0"/>
                <w:sz w:val="22"/>
                <w:szCs w:val="22"/>
                <w:lang w:val="en-US" w:eastAsia="zh-CN"/>
              </w:rPr>
              <w:t>4</w:t>
            </w:r>
            <w:r>
              <w:rPr>
                <w:rFonts w:hint="eastAsia" w:ascii="仿宋_GB2312" w:hAnsi="仿宋_GB2312" w:eastAsia="仿宋_GB2312" w:cs="仿宋_GB2312"/>
                <w:b w:val="0"/>
                <w:bCs w:val="0"/>
                <w:i w:val="0"/>
                <w:iCs w:val="0"/>
                <w:smallCaps w:val="0"/>
                <w:strike w:val="0"/>
                <w:color w:val="000000"/>
                <w:spacing w:val="0"/>
                <w:w w:val="100"/>
                <w:position w:val="0"/>
                <w:sz w:val="22"/>
                <w:szCs w:val="22"/>
              </w:rPr>
              <w:t>月</w:t>
            </w:r>
          </w:p>
        </w:tc>
      </w:tr>
      <w:tr w14:paraId="1A0DD713">
        <w:tblPrEx>
          <w:tblCellMar>
            <w:top w:w="0" w:type="dxa"/>
            <w:left w:w="10" w:type="dxa"/>
            <w:bottom w:w="0" w:type="dxa"/>
            <w:right w:w="10" w:type="dxa"/>
          </w:tblCellMar>
        </w:tblPrEx>
        <w:trPr>
          <w:trHeight w:val="840" w:hRule="exact"/>
          <w:jc w:val="center"/>
        </w:trPr>
        <w:tc>
          <w:tcPr>
            <w:tcBorders>
              <w:top w:val="single" w:color="auto" w:sz="4" w:space="0"/>
              <w:left w:val="single" w:color="auto" w:sz="4" w:space="0"/>
            </w:tcBorders>
            <w:shd w:val="clear" w:color="auto" w:fill="FFFFFF"/>
            <w:vAlign w:val="center"/>
          </w:tcPr>
          <w:p w14:paraId="4E98D6BC">
            <w:pPr>
              <w:pStyle w:val="33"/>
              <w:keepNext w:val="0"/>
              <w:keepLines w:val="0"/>
              <w:widowControl w:val="0"/>
              <w:shd w:val="clear" w:color="auto" w:fill="auto"/>
              <w:bidi w:val="0"/>
              <w:spacing w:before="0" w:after="0" w:line="240" w:lineRule="auto"/>
              <w:ind w:left="0" w:right="0" w:firstLine="140"/>
              <w:jc w:val="left"/>
              <w:rPr>
                <w:rFonts w:hint="eastAsia" w:ascii="仿宋_GB2312" w:hAnsi="仿宋_GB2312" w:eastAsia="仿宋_GB2312" w:cs="仿宋_GB2312"/>
                <w:sz w:val="22"/>
                <w:szCs w:val="22"/>
              </w:rPr>
            </w:pPr>
            <w:r>
              <w:rPr>
                <w:rFonts w:hint="eastAsia" w:ascii="仿宋_GB2312" w:hAnsi="仿宋_GB2312" w:eastAsia="仿宋_GB2312" w:cs="仿宋_GB2312"/>
                <w:color w:val="000000"/>
                <w:spacing w:val="0"/>
                <w:w w:val="100"/>
                <w:position w:val="0"/>
                <w:sz w:val="22"/>
                <w:szCs w:val="22"/>
              </w:rPr>
              <w:t>自行监测类型</w:t>
            </w:r>
          </w:p>
        </w:tc>
        <w:tc>
          <w:tcPr>
            <w:gridSpan w:val="5"/>
            <w:tcBorders>
              <w:top w:val="single" w:color="auto" w:sz="4" w:space="0"/>
              <w:left w:val="single" w:color="auto" w:sz="4" w:space="0"/>
              <w:right w:val="single" w:color="auto" w:sz="4" w:space="0"/>
            </w:tcBorders>
            <w:shd w:val="clear" w:color="auto" w:fill="FFFFFF"/>
            <w:vAlign w:val="center"/>
          </w:tcPr>
          <w:p w14:paraId="75BCEB30">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i w:val="0"/>
                <w:iCs w:val="0"/>
                <w:smallCaps w:val="0"/>
                <w:strike w:val="0"/>
                <w:color w:val="000000"/>
                <w:spacing w:val="0"/>
                <w:w w:val="100"/>
                <w:position w:val="0"/>
                <w:sz w:val="22"/>
                <w:szCs w:val="22"/>
              </w:rPr>
            </w:pPr>
            <w:r>
              <w:rPr>
                <w:rFonts w:hint="eastAsia" w:ascii="仿宋_GB2312" w:hAnsi="仿宋_GB2312" w:eastAsia="仿宋_GB2312" w:cs="仿宋_GB2312"/>
                <w:b w:val="0"/>
                <w:bCs w:val="0"/>
                <w:i w:val="0"/>
                <w:iCs w:val="0"/>
                <w:smallCaps w:val="0"/>
                <w:strike w:val="0"/>
                <w:color w:val="000000"/>
                <w:spacing w:val="0"/>
                <w:w w:val="100"/>
                <w:position w:val="0"/>
                <w:sz w:val="22"/>
                <w:szCs w:val="22"/>
              </w:rPr>
              <w:sym w:font="Wingdings 2" w:char="0052"/>
            </w:r>
            <w:r>
              <w:rPr>
                <w:rFonts w:hint="eastAsia" w:ascii="仿宋_GB2312" w:hAnsi="仿宋_GB2312" w:eastAsia="仿宋_GB2312" w:cs="仿宋_GB2312"/>
                <w:b w:val="0"/>
                <w:bCs w:val="0"/>
                <w:i w:val="0"/>
                <w:iCs w:val="0"/>
                <w:smallCaps w:val="0"/>
                <w:strike w:val="0"/>
                <w:color w:val="000000"/>
                <w:spacing w:val="0"/>
                <w:w w:val="100"/>
                <w:position w:val="0"/>
                <w:sz w:val="22"/>
                <w:szCs w:val="22"/>
              </w:rPr>
              <w:t>废水</w:t>
            </w:r>
            <w:r>
              <w:rPr>
                <w:rFonts w:hint="eastAsia" w:ascii="仿宋_GB2312" w:hAnsi="仿宋_GB2312" w:eastAsia="仿宋_GB2312" w:cs="仿宋_GB2312"/>
                <w:b w:val="0"/>
                <w:bCs w:val="0"/>
                <w:i w:val="0"/>
                <w:iCs w:val="0"/>
                <w:smallCaps w:val="0"/>
                <w:strike w:val="0"/>
                <w:color w:val="000000"/>
                <w:spacing w:val="0"/>
                <w:w w:val="100"/>
                <w:position w:val="0"/>
                <w:sz w:val="22"/>
                <w:szCs w:val="22"/>
              </w:rPr>
              <w:sym w:font="Wingdings 2" w:char="0052"/>
            </w:r>
            <w:r>
              <w:rPr>
                <w:rFonts w:hint="eastAsia" w:ascii="仿宋_GB2312" w:hAnsi="仿宋_GB2312" w:eastAsia="仿宋_GB2312" w:cs="仿宋_GB2312"/>
                <w:b w:val="0"/>
                <w:bCs w:val="0"/>
                <w:i w:val="0"/>
                <w:iCs w:val="0"/>
                <w:smallCaps w:val="0"/>
                <w:strike w:val="0"/>
                <w:color w:val="000000"/>
                <w:spacing w:val="0"/>
                <w:w w:val="100"/>
                <w:position w:val="0"/>
                <w:sz w:val="22"/>
                <w:szCs w:val="22"/>
              </w:rPr>
              <w:t>有组织废气</w:t>
            </w:r>
            <w:r>
              <w:rPr>
                <w:rFonts w:hint="eastAsia" w:ascii="仿宋_GB2312" w:hAnsi="仿宋_GB2312" w:eastAsia="仿宋_GB2312" w:cs="仿宋_GB2312"/>
                <w:b w:val="0"/>
                <w:bCs w:val="0"/>
                <w:i w:val="0"/>
                <w:iCs w:val="0"/>
                <w:smallCaps w:val="0"/>
                <w:strike w:val="0"/>
                <w:color w:val="000000"/>
                <w:spacing w:val="0"/>
                <w:w w:val="100"/>
                <w:position w:val="0"/>
                <w:sz w:val="22"/>
                <w:szCs w:val="22"/>
              </w:rPr>
              <w:sym w:font="Wingdings 2" w:char="0052"/>
            </w:r>
            <w:r>
              <w:rPr>
                <w:rFonts w:hint="eastAsia" w:ascii="仿宋_GB2312" w:hAnsi="仿宋_GB2312" w:eastAsia="仿宋_GB2312" w:cs="仿宋_GB2312"/>
                <w:b w:val="0"/>
                <w:bCs w:val="0"/>
                <w:i w:val="0"/>
                <w:iCs w:val="0"/>
                <w:smallCaps w:val="0"/>
                <w:strike w:val="0"/>
                <w:color w:val="000000"/>
                <w:spacing w:val="0"/>
                <w:w w:val="100"/>
                <w:position w:val="0"/>
                <w:sz w:val="22"/>
                <w:szCs w:val="22"/>
              </w:rPr>
              <w:t>无组织废气</w:t>
            </w:r>
            <w:r>
              <w:rPr>
                <w:rFonts w:hint="eastAsia" w:ascii="仿宋_GB2312" w:hAnsi="仿宋_GB2312" w:eastAsia="仿宋_GB2312" w:cs="仿宋_GB2312"/>
                <w:b w:val="0"/>
                <w:bCs w:val="0"/>
                <w:i w:val="0"/>
                <w:iCs w:val="0"/>
                <w:smallCaps w:val="0"/>
                <w:strike w:val="0"/>
                <w:color w:val="000000"/>
                <w:spacing w:val="0"/>
                <w:w w:val="100"/>
                <w:position w:val="0"/>
                <w:sz w:val="22"/>
                <w:szCs w:val="22"/>
              </w:rPr>
              <w:sym w:font="Wingdings 2" w:char="0052"/>
            </w:r>
            <w:r>
              <w:rPr>
                <w:rFonts w:hint="eastAsia" w:ascii="仿宋_GB2312" w:hAnsi="仿宋_GB2312" w:eastAsia="仿宋_GB2312" w:cs="仿宋_GB2312"/>
                <w:b w:val="0"/>
                <w:bCs w:val="0"/>
                <w:i w:val="0"/>
                <w:iCs w:val="0"/>
                <w:smallCaps w:val="0"/>
                <w:strike w:val="0"/>
                <w:color w:val="000000"/>
                <w:spacing w:val="0"/>
                <w:w w:val="100"/>
                <w:position w:val="0"/>
                <w:sz w:val="22"/>
                <w:szCs w:val="22"/>
              </w:rPr>
              <w:t>厂界噪声</w:t>
            </w:r>
            <w:r>
              <w:rPr>
                <w:rFonts w:hint="eastAsia" w:ascii="仿宋_GB2312" w:hAnsi="仿宋_GB2312" w:eastAsia="仿宋_GB2312" w:cs="仿宋_GB2312"/>
                <w:b w:val="0"/>
                <w:bCs w:val="0"/>
                <w:i w:val="0"/>
                <w:iCs w:val="0"/>
                <w:smallCaps w:val="0"/>
                <w:strike w:val="0"/>
                <w:color w:val="000000"/>
                <w:spacing w:val="0"/>
                <w:w w:val="100"/>
                <w:position w:val="0"/>
                <w:sz w:val="22"/>
                <w:szCs w:val="22"/>
              </w:rPr>
              <w:sym w:font="Wingdings 2" w:char="0052"/>
            </w:r>
            <w:r>
              <w:rPr>
                <w:rFonts w:hint="eastAsia" w:ascii="仿宋_GB2312" w:hAnsi="仿宋_GB2312" w:eastAsia="仿宋_GB2312" w:cs="仿宋_GB2312"/>
                <w:b w:val="0"/>
                <w:bCs w:val="0"/>
                <w:i w:val="0"/>
                <w:iCs w:val="0"/>
                <w:smallCaps w:val="0"/>
                <w:strike w:val="0"/>
                <w:color w:val="000000"/>
                <w:spacing w:val="0"/>
                <w:w w:val="100"/>
                <w:position w:val="0"/>
                <w:sz w:val="22"/>
                <w:szCs w:val="22"/>
              </w:rPr>
              <w:t>周边环境水</w:t>
            </w:r>
            <w:r>
              <w:rPr>
                <w:rFonts w:hint="eastAsia" w:ascii="仿宋_GB2312" w:hAnsi="仿宋_GB2312" w:eastAsia="仿宋_GB2312" w:cs="仿宋_GB2312"/>
                <w:b w:val="0"/>
                <w:bCs w:val="0"/>
                <w:i w:val="0"/>
                <w:iCs w:val="0"/>
                <w:smallCaps w:val="0"/>
                <w:strike w:val="0"/>
                <w:color w:val="000000"/>
                <w:spacing w:val="0"/>
                <w:w w:val="100"/>
                <w:position w:val="0"/>
                <w:sz w:val="22"/>
                <w:szCs w:val="22"/>
              </w:rPr>
              <w:sym w:font="Wingdings 2" w:char="0052"/>
            </w:r>
            <w:r>
              <w:rPr>
                <w:rFonts w:hint="eastAsia" w:ascii="仿宋_GB2312" w:hAnsi="仿宋_GB2312" w:eastAsia="仿宋_GB2312" w:cs="仿宋_GB2312"/>
                <w:b w:val="0"/>
                <w:bCs w:val="0"/>
                <w:i w:val="0"/>
                <w:iCs w:val="0"/>
                <w:smallCaps w:val="0"/>
                <w:strike w:val="0"/>
                <w:color w:val="000000"/>
                <w:spacing w:val="0"/>
                <w:w w:val="100"/>
                <w:position w:val="0"/>
                <w:sz w:val="22"/>
                <w:szCs w:val="22"/>
              </w:rPr>
              <w:t>周边环境空气</w:t>
            </w:r>
          </w:p>
          <w:p w14:paraId="6AAC4827">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i w:val="0"/>
                <w:iCs w:val="0"/>
                <w:smallCaps w:val="0"/>
                <w:strike w:val="0"/>
                <w:color w:val="000000"/>
                <w:spacing w:val="0"/>
                <w:w w:val="100"/>
                <w:position w:val="0"/>
                <w:sz w:val="22"/>
                <w:szCs w:val="22"/>
              </w:rPr>
            </w:pPr>
            <w:r>
              <w:rPr>
                <w:rFonts w:hint="eastAsia" w:ascii="仿宋_GB2312" w:hAnsi="仿宋_GB2312" w:eastAsia="仿宋_GB2312" w:cs="仿宋_GB2312"/>
                <w:b w:val="0"/>
                <w:bCs w:val="0"/>
                <w:i w:val="0"/>
                <w:iCs w:val="0"/>
                <w:smallCaps w:val="0"/>
                <w:strike w:val="0"/>
                <w:color w:val="000000"/>
                <w:spacing w:val="0"/>
                <w:w w:val="100"/>
                <w:position w:val="0"/>
                <w:sz w:val="22"/>
                <w:szCs w:val="22"/>
              </w:rPr>
              <w:sym w:font="Wingdings 2" w:char="0052"/>
            </w:r>
            <w:r>
              <w:rPr>
                <w:rFonts w:hint="eastAsia" w:ascii="仿宋_GB2312" w:hAnsi="仿宋_GB2312" w:eastAsia="仿宋_GB2312" w:cs="仿宋_GB2312"/>
                <w:b w:val="0"/>
                <w:bCs w:val="0"/>
                <w:i w:val="0"/>
                <w:iCs w:val="0"/>
                <w:smallCaps w:val="0"/>
                <w:strike w:val="0"/>
                <w:color w:val="000000"/>
                <w:spacing w:val="0"/>
                <w:w w:val="100"/>
                <w:position w:val="0"/>
                <w:sz w:val="22"/>
                <w:szCs w:val="22"/>
              </w:rPr>
              <w:t>周边环境噪声</w:t>
            </w:r>
            <w:r>
              <w:rPr>
                <w:rFonts w:hint="eastAsia" w:ascii="仿宋_GB2312" w:hAnsi="仿宋_GB2312" w:eastAsia="仿宋_GB2312" w:cs="仿宋_GB2312"/>
                <w:b w:val="0"/>
                <w:bCs w:val="0"/>
                <w:i w:val="0"/>
                <w:iCs w:val="0"/>
                <w:smallCaps w:val="0"/>
                <w:strike w:val="0"/>
                <w:color w:val="000000"/>
                <w:spacing w:val="0"/>
                <w:w w:val="100"/>
                <w:position w:val="0"/>
                <w:sz w:val="22"/>
                <w:szCs w:val="22"/>
              </w:rPr>
              <w:sym w:font="Wingdings 2" w:char="0052"/>
            </w:r>
            <w:r>
              <w:rPr>
                <w:rFonts w:hint="eastAsia" w:ascii="仿宋_GB2312" w:hAnsi="仿宋_GB2312" w:eastAsia="仿宋_GB2312" w:cs="仿宋_GB2312"/>
                <w:b w:val="0"/>
                <w:bCs w:val="0"/>
                <w:i w:val="0"/>
                <w:iCs w:val="0"/>
                <w:smallCaps w:val="0"/>
                <w:strike w:val="0"/>
                <w:color w:val="000000"/>
                <w:spacing w:val="0"/>
                <w:w w:val="100"/>
                <w:position w:val="0"/>
                <w:sz w:val="22"/>
                <w:szCs w:val="22"/>
              </w:rPr>
              <w:t>周边环境土壤</w:t>
            </w:r>
          </w:p>
        </w:tc>
      </w:tr>
      <w:tr w14:paraId="1FB827ED">
        <w:tblPrEx>
          <w:tblCellMar>
            <w:top w:w="0" w:type="dxa"/>
            <w:left w:w="10" w:type="dxa"/>
            <w:bottom w:w="0" w:type="dxa"/>
            <w:right w:w="10" w:type="dxa"/>
          </w:tblCellMar>
        </w:tblPrEx>
        <w:trPr>
          <w:trHeight w:val="634" w:hRule="exact"/>
          <w:jc w:val="center"/>
        </w:trPr>
        <w:tc>
          <w:tcPr>
            <w:tcBorders>
              <w:top w:val="single" w:color="auto" w:sz="4" w:space="0"/>
              <w:left w:val="single" w:color="auto" w:sz="4" w:space="0"/>
            </w:tcBorders>
            <w:shd w:val="clear" w:color="auto" w:fill="FFFFFF"/>
            <w:vAlign w:val="center"/>
          </w:tcPr>
          <w:p w14:paraId="4282EF24">
            <w:pPr>
              <w:pStyle w:val="33"/>
              <w:keepNext w:val="0"/>
              <w:keepLines w:val="0"/>
              <w:widowControl w:val="0"/>
              <w:shd w:val="clear" w:color="auto" w:fill="auto"/>
              <w:bidi w:val="0"/>
              <w:spacing w:before="0" w:after="0" w:line="240" w:lineRule="auto"/>
              <w:ind w:left="0" w:right="0" w:firstLine="140"/>
              <w:jc w:val="left"/>
              <w:rPr>
                <w:rFonts w:hint="eastAsia" w:ascii="仿宋_GB2312" w:hAnsi="仿宋_GB2312" w:eastAsia="仿宋_GB2312" w:cs="仿宋_GB2312"/>
                <w:sz w:val="22"/>
                <w:szCs w:val="22"/>
              </w:rPr>
            </w:pPr>
            <w:r>
              <w:rPr>
                <w:rFonts w:hint="eastAsia" w:ascii="仿宋_GB2312" w:hAnsi="仿宋_GB2312" w:eastAsia="仿宋_GB2312" w:cs="仿宋_GB2312"/>
                <w:color w:val="000000"/>
                <w:spacing w:val="0"/>
                <w:w w:val="100"/>
                <w:position w:val="0"/>
                <w:sz w:val="22"/>
                <w:szCs w:val="22"/>
              </w:rPr>
              <w:t>自行监测方式</w:t>
            </w:r>
          </w:p>
        </w:tc>
        <w:tc>
          <w:tcPr>
            <w:gridSpan w:val="5"/>
            <w:tcBorders>
              <w:top w:val="single" w:color="auto" w:sz="4" w:space="0"/>
              <w:left w:val="single" w:color="auto" w:sz="4" w:space="0"/>
              <w:right w:val="single" w:color="auto" w:sz="4" w:space="0"/>
            </w:tcBorders>
            <w:shd w:val="clear" w:color="auto" w:fill="FFFFFF"/>
            <w:vAlign w:val="center"/>
          </w:tcPr>
          <w:p w14:paraId="24361667">
            <w:pPr>
              <w:pStyle w:val="33"/>
              <w:keepNext w:val="0"/>
              <w:keepLines w:val="0"/>
              <w:widowControl w:val="0"/>
              <w:shd w:val="clear" w:color="auto" w:fill="auto"/>
              <w:bidi w:val="0"/>
              <w:spacing w:before="0" w:after="0" w:line="240" w:lineRule="auto"/>
              <w:ind w:left="0" w:right="0" w:firstLine="0"/>
              <w:jc w:val="both"/>
              <w:rPr>
                <w:rFonts w:hint="eastAsia" w:ascii="仿宋_GB2312" w:hAnsi="仿宋_GB2312" w:eastAsia="仿宋_GB2312" w:cs="仿宋_GB2312"/>
                <w:b w:val="0"/>
                <w:bCs w:val="0"/>
                <w:i w:val="0"/>
                <w:iCs w:val="0"/>
                <w:smallCaps w:val="0"/>
                <w:strike w:val="0"/>
                <w:color w:val="000000"/>
                <w:spacing w:val="0"/>
                <w:w w:val="100"/>
                <w:position w:val="0"/>
                <w:sz w:val="22"/>
                <w:szCs w:val="22"/>
              </w:rPr>
            </w:pPr>
            <w:r>
              <w:rPr>
                <w:rFonts w:hint="eastAsia" w:ascii="仿宋_GB2312" w:hAnsi="仿宋_GB2312" w:eastAsia="仿宋_GB2312" w:cs="仿宋_GB2312"/>
                <w:b w:val="0"/>
                <w:bCs w:val="0"/>
                <w:i w:val="0"/>
                <w:iCs w:val="0"/>
                <w:smallCaps w:val="0"/>
                <w:strike w:val="0"/>
                <w:color w:val="000000"/>
                <w:spacing w:val="0"/>
                <w:w w:val="100"/>
                <w:position w:val="0"/>
                <w:sz w:val="22"/>
                <w:szCs w:val="22"/>
              </w:rPr>
              <w:t>口自测</w:t>
            </w:r>
            <w:r>
              <w:rPr>
                <w:rFonts w:hint="eastAsia" w:ascii="仿宋_GB2312" w:hAnsi="仿宋_GB2312" w:eastAsia="仿宋_GB2312" w:cs="仿宋_GB2312"/>
                <w:b w:val="0"/>
                <w:bCs w:val="0"/>
                <w:i w:val="0"/>
                <w:iCs w:val="0"/>
                <w:smallCaps w:val="0"/>
                <w:strike w:val="0"/>
                <w:color w:val="000000"/>
                <w:spacing w:val="0"/>
                <w:w w:val="100"/>
                <w:position w:val="0"/>
                <w:sz w:val="22"/>
                <w:szCs w:val="22"/>
              </w:rPr>
              <w:sym w:font="Wingdings 2" w:char="0052"/>
            </w:r>
            <w:r>
              <w:rPr>
                <w:rFonts w:hint="eastAsia" w:ascii="仿宋_GB2312" w:hAnsi="仿宋_GB2312" w:eastAsia="仿宋_GB2312" w:cs="仿宋_GB2312"/>
                <w:b w:val="0"/>
                <w:bCs w:val="0"/>
                <w:i w:val="0"/>
                <w:iCs w:val="0"/>
                <w:smallCaps w:val="0"/>
                <w:strike w:val="0"/>
                <w:color w:val="000000"/>
                <w:spacing w:val="0"/>
                <w:w w:val="100"/>
                <w:position w:val="0"/>
                <w:sz w:val="22"/>
                <w:szCs w:val="22"/>
              </w:rPr>
              <w:t>第三方，（第三方公章全称）重庆市</w:t>
            </w:r>
            <w:r>
              <w:rPr>
                <w:rFonts w:hint="eastAsia" w:ascii="仿宋_GB2312" w:hAnsi="仿宋_GB2312" w:eastAsia="仿宋_GB2312" w:cs="仿宋_GB2312"/>
                <w:b w:val="0"/>
                <w:bCs w:val="0"/>
                <w:i w:val="0"/>
                <w:iCs w:val="0"/>
                <w:smallCaps w:val="0"/>
                <w:strike w:val="0"/>
                <w:color w:val="000000"/>
                <w:spacing w:val="0"/>
                <w:w w:val="100"/>
                <w:position w:val="0"/>
                <w:sz w:val="22"/>
                <w:szCs w:val="22"/>
                <w:lang w:val="en-US" w:eastAsia="zh-CN"/>
              </w:rPr>
              <w:t>九升检测</w:t>
            </w:r>
            <w:r>
              <w:rPr>
                <w:rFonts w:hint="eastAsia" w:ascii="仿宋_GB2312" w:hAnsi="仿宋_GB2312" w:eastAsia="仿宋_GB2312" w:cs="仿宋_GB2312"/>
                <w:b w:val="0"/>
                <w:bCs w:val="0"/>
                <w:i w:val="0"/>
                <w:iCs w:val="0"/>
                <w:smallCaps w:val="0"/>
                <w:strike w:val="0"/>
                <w:color w:val="000000"/>
                <w:spacing w:val="0"/>
                <w:w w:val="100"/>
                <w:position w:val="0"/>
                <w:sz w:val="22"/>
                <w:szCs w:val="22"/>
              </w:rPr>
              <w:t>技术有限公司</w:t>
            </w:r>
          </w:p>
        </w:tc>
      </w:tr>
      <w:tr w14:paraId="7E6F28E8">
        <w:tblPrEx>
          <w:tblCellMar>
            <w:top w:w="0" w:type="dxa"/>
            <w:left w:w="10" w:type="dxa"/>
            <w:bottom w:w="0" w:type="dxa"/>
            <w:right w:w="10" w:type="dxa"/>
          </w:tblCellMar>
        </w:tblPrEx>
        <w:trPr>
          <w:trHeight w:val="1262" w:hRule="exact"/>
          <w:jc w:val="center"/>
        </w:trPr>
        <w:tc>
          <w:tcPr>
            <w:tcBorders>
              <w:top w:val="single" w:color="auto" w:sz="4" w:space="0"/>
              <w:left w:val="single" w:color="auto" w:sz="4" w:space="0"/>
              <w:bottom w:val="single" w:color="auto" w:sz="4" w:space="0"/>
            </w:tcBorders>
            <w:shd w:val="clear" w:color="auto" w:fill="FFFFFF"/>
            <w:vAlign w:val="center"/>
          </w:tcPr>
          <w:p w14:paraId="7E4DE16F">
            <w:pPr>
              <w:pStyle w:val="33"/>
              <w:keepNext w:val="0"/>
              <w:keepLines w:val="0"/>
              <w:widowControl w:val="0"/>
              <w:shd w:val="clear" w:color="auto" w:fill="auto"/>
              <w:bidi w:val="0"/>
              <w:spacing w:before="0" w:after="0" w:line="317" w:lineRule="exact"/>
              <w:ind w:left="0" w:right="0" w:firstLine="0"/>
              <w:jc w:val="center"/>
              <w:rPr>
                <w:rFonts w:hint="eastAsia" w:ascii="仿宋_GB2312" w:hAnsi="仿宋_GB2312" w:eastAsia="仿宋_GB2312" w:cs="仿宋_GB2312"/>
                <w:sz w:val="22"/>
                <w:szCs w:val="22"/>
              </w:rPr>
            </w:pPr>
            <w:r>
              <w:rPr>
                <w:rFonts w:hint="eastAsia" w:ascii="仿宋_GB2312" w:hAnsi="仿宋_GB2312" w:eastAsia="仿宋_GB2312" w:cs="仿宋_GB2312"/>
                <w:color w:val="000000"/>
                <w:spacing w:val="0"/>
                <w:w w:val="100"/>
                <w:position w:val="0"/>
                <w:sz w:val="22"/>
                <w:szCs w:val="22"/>
              </w:rPr>
              <w:t>是否安装手工监测设备</w:t>
            </w:r>
          </w:p>
        </w:tc>
        <w:tc>
          <w:tcPr>
            <w:tcBorders>
              <w:top w:val="single" w:color="auto" w:sz="4" w:space="0"/>
              <w:left w:val="single" w:color="auto" w:sz="4" w:space="0"/>
              <w:bottom w:val="single" w:color="auto" w:sz="4" w:space="0"/>
            </w:tcBorders>
            <w:shd w:val="clear" w:color="auto" w:fill="FFFFFF"/>
            <w:vAlign w:val="center"/>
          </w:tcPr>
          <w:p w14:paraId="56FAA1F8">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i w:val="0"/>
                <w:iCs w:val="0"/>
                <w:smallCaps w:val="0"/>
                <w:strike w:val="0"/>
                <w:color w:val="000000"/>
                <w:spacing w:val="0"/>
                <w:w w:val="100"/>
                <w:position w:val="0"/>
                <w:sz w:val="22"/>
                <w:szCs w:val="22"/>
              </w:rPr>
            </w:pPr>
            <w:r>
              <w:rPr>
                <w:rFonts w:hint="eastAsia" w:ascii="仿宋_GB2312" w:hAnsi="仿宋_GB2312" w:eastAsia="仿宋_GB2312" w:cs="仿宋_GB2312"/>
                <w:b w:val="0"/>
                <w:bCs w:val="0"/>
                <w:i w:val="0"/>
                <w:iCs w:val="0"/>
                <w:smallCaps w:val="0"/>
                <w:strike w:val="0"/>
                <w:color w:val="000000"/>
                <w:spacing w:val="0"/>
                <w:w w:val="100"/>
                <w:position w:val="0"/>
                <w:sz w:val="22"/>
                <w:szCs w:val="22"/>
              </w:rPr>
              <w:sym w:font="Wingdings 2" w:char="0052"/>
            </w:r>
            <w:r>
              <w:rPr>
                <w:rFonts w:hint="eastAsia" w:ascii="仿宋_GB2312" w:hAnsi="仿宋_GB2312" w:eastAsia="仿宋_GB2312" w:cs="仿宋_GB2312"/>
                <w:b w:val="0"/>
                <w:bCs w:val="0"/>
                <w:i w:val="0"/>
                <w:iCs w:val="0"/>
                <w:smallCaps w:val="0"/>
                <w:strike w:val="0"/>
                <w:color w:val="000000"/>
                <w:spacing w:val="0"/>
                <w:w w:val="100"/>
                <w:position w:val="0"/>
                <w:sz w:val="22"/>
                <w:szCs w:val="22"/>
                <w:lang w:val="zh-CN" w:eastAsia="zh-CN"/>
              </w:rPr>
              <w:t>是</w:t>
            </w:r>
            <w:r>
              <w:rPr>
                <w:rFonts w:hint="eastAsia" w:ascii="仿宋_GB2312" w:hAnsi="仿宋_GB2312" w:eastAsia="仿宋_GB2312" w:cs="仿宋_GB2312"/>
                <w:b w:val="0"/>
                <w:bCs w:val="0"/>
                <w:i w:val="0"/>
                <w:iCs w:val="0"/>
                <w:smallCaps w:val="0"/>
                <w:strike w:val="0"/>
                <w:color w:val="000000"/>
                <w:spacing w:val="0"/>
                <w:w w:val="100"/>
                <w:position w:val="0"/>
                <w:sz w:val="22"/>
                <w:szCs w:val="22"/>
              </w:rPr>
              <w:t>□否</w:t>
            </w:r>
          </w:p>
        </w:tc>
        <w:tc>
          <w:tcPr>
            <w:gridSpan w:val="2"/>
            <w:tcBorders>
              <w:top w:val="single" w:color="auto" w:sz="4" w:space="0"/>
              <w:left w:val="single" w:color="auto" w:sz="4" w:space="0"/>
              <w:bottom w:val="single" w:color="auto" w:sz="4" w:space="0"/>
            </w:tcBorders>
            <w:shd w:val="clear" w:color="auto" w:fill="FFFFFF"/>
            <w:vAlign w:val="center"/>
          </w:tcPr>
          <w:p w14:paraId="2F973BC6">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i w:val="0"/>
                <w:iCs w:val="0"/>
                <w:smallCaps w:val="0"/>
                <w:strike w:val="0"/>
                <w:color w:val="000000"/>
                <w:spacing w:val="0"/>
                <w:w w:val="100"/>
                <w:position w:val="0"/>
                <w:sz w:val="22"/>
                <w:szCs w:val="22"/>
              </w:rPr>
            </w:pPr>
            <w:r>
              <w:rPr>
                <w:rFonts w:hint="eastAsia" w:ascii="仿宋_GB2312" w:hAnsi="仿宋_GB2312" w:eastAsia="仿宋_GB2312" w:cs="仿宋_GB2312"/>
                <w:b w:val="0"/>
                <w:bCs w:val="0"/>
                <w:i w:val="0"/>
                <w:iCs w:val="0"/>
                <w:smallCaps w:val="0"/>
                <w:strike w:val="0"/>
                <w:color w:val="000000"/>
                <w:spacing w:val="0"/>
                <w:w w:val="100"/>
                <w:position w:val="0"/>
                <w:sz w:val="22"/>
                <w:szCs w:val="22"/>
              </w:rPr>
              <w:t>手工监测设备类型</w:t>
            </w:r>
          </w:p>
          <w:p w14:paraId="234503E7">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i w:val="0"/>
                <w:iCs w:val="0"/>
                <w:smallCaps w:val="0"/>
                <w:strike w:val="0"/>
                <w:color w:val="000000"/>
                <w:spacing w:val="0"/>
                <w:w w:val="100"/>
                <w:position w:val="0"/>
                <w:sz w:val="22"/>
                <w:szCs w:val="22"/>
              </w:rPr>
            </w:pPr>
            <w:r>
              <w:rPr>
                <w:rFonts w:hint="eastAsia" w:ascii="仿宋_GB2312" w:hAnsi="仿宋_GB2312" w:eastAsia="仿宋_GB2312" w:cs="仿宋_GB2312"/>
                <w:b w:val="0"/>
                <w:bCs w:val="0"/>
                <w:i w:val="0"/>
                <w:iCs w:val="0"/>
                <w:smallCaps w:val="0"/>
                <w:strike w:val="0"/>
                <w:color w:val="000000"/>
                <w:spacing w:val="0"/>
                <w:w w:val="100"/>
                <w:position w:val="0"/>
                <w:sz w:val="22"/>
                <w:szCs w:val="22"/>
              </w:rPr>
              <w:t>和监测项目</w:t>
            </w:r>
          </w:p>
        </w:tc>
        <w:tc>
          <w:tcPr>
            <w:gridSpan w:val="2"/>
            <w:tcBorders>
              <w:top w:val="single" w:color="auto" w:sz="4" w:space="0"/>
              <w:left w:val="single" w:color="auto" w:sz="4" w:space="0"/>
              <w:bottom w:val="single" w:color="auto" w:sz="4" w:space="0"/>
              <w:right w:val="single" w:color="auto" w:sz="4" w:space="0"/>
            </w:tcBorders>
            <w:shd w:val="clear" w:color="auto" w:fill="FFFFFF"/>
            <w:vAlign w:val="top"/>
          </w:tcPr>
          <w:p w14:paraId="5E2265D1">
            <w:pPr>
              <w:pStyle w:val="33"/>
              <w:keepNext w:val="0"/>
              <w:keepLines w:val="0"/>
              <w:widowControl w:val="0"/>
              <w:shd w:val="clear" w:color="auto" w:fill="auto"/>
              <w:bidi w:val="0"/>
              <w:spacing w:before="0" w:after="0" w:line="240" w:lineRule="auto"/>
              <w:ind w:left="0" w:right="0" w:firstLine="0"/>
              <w:jc w:val="left"/>
              <w:rPr>
                <w:rFonts w:hint="eastAsia" w:ascii="仿宋_GB2312" w:hAnsi="仿宋_GB2312" w:eastAsia="仿宋_GB2312" w:cs="仿宋_GB2312"/>
                <w:b w:val="0"/>
                <w:bCs w:val="0"/>
                <w:i w:val="0"/>
                <w:iCs w:val="0"/>
                <w:smallCaps w:val="0"/>
                <w:strike w:val="0"/>
                <w:color w:val="000000"/>
                <w:spacing w:val="0"/>
                <w:w w:val="100"/>
                <w:position w:val="0"/>
                <w:sz w:val="22"/>
                <w:szCs w:val="22"/>
              </w:rPr>
            </w:pPr>
            <w:r>
              <w:rPr>
                <w:rFonts w:hint="eastAsia" w:ascii="仿宋_GB2312" w:hAnsi="仿宋_GB2312" w:eastAsia="仿宋_GB2312" w:cs="仿宋_GB2312"/>
                <w:b w:val="0"/>
                <w:bCs w:val="0"/>
                <w:i w:val="0"/>
                <w:iCs w:val="0"/>
                <w:smallCaps w:val="0"/>
                <w:strike w:val="0"/>
                <w:color w:val="000000"/>
                <w:spacing w:val="0"/>
                <w:w w:val="100"/>
                <w:position w:val="0"/>
                <w:sz w:val="22"/>
                <w:szCs w:val="22"/>
              </w:rPr>
              <w:t>口地表水，项目：</w:t>
            </w:r>
          </w:p>
          <w:p w14:paraId="51906261">
            <w:pPr>
              <w:pStyle w:val="33"/>
              <w:keepNext w:val="0"/>
              <w:keepLines w:val="0"/>
              <w:widowControl w:val="0"/>
              <w:shd w:val="clear" w:color="auto" w:fill="auto"/>
              <w:bidi w:val="0"/>
              <w:spacing w:before="0" w:after="0" w:line="240" w:lineRule="auto"/>
              <w:ind w:left="0" w:right="0" w:firstLine="0"/>
              <w:jc w:val="left"/>
              <w:rPr>
                <w:rFonts w:hint="eastAsia" w:ascii="仿宋_GB2312" w:hAnsi="仿宋_GB2312" w:eastAsia="仿宋_GB2312" w:cs="仿宋_GB2312"/>
                <w:b w:val="0"/>
                <w:bCs w:val="0"/>
                <w:i w:val="0"/>
                <w:iCs w:val="0"/>
                <w:smallCaps w:val="0"/>
                <w:strike w:val="0"/>
                <w:color w:val="000000"/>
                <w:spacing w:val="0"/>
                <w:w w:val="100"/>
                <w:position w:val="0"/>
                <w:sz w:val="22"/>
                <w:szCs w:val="22"/>
              </w:rPr>
            </w:pPr>
            <w:r>
              <w:rPr>
                <w:rFonts w:hint="eastAsia" w:ascii="仿宋_GB2312" w:hAnsi="仿宋_GB2312" w:eastAsia="仿宋_GB2312" w:cs="仿宋_GB2312"/>
                <w:b w:val="0"/>
                <w:bCs w:val="0"/>
                <w:i w:val="0"/>
                <w:iCs w:val="0"/>
                <w:smallCaps w:val="0"/>
                <w:strike w:val="0"/>
                <w:color w:val="000000"/>
                <w:spacing w:val="0"/>
                <w:w w:val="100"/>
                <w:position w:val="0"/>
                <w:sz w:val="22"/>
                <w:szCs w:val="22"/>
              </w:rPr>
              <w:sym w:font="Wingdings 2" w:char="0052"/>
            </w:r>
            <w:r>
              <w:rPr>
                <w:rFonts w:hint="eastAsia" w:ascii="仿宋_GB2312" w:hAnsi="仿宋_GB2312" w:eastAsia="仿宋_GB2312" w:cs="仿宋_GB2312"/>
                <w:b w:val="0"/>
                <w:bCs w:val="0"/>
                <w:i w:val="0"/>
                <w:iCs w:val="0"/>
                <w:smallCaps w:val="0"/>
                <w:strike w:val="0"/>
                <w:color w:val="000000"/>
                <w:spacing w:val="0"/>
                <w:w w:val="100"/>
                <w:position w:val="0"/>
                <w:sz w:val="22"/>
                <w:szCs w:val="22"/>
              </w:rPr>
              <w:t>无组织废气，项目：</w:t>
            </w:r>
          </w:p>
          <w:p w14:paraId="4CDF222C">
            <w:pPr>
              <w:pStyle w:val="33"/>
              <w:keepNext w:val="0"/>
              <w:keepLines w:val="0"/>
              <w:widowControl w:val="0"/>
              <w:shd w:val="clear" w:color="auto" w:fill="auto"/>
              <w:bidi w:val="0"/>
              <w:spacing w:before="0" w:after="0" w:line="240" w:lineRule="auto"/>
              <w:ind w:left="0" w:right="0" w:firstLine="0"/>
              <w:jc w:val="left"/>
              <w:rPr>
                <w:rFonts w:hint="eastAsia" w:ascii="仿宋_GB2312" w:hAnsi="仿宋_GB2312" w:eastAsia="仿宋_GB2312" w:cs="仿宋_GB2312"/>
                <w:b w:val="0"/>
                <w:bCs w:val="0"/>
                <w:i w:val="0"/>
                <w:iCs w:val="0"/>
                <w:smallCaps w:val="0"/>
                <w:strike w:val="0"/>
                <w:color w:val="000000"/>
                <w:spacing w:val="0"/>
                <w:w w:val="100"/>
                <w:position w:val="0"/>
                <w:sz w:val="22"/>
                <w:szCs w:val="22"/>
              </w:rPr>
            </w:pPr>
            <w:r>
              <w:rPr>
                <w:rFonts w:hint="eastAsia" w:ascii="仿宋_GB2312" w:hAnsi="仿宋_GB2312" w:eastAsia="仿宋_GB2312" w:cs="仿宋_GB2312"/>
                <w:b w:val="0"/>
                <w:bCs w:val="0"/>
                <w:i w:val="0"/>
                <w:iCs w:val="0"/>
                <w:smallCaps w:val="0"/>
                <w:strike w:val="0"/>
                <w:color w:val="000000"/>
                <w:spacing w:val="0"/>
                <w:w w:val="100"/>
                <w:position w:val="0"/>
                <w:sz w:val="22"/>
                <w:szCs w:val="22"/>
              </w:rPr>
              <w:sym w:font="Wingdings 2" w:char="0052"/>
            </w:r>
            <w:r>
              <w:rPr>
                <w:rFonts w:hint="eastAsia" w:ascii="仿宋_GB2312" w:hAnsi="仿宋_GB2312" w:eastAsia="仿宋_GB2312" w:cs="仿宋_GB2312"/>
                <w:b w:val="0"/>
                <w:bCs w:val="0"/>
                <w:i w:val="0"/>
                <w:iCs w:val="0"/>
                <w:smallCaps w:val="0"/>
                <w:strike w:val="0"/>
                <w:color w:val="000000"/>
                <w:spacing w:val="0"/>
                <w:w w:val="100"/>
                <w:position w:val="0"/>
                <w:sz w:val="22"/>
                <w:szCs w:val="22"/>
              </w:rPr>
              <w:t>土壤，项目：</w:t>
            </w:r>
          </w:p>
          <w:p w14:paraId="0D155D8C">
            <w:pPr>
              <w:pStyle w:val="33"/>
              <w:keepNext w:val="0"/>
              <w:keepLines w:val="0"/>
              <w:widowControl w:val="0"/>
              <w:shd w:val="clear" w:color="auto" w:fill="auto"/>
              <w:bidi w:val="0"/>
              <w:spacing w:before="0" w:after="0" w:line="240" w:lineRule="auto"/>
              <w:ind w:left="0" w:right="0" w:firstLine="0"/>
              <w:jc w:val="left"/>
              <w:rPr>
                <w:rFonts w:hint="eastAsia" w:ascii="仿宋_GB2312" w:hAnsi="仿宋_GB2312" w:eastAsia="仿宋_GB2312" w:cs="仿宋_GB2312"/>
                <w:b w:val="0"/>
                <w:bCs w:val="0"/>
                <w:i w:val="0"/>
                <w:iCs w:val="0"/>
                <w:smallCaps w:val="0"/>
                <w:strike w:val="0"/>
                <w:color w:val="000000"/>
                <w:spacing w:val="0"/>
                <w:w w:val="100"/>
                <w:position w:val="0"/>
                <w:sz w:val="22"/>
                <w:szCs w:val="22"/>
              </w:rPr>
            </w:pPr>
            <w:r>
              <w:rPr>
                <w:rFonts w:hint="eastAsia" w:ascii="仿宋_GB2312" w:hAnsi="仿宋_GB2312" w:eastAsia="仿宋_GB2312" w:cs="仿宋_GB2312"/>
                <w:b w:val="0"/>
                <w:bCs w:val="0"/>
                <w:i w:val="0"/>
                <w:iCs w:val="0"/>
                <w:smallCaps w:val="0"/>
                <w:strike w:val="0"/>
                <w:color w:val="000000"/>
                <w:spacing w:val="0"/>
                <w:w w:val="100"/>
                <w:position w:val="0"/>
                <w:sz w:val="22"/>
                <w:szCs w:val="22"/>
              </w:rPr>
              <w:sym w:font="Wingdings 2" w:char="0052"/>
            </w:r>
            <w:r>
              <w:rPr>
                <w:rFonts w:hint="eastAsia" w:ascii="仿宋_GB2312" w:hAnsi="仿宋_GB2312" w:eastAsia="仿宋_GB2312" w:cs="仿宋_GB2312"/>
                <w:b w:val="0"/>
                <w:bCs w:val="0"/>
                <w:i w:val="0"/>
                <w:iCs w:val="0"/>
                <w:smallCaps w:val="0"/>
                <w:strike w:val="0"/>
                <w:color w:val="000000"/>
                <w:spacing w:val="0"/>
                <w:w w:val="100"/>
                <w:position w:val="0"/>
                <w:sz w:val="22"/>
                <w:szCs w:val="22"/>
              </w:rPr>
              <w:t>厂界噪声，项目：</w:t>
            </w:r>
          </w:p>
        </w:tc>
      </w:tr>
    </w:tbl>
    <w:p w14:paraId="6F30B7F4">
      <w:pPr>
        <w:pStyle w:val="25"/>
        <w:bidi w:val="0"/>
        <w:rPr>
          <w:rFonts w:hint="eastAsia" w:ascii="仿宋_GB2312" w:hAnsi="仿宋_GB2312" w:eastAsia="仿宋_GB2312" w:cs="仿宋_GB2312"/>
        </w:rPr>
      </w:pPr>
      <w:bookmarkStart w:id="89" w:name="bookmark107"/>
      <w:bookmarkStart w:id="90" w:name="bookmark106"/>
      <w:bookmarkStart w:id="91" w:name="_Toc13272"/>
      <w:r>
        <w:rPr>
          <w:rFonts w:hint="eastAsia" w:ascii="仿宋_GB2312" w:hAnsi="仿宋_GB2312" w:eastAsia="仿宋_GB2312" w:cs="仿宋_GB2312"/>
          <w:lang w:val="en-US" w:eastAsia="en-US"/>
        </w:rPr>
        <w:t>2.2</w:t>
      </w:r>
      <w:r>
        <w:rPr>
          <w:rFonts w:hint="eastAsia" w:ascii="仿宋_GB2312" w:hAnsi="仿宋_GB2312" w:eastAsia="仿宋_GB2312" w:cs="仿宋_GB2312"/>
        </w:rPr>
        <w:t>建设项目概况</w:t>
      </w:r>
      <w:bookmarkEnd w:id="89"/>
      <w:bookmarkEnd w:id="90"/>
      <w:bookmarkEnd w:id="91"/>
    </w:p>
    <w:p w14:paraId="1BF7B114">
      <w:pPr>
        <w:pStyle w:val="27"/>
        <w:bidi w:val="0"/>
        <w:rPr>
          <w:rFonts w:hint="eastAsia" w:ascii="仿宋_GB2312" w:hAnsi="仿宋_GB2312" w:eastAsia="仿宋_GB2312" w:cs="仿宋_GB2312"/>
          <w:color w:val="000000"/>
          <w:spacing w:val="0"/>
          <w:w w:val="100"/>
          <w:position w:val="0"/>
          <w:szCs w:val="28"/>
          <w:u w:val="none"/>
          <w:shd w:val="clear" w:color="auto" w:fill="auto"/>
          <w:lang w:val="en-US" w:eastAsia="zh-CN" w:bidi="zh-TW"/>
        </w:rPr>
      </w:pPr>
      <w:r>
        <w:rPr>
          <w:rFonts w:hint="eastAsia" w:ascii="仿宋_GB2312" w:hAnsi="仿宋_GB2312" w:eastAsia="仿宋_GB2312" w:cs="仿宋_GB2312"/>
          <w:lang w:val="en-US" w:eastAsia="zh-CN"/>
        </w:rPr>
        <w:t>石柱县海创环保科技</w:t>
      </w:r>
      <w:r>
        <w:rPr>
          <w:rFonts w:hint="eastAsia" w:ascii="仿宋_GB2312" w:hAnsi="仿宋_GB2312" w:eastAsia="仿宋_GB2312" w:cs="仿宋_GB2312"/>
          <w:lang w:val="zh-TW" w:eastAsia="zh-TW"/>
        </w:rPr>
        <w:t>有限责任公司成立于</w:t>
      </w:r>
      <w:r>
        <w:rPr>
          <w:rFonts w:hint="eastAsia" w:ascii="仿宋_GB2312" w:hAnsi="仿宋_GB2312" w:eastAsia="仿宋_GB2312" w:cs="仿宋_GB2312"/>
          <w:lang w:val="en-US" w:eastAsia="zh-CN"/>
        </w:rPr>
        <w:t>2018</w:t>
      </w:r>
      <w:r>
        <w:rPr>
          <w:rFonts w:hint="eastAsia" w:ascii="仿宋_GB2312" w:hAnsi="仿宋_GB2312" w:eastAsia="仿宋_GB2312" w:cs="仿宋_GB2312"/>
          <w:lang w:val="zh-TW" w:eastAsia="zh-TW"/>
        </w:rPr>
        <w:t>年</w:t>
      </w:r>
      <w:r>
        <w:rPr>
          <w:rFonts w:hint="eastAsia" w:ascii="仿宋_GB2312" w:hAnsi="仿宋_GB2312" w:eastAsia="仿宋_GB2312" w:cs="仿宋_GB2312"/>
          <w:lang w:val="zh-TW" w:eastAsia="zh-CN"/>
        </w:rPr>
        <w:t>，</w:t>
      </w:r>
      <w:r>
        <w:rPr>
          <w:rFonts w:hint="eastAsia" w:ascii="仿宋_GB2312" w:hAnsi="仿宋_GB2312" w:eastAsia="仿宋_GB2312" w:cs="仿宋_GB2312"/>
          <w:lang w:val="en-US" w:eastAsia="zh-CN"/>
        </w:rPr>
        <w:t>注册资金5000万</w:t>
      </w:r>
      <w:bookmarkStart w:id="92" w:name="bookmark120"/>
      <w:bookmarkStart w:id="93" w:name="bookmark117"/>
      <w:bookmarkStart w:id="94" w:name="bookmark116"/>
      <w:r>
        <w:rPr>
          <w:rFonts w:hint="eastAsia" w:ascii="仿宋_GB2312" w:hAnsi="仿宋_GB2312" w:eastAsia="仿宋_GB2312" w:cs="仿宋_GB2312"/>
          <w:lang w:val="en-US" w:eastAsia="zh-CN"/>
        </w:rPr>
        <w:t>元，于2019年7月正式动工，2020年9月投产，是芜湖海螺投资有限公司的全资子公司。公司总投资1.47亿元，厂址位于石柱县万朝镇万康村茶园组原茶园煤矿废弃场地，公司主要经营范围包括：生活垃圾发电、生活污泥及相关残渣处理销售及其他物质回收及一般工业废弃物处理等，建设规模为300t/d生活垃圾发电系统1套，采用的主要设备包括：1台N6-3.85型中压水冷凝汽式汽轮机配1台QF-6发电机。</w:t>
      </w:r>
    </w:p>
    <w:p w14:paraId="1614EE00">
      <w:pPr>
        <w:pStyle w:val="25"/>
        <w:bidi w:val="0"/>
        <w:rPr>
          <w:rFonts w:hint="eastAsia" w:ascii="仿宋_GB2312" w:hAnsi="仿宋_GB2312" w:eastAsia="仿宋_GB2312" w:cs="仿宋_GB2312"/>
        </w:rPr>
      </w:pPr>
      <w:bookmarkStart w:id="95" w:name="_Toc163"/>
      <w:r>
        <w:rPr>
          <w:rFonts w:hint="eastAsia" w:ascii="仿宋_GB2312" w:hAnsi="仿宋_GB2312" w:eastAsia="仿宋_GB2312" w:cs="仿宋_GB2312"/>
          <w:lang w:val="en-US" w:eastAsia="zh-CN"/>
        </w:rPr>
        <w:t>2.</w:t>
      </w:r>
      <w:r>
        <w:rPr>
          <w:rFonts w:hint="eastAsia" w:ascii="仿宋_GB2312" w:hAnsi="仿宋_GB2312" w:eastAsia="仿宋_GB2312" w:cs="仿宋_GB2312"/>
        </w:rPr>
        <w:t>3原辅料及产品情况</w:t>
      </w:r>
      <w:bookmarkEnd w:id="92"/>
      <w:bookmarkEnd w:id="93"/>
      <w:bookmarkEnd w:id="94"/>
      <w:bookmarkEnd w:id="95"/>
    </w:p>
    <w:p w14:paraId="7A33166A">
      <w:pPr>
        <w:pStyle w:val="27"/>
        <w:bidi w:val="0"/>
        <w:rPr>
          <w:rFonts w:hint="eastAsia" w:ascii="仿宋_GB2312" w:hAnsi="仿宋_GB2312" w:eastAsia="仿宋_GB2312" w:cs="仿宋_GB2312"/>
          <w:lang w:val="en-US" w:eastAsia="zh-CN"/>
        </w:rPr>
      </w:pPr>
      <w:r>
        <w:rPr>
          <w:rStyle w:val="26"/>
          <w:rFonts w:hint="eastAsia" w:ascii="仿宋_GB2312" w:hAnsi="仿宋_GB2312" w:eastAsia="仿宋_GB2312" w:cs="仿宋_GB2312"/>
          <w:lang w:val="en-US" w:eastAsia="zh-CN"/>
        </w:rPr>
        <w:t>预计年原辅材及产品情况如下：处理原生垃圾10.95万吨，</w:t>
      </w:r>
      <w:r>
        <w:rPr>
          <w:rFonts w:hint="eastAsia" w:ascii="仿宋_GB2312" w:hAnsi="仿宋_GB2312" w:eastAsia="仿宋_GB2312" w:cs="仿宋_GB2312"/>
          <w:color w:val="000000"/>
          <w:spacing w:val="0"/>
          <w:w w:val="100"/>
          <w:position w:val="0"/>
          <w:sz w:val="28"/>
          <w:szCs w:val="28"/>
          <w:u w:val="none"/>
          <w:shd w:val="clear" w:color="auto" w:fill="auto"/>
          <w:lang w:val="en-US" w:eastAsia="zh-CN" w:bidi="zh-TW"/>
        </w:rPr>
        <w:t>消石灰1752t，活性炭87.6吨，氨水547.5吨，PAM9.344吨，PAC1.387吨，锅炉阻垢剂0.58吨，循环水阻垢剂5.3吨，除盐水反渗透缓蚀阻垢剂0.5吨，柴油77.8吨，盐酸2.9吨，片碱32吨，</w:t>
      </w:r>
      <w:r>
        <w:rPr>
          <w:rStyle w:val="26"/>
          <w:rFonts w:hint="eastAsia" w:ascii="仿宋_GB2312" w:hAnsi="仿宋_GB2312" w:eastAsia="仿宋_GB2312" w:cs="仿宋_GB2312"/>
          <w:lang w:val="en-US" w:eastAsia="zh-CN"/>
        </w:rPr>
        <w:t>年发电</w:t>
      </w:r>
      <w:r>
        <w:rPr>
          <w:rFonts w:hint="eastAsia" w:ascii="仿宋_GB2312" w:hAnsi="仿宋_GB2312" w:eastAsia="仿宋_GB2312" w:cs="仿宋_GB2312"/>
          <w:color w:val="000000"/>
          <w:spacing w:val="0"/>
          <w:w w:val="100"/>
          <w:position w:val="0"/>
          <w:sz w:val="28"/>
          <w:szCs w:val="28"/>
          <w:u w:val="none"/>
          <w:shd w:val="clear" w:color="auto" w:fill="auto"/>
          <w:lang w:val="en-US" w:eastAsia="zh-CN" w:bidi="zh-TW"/>
        </w:rPr>
        <w:t>量3360万度，上网电量2578万度。</w:t>
      </w:r>
    </w:p>
    <w:p w14:paraId="2B522ED9">
      <w:pPr>
        <w:pStyle w:val="25"/>
        <w:bidi w:val="0"/>
        <w:rPr>
          <w:rFonts w:hint="eastAsia" w:ascii="仿宋_GB2312" w:hAnsi="仿宋_GB2312" w:eastAsia="仿宋_GB2312" w:cs="仿宋_GB2312"/>
        </w:rPr>
      </w:pPr>
      <w:bookmarkStart w:id="96" w:name="_Toc22707"/>
      <w:bookmarkStart w:id="97" w:name="bookmark121"/>
      <w:bookmarkStart w:id="98" w:name="bookmark124"/>
      <w:bookmarkStart w:id="99" w:name="bookmark122"/>
      <w:r>
        <w:rPr>
          <w:rFonts w:hint="eastAsia" w:ascii="仿宋_GB2312" w:hAnsi="仿宋_GB2312" w:eastAsia="仿宋_GB2312" w:cs="仿宋_GB2312"/>
          <w:lang w:val="en-US" w:eastAsia="en-US"/>
        </w:rPr>
        <w:t>2.</w:t>
      </w:r>
      <w:r>
        <w:rPr>
          <w:rFonts w:hint="eastAsia" w:ascii="仿宋_GB2312" w:hAnsi="仿宋_GB2312" w:eastAsia="仿宋_GB2312" w:cs="仿宋_GB2312"/>
        </w:rPr>
        <w:t>4生产工艺及产排污环节</w:t>
      </w:r>
      <w:bookmarkEnd w:id="96"/>
      <w:bookmarkEnd w:id="97"/>
      <w:bookmarkEnd w:id="98"/>
      <w:bookmarkEnd w:id="99"/>
    </w:p>
    <w:p w14:paraId="7FF4B267">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rPr>
        <w:t>生活垃圾焚烧处理工艺主要由垃圾接收储存、垃圾搅拌供料、垃圾焚烧、余热回收、汽轮发电、烟气净化、垃圾渗滤液处理、灰渣处理等单元组成。现将公司主要生产工艺简述如下</w:t>
      </w:r>
      <w:r>
        <w:rPr>
          <w:rFonts w:hint="eastAsia" w:ascii="仿宋_GB2312" w:hAnsi="仿宋_GB2312" w:eastAsia="仿宋_GB2312" w:cs="仿宋_GB2312"/>
          <w:lang w:eastAsia="zh-CN"/>
        </w:rPr>
        <w:t>：</w:t>
      </w:r>
    </w:p>
    <w:p w14:paraId="4651828A">
      <w:pPr>
        <w:pStyle w:val="27"/>
        <w:bidi w:val="0"/>
        <w:rPr>
          <w:rFonts w:hint="eastAsia" w:ascii="仿宋_GB2312" w:hAnsi="仿宋_GB2312" w:eastAsia="仿宋_GB2312" w:cs="仿宋_GB2312"/>
        </w:rPr>
      </w:pPr>
      <w:r>
        <w:rPr>
          <w:rFonts w:hint="eastAsia" w:ascii="仿宋_GB2312" w:hAnsi="仿宋_GB2312" w:eastAsia="仿宋_GB2312" w:cs="仿宋_GB2312"/>
        </w:rPr>
        <w:t>垃圾焚烧发电厂生产工艺流程：垃圾收集后由封闭式垃圾运输车送至垃圾焚烧发电厂，称重后进入主厂房卸料大厅，卸下的垃圾进入垃圾贮坑，垃圾贮坑内的垃圾经吊车投入加料料斗，然后经推料装置送到焚烧炉中燃烧。垃圾在炉内依次通过炉排的干燥段、燃烧段和燃烬段，实现负压燃烧并达到完全燃烧。炉渣经水封式除渣装置排入炉渣坑暂存。</w:t>
      </w:r>
    </w:p>
    <w:p w14:paraId="606B89AD">
      <w:pPr>
        <w:pStyle w:val="27"/>
        <w:bidi w:val="0"/>
        <w:rPr>
          <w:rFonts w:hint="eastAsia" w:ascii="仿宋_GB2312" w:hAnsi="仿宋_GB2312" w:eastAsia="仿宋_GB2312" w:cs="仿宋_GB2312"/>
        </w:rPr>
      </w:pPr>
      <w:r>
        <w:rPr>
          <w:rFonts w:hint="eastAsia" w:ascii="仿宋_GB2312" w:hAnsi="仿宋_GB2312" w:eastAsia="仿宋_GB2312" w:cs="仿宋_GB2312"/>
        </w:rPr>
        <w:t>燃烧用的空气来自垃圾贮坑内气体，经风机及空气预热器预热后进入炉内燃烧。为最大限度减少二噁英类的排放，控制烟气在炉内温度850℃以上停留2秒以上。垃圾焚烧产生的高温烟气与余热锅炉发生热交换，烟气温度降至205℃左右，余热锅炉吸收热量产生过热蒸汽，再由汽轮发电机组转变成电能。</w:t>
      </w:r>
    </w:p>
    <w:p w14:paraId="2859539B">
      <w:pPr>
        <w:pStyle w:val="27"/>
        <w:bidi w:val="0"/>
        <w:rPr>
          <w:rFonts w:hint="eastAsia" w:ascii="仿宋_GB2312" w:hAnsi="仿宋_GB2312" w:eastAsia="仿宋_GB2312" w:cs="仿宋_GB2312"/>
        </w:rPr>
      </w:pPr>
      <w:r>
        <w:rPr>
          <w:rFonts w:hint="eastAsia" w:ascii="仿宋_GB2312" w:hAnsi="仿宋_GB2312" w:eastAsia="仿宋_GB2312" w:cs="仿宋_GB2312"/>
        </w:rPr>
        <w:t>为了降低NOx排放，设计采用选择性非催化脱NOx工艺(SNCR)，炉内喷氨水。该工艺以氨水作为还原剂，将其喷入焚烧炉内，在有O</w:t>
      </w:r>
      <w:r>
        <w:rPr>
          <w:rFonts w:hint="eastAsia" w:ascii="仿宋_GB2312" w:hAnsi="仿宋_GB2312" w:eastAsia="仿宋_GB2312" w:cs="仿宋_GB2312"/>
          <w:vertAlign w:val="subscript"/>
        </w:rPr>
        <w:t>2</w:t>
      </w:r>
      <w:r>
        <w:rPr>
          <w:rFonts w:hint="eastAsia" w:ascii="仿宋_GB2312" w:hAnsi="仿宋_GB2312" w:eastAsia="仿宋_GB2312" w:cs="仿宋_GB2312"/>
        </w:rPr>
        <w:t>存在的情况下，温度为850℃～1100℃之间，与NOx进行选择性反应，还原为N</w:t>
      </w:r>
      <w:r>
        <w:rPr>
          <w:rFonts w:hint="eastAsia" w:ascii="仿宋_GB2312" w:hAnsi="仿宋_GB2312" w:eastAsia="仿宋_GB2312" w:cs="仿宋_GB2312"/>
          <w:vertAlign w:val="subscript"/>
        </w:rPr>
        <w:t>2</w:t>
      </w:r>
      <w:r>
        <w:rPr>
          <w:rFonts w:hint="eastAsia" w:ascii="仿宋_GB2312" w:hAnsi="仿宋_GB2312" w:eastAsia="仿宋_GB2312" w:cs="仿宋_GB2312"/>
        </w:rPr>
        <w:t>和H</w:t>
      </w:r>
      <w:r>
        <w:rPr>
          <w:rFonts w:hint="eastAsia" w:ascii="仿宋_GB2312" w:hAnsi="仿宋_GB2312" w:eastAsia="仿宋_GB2312" w:cs="仿宋_GB2312"/>
          <w:vertAlign w:val="subscript"/>
        </w:rPr>
        <w:t>2</w:t>
      </w:r>
      <w:r>
        <w:rPr>
          <w:rFonts w:hint="eastAsia" w:ascii="仿宋_GB2312" w:hAnsi="仿宋_GB2312" w:eastAsia="仿宋_GB2312" w:cs="仿宋_GB2312"/>
        </w:rPr>
        <w:t>O，达到脱除NOx的目的。</w:t>
      </w:r>
    </w:p>
    <w:p w14:paraId="46776C89">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rPr>
        <w:t>锅炉出口烟气进入喷雾塔，与雾化器喷出的石灰浆液滴反应，中和吸收酸性气体，烟气温度从190～210℃降到155℃左右</w:t>
      </w:r>
      <w:r>
        <w:rPr>
          <w:rFonts w:hint="eastAsia" w:ascii="仿宋_GB2312" w:hAnsi="仿宋_GB2312" w:eastAsia="仿宋_GB2312" w:cs="仿宋_GB2312"/>
          <w:lang w:eastAsia="zh-CN"/>
        </w:rPr>
        <w:t>。</w:t>
      </w:r>
    </w:p>
    <w:p w14:paraId="5048A7E1">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rPr>
        <w:t>活性炭通过压缩空气喷入到布袋除尘器之前的烟道中，达到吸附重金属和二噁英类物质的目的</w:t>
      </w:r>
      <w:r>
        <w:rPr>
          <w:rFonts w:hint="eastAsia" w:ascii="仿宋_GB2312" w:hAnsi="仿宋_GB2312" w:eastAsia="仿宋_GB2312" w:cs="仿宋_GB2312"/>
          <w:lang w:eastAsia="zh-CN"/>
        </w:rPr>
        <w:t>。</w:t>
      </w:r>
    </w:p>
    <w:p w14:paraId="2AFD551D">
      <w:pPr>
        <w:pStyle w:val="27"/>
        <w:bidi w:val="0"/>
        <w:rPr>
          <w:rFonts w:hint="eastAsia" w:ascii="仿宋_GB2312" w:hAnsi="仿宋_GB2312" w:eastAsia="仿宋_GB2312" w:cs="仿宋_GB2312"/>
        </w:rPr>
      </w:pPr>
      <w:r>
        <w:rPr>
          <w:rFonts w:hint="eastAsia" w:ascii="仿宋_GB2312" w:hAnsi="仿宋_GB2312" w:eastAsia="仿宋_GB2312" w:cs="仿宋_GB2312"/>
          <w:lang w:val="en-US" w:eastAsia="zh-CN"/>
        </w:rPr>
        <w:t>烟气</w:t>
      </w:r>
      <w:r>
        <w:rPr>
          <w:rFonts w:hint="eastAsia" w:ascii="仿宋_GB2312" w:hAnsi="仿宋_GB2312" w:eastAsia="仿宋_GB2312" w:cs="仿宋_GB2312"/>
        </w:rPr>
        <w:t>通过布袋过滤，将烟气中的烟尘、反应生成物加以捕捉脱除，烟气中的污染物达标后，经引风机排入100m高的烟囱。</w:t>
      </w:r>
    </w:p>
    <w:p w14:paraId="20B8582D">
      <w:pPr>
        <w:pStyle w:val="27"/>
        <w:bidi w:val="0"/>
        <w:rPr>
          <w:rFonts w:hint="eastAsia" w:ascii="仿宋_GB2312" w:hAnsi="仿宋_GB2312" w:eastAsia="仿宋_GB2312" w:cs="仿宋_GB2312"/>
        </w:rPr>
      </w:pPr>
      <w:r>
        <w:rPr>
          <w:rFonts w:hint="eastAsia" w:ascii="仿宋_GB2312" w:hAnsi="仿宋_GB2312" w:eastAsia="仿宋_GB2312" w:cs="仿宋_GB2312"/>
        </w:rPr>
        <w:t>喷雾塔和除尘器收集的飞灰经</w:t>
      </w:r>
      <w:r>
        <w:rPr>
          <w:rFonts w:hint="eastAsia" w:ascii="仿宋_GB2312" w:hAnsi="仿宋_GB2312" w:eastAsia="仿宋_GB2312" w:cs="仿宋_GB2312"/>
          <w:lang w:val="en-US" w:eastAsia="zh-CN"/>
        </w:rPr>
        <w:t>刮板机</w:t>
      </w:r>
      <w:r>
        <w:rPr>
          <w:rFonts w:hint="eastAsia" w:ascii="仿宋_GB2312" w:hAnsi="仿宋_GB2312" w:eastAsia="仿宋_GB2312" w:cs="仿宋_GB2312"/>
        </w:rPr>
        <w:t>输送至厂内灰仓内临时堆存。</w:t>
      </w:r>
    </w:p>
    <w:p w14:paraId="48956AEF">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项目工艺流程图见下页。</w:t>
      </w:r>
    </w:p>
    <w:p w14:paraId="79A9E3F5">
      <w:pPr>
        <w:pStyle w:val="27"/>
        <w:bidi w:val="0"/>
        <w:rPr>
          <w:rFonts w:hint="eastAsia" w:ascii="仿宋_GB2312" w:hAnsi="仿宋_GB2312" w:eastAsia="仿宋_GB2312" w:cs="仿宋_GB2312"/>
          <w:lang w:val="en-US" w:eastAsia="zh-CN"/>
        </w:rPr>
      </w:pPr>
    </w:p>
    <w:p w14:paraId="5D1A6C7B">
      <w:pPr>
        <w:pStyle w:val="27"/>
        <w:bidi w:val="0"/>
        <w:rPr>
          <w:rFonts w:hint="eastAsia" w:ascii="仿宋_GB2312" w:hAnsi="仿宋_GB2312" w:eastAsia="仿宋_GB2312" w:cs="仿宋_GB2312"/>
          <w:lang w:val="en-US" w:eastAsia="zh-CN"/>
        </w:rPr>
      </w:pPr>
    </w:p>
    <w:p w14:paraId="18ADC05B">
      <w:pPr>
        <w:pStyle w:val="27"/>
        <w:bidi w:val="0"/>
        <w:rPr>
          <w:rFonts w:hint="eastAsia"/>
          <w:lang w:val="en-US" w:eastAsia="zh-CN"/>
        </w:rPr>
      </w:pPr>
    </w:p>
    <w:p w14:paraId="3F2AF71E">
      <w:pPr>
        <w:pStyle w:val="27"/>
        <w:bidi w:val="0"/>
        <w:rPr>
          <w:rFonts w:hint="eastAsia"/>
          <w:lang w:val="en-US" w:eastAsia="zh-CN"/>
        </w:rPr>
      </w:pPr>
    </w:p>
    <w:p w14:paraId="43E32B6F">
      <w:pPr>
        <w:pStyle w:val="27"/>
        <w:bidi w:val="0"/>
        <w:rPr>
          <w:rFonts w:hint="eastAsia"/>
          <w:lang w:val="en-US" w:eastAsia="zh-CN"/>
        </w:rPr>
      </w:pPr>
    </w:p>
    <w:p w14:paraId="42D2EDFC">
      <w:pPr>
        <w:pStyle w:val="27"/>
        <w:bidi w:val="0"/>
        <w:rPr>
          <w:rFonts w:hint="eastAsia"/>
          <w:lang w:val="en-US" w:eastAsia="zh-CN"/>
        </w:rPr>
      </w:pPr>
    </w:p>
    <w:p w14:paraId="0AC971FC">
      <w:pPr>
        <w:pStyle w:val="27"/>
        <w:bidi w:val="0"/>
        <w:rPr>
          <w:rFonts w:hint="eastAsia"/>
          <w:lang w:val="en-US" w:eastAsia="zh-CN"/>
        </w:rPr>
      </w:pPr>
    </w:p>
    <w:p w14:paraId="65293339">
      <w:pPr>
        <w:pStyle w:val="27"/>
        <w:bidi w:val="0"/>
        <w:rPr>
          <w:rFonts w:hint="default"/>
          <w:lang w:val="en-US" w:eastAsia="zh-CN"/>
        </w:rPr>
        <w:sectPr>
          <w:headerReference r:id="rId9" w:type="default"/>
          <w:footerReference r:id="rId11" w:type="default"/>
          <w:headerReference r:id="rId10" w:type="even"/>
          <w:footerReference r:id="rId12" w:type="even"/>
          <w:footnotePr>
            <w:numFmt w:val="decimal"/>
          </w:footnotePr>
          <w:pgSz w:w="11900" w:h="16840"/>
          <w:pgMar w:top="1358" w:right="1404" w:bottom="1395" w:left="1615" w:header="930" w:footer="340" w:gutter="0"/>
          <w:pgNumType w:fmt="decimal" w:start="1"/>
          <w:cols w:space="720" w:num="1"/>
          <w:rtlGutter w:val="0"/>
          <w:docGrid w:linePitch="360" w:charSpace="0"/>
        </w:sectPr>
      </w:pPr>
    </w:p>
    <w:p w14:paraId="381B8852">
      <w:pPr>
        <w:pStyle w:val="2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lang w:eastAsia="zh-CN"/>
        </w:rPr>
      </w:pPr>
      <w:r>
        <w:rPr>
          <w:rFonts w:cs="Times New Roman"/>
        </w:rPr>
        <w:drawing>
          <wp:inline distT="0" distB="0" distL="0" distR="0">
            <wp:extent cx="8879840" cy="5032375"/>
            <wp:effectExtent l="9525" t="9525" r="26035" b="254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srcRect t="1745"/>
                    <a:stretch>
                      <a:fillRect/>
                    </a:stretch>
                  </pic:blipFill>
                  <pic:spPr>
                    <a:xfrm>
                      <a:off x="0" y="0"/>
                      <a:ext cx="8879840" cy="5032375"/>
                    </a:xfrm>
                    <a:prstGeom prst="rect">
                      <a:avLst/>
                    </a:prstGeom>
                    <a:ln>
                      <a:solidFill>
                        <a:schemeClr val="tx1"/>
                      </a:solidFill>
                    </a:ln>
                  </pic:spPr>
                </pic:pic>
              </a:graphicData>
            </a:graphic>
          </wp:inline>
        </w:drawing>
      </w:r>
    </w:p>
    <w:p w14:paraId="766F6957">
      <w:pPr>
        <w:pStyle w:val="27"/>
        <w:bidi w:val="0"/>
        <w:jc w:val="center"/>
        <w:rPr>
          <w:rFonts w:hint="eastAsia"/>
          <w:lang w:val="en-US" w:eastAsia="en-US"/>
        </w:rPr>
        <w:sectPr>
          <w:footnotePr>
            <w:numFmt w:val="decimal"/>
          </w:footnotePr>
          <w:pgSz w:w="16840" w:h="11900" w:orient="landscape"/>
          <w:pgMar w:top="1615" w:right="1358" w:bottom="1404" w:left="1395" w:header="930" w:footer="3" w:gutter="0"/>
          <w:pgNumType w:fmt="decimal"/>
          <w:cols w:space="720" w:num="1"/>
          <w:rtlGutter w:val="0"/>
          <w:docGrid w:linePitch="360" w:charSpace="0"/>
        </w:sectPr>
      </w:pPr>
      <w:bookmarkStart w:id="100" w:name="bookmark125"/>
      <w:bookmarkStart w:id="101" w:name="bookmark126"/>
      <w:bookmarkStart w:id="102" w:name="bookmark128"/>
      <w:r>
        <w:rPr>
          <w:rFonts w:hint="eastAsia"/>
          <w:lang w:val="en-US" w:eastAsia="en-US"/>
        </w:rPr>
        <w:t>项目工艺流程图</w:t>
      </w:r>
    </w:p>
    <w:bookmarkEnd w:id="100"/>
    <w:bookmarkEnd w:id="101"/>
    <w:bookmarkEnd w:id="102"/>
    <w:p w14:paraId="420DC9E8">
      <w:pPr>
        <w:pStyle w:val="29"/>
        <w:bidi w:val="0"/>
        <w:rPr>
          <w:rFonts w:hint="eastAsia" w:ascii="仿宋_GB2312" w:hAnsi="仿宋_GB2312" w:eastAsia="仿宋_GB2312" w:cs="仿宋_GB2312"/>
          <w:lang w:val="en-US" w:eastAsia="zh-CN"/>
        </w:rPr>
      </w:pPr>
      <w:bookmarkStart w:id="103" w:name="_Toc32541"/>
      <w:bookmarkStart w:id="104" w:name="_Toc66633325"/>
      <w:r>
        <w:rPr>
          <w:rFonts w:hint="eastAsia" w:ascii="仿宋_GB2312" w:hAnsi="仿宋_GB2312" w:eastAsia="仿宋_GB2312" w:cs="仿宋_GB2312"/>
          <w:lang w:val="en-US" w:eastAsia="zh-CN"/>
        </w:rPr>
        <w:t>2.4.1垃圾接收及贮存系统</w:t>
      </w:r>
      <w:bookmarkEnd w:id="103"/>
      <w:bookmarkEnd w:id="104"/>
    </w:p>
    <w:p w14:paraId="0299B4E4">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采用密闭式垃圾运输车辆，由当地环卫部门负责运入厂内，经地磅自动称重并由计算机记录和存储数据后，通过高架引桥进入主厂房卸料平台。在地磅前后均设有检视缓冲区，上方设有雨棚，地磅基坑底部设置污水收集井，最终进入渗滤液处理系统。地磅操作系统预留与市政部门传输计量数据及影像数据接口。</w:t>
      </w:r>
    </w:p>
    <w:p w14:paraId="3DCEB6C8">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垃圾卸料大厅长31.5m、宽21m、高9m，采用全封闭型设计，并配置有电动卷帘门和空气幕墙。卸车大厅内设4个垃圾卸料门，实现分区作业，仅使用一半数量的卸料门接受垃圾，关闭另一半数量的卸料门，使垃圾在垃圾贮坑内更好地搅拌和脱水。项目可通过任意一个卸料门将垃圾卸入垃圾池内，在大厅和吊车控制室有红绿灯指示卸料门开关状态。为了防止垃圾池内的臭味外溢，卸料门采用可自动启闭的液压驱动系统，为气密性结构，同时大厅的出入口设置空气幕。垃圾卸料平台周围设置清洗地面的水栓，并保持地面坡度以及在垃圾贮坑方向设置排水沟，以便收集和排出污水，并和垃圾池收集的渗滤液一同送到厂区污水处理站。</w:t>
      </w:r>
    </w:p>
    <w:p w14:paraId="11FADE5A">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设置了一个垃圾贮坑，垃圾贮坑池长24.9m，宽20.4m，垃圾贮坑总高19m，用于接收和贮存垃圾。垃圾坑设置了10天的储存量，垃圾堆放期间，对其进行搅拌、混合、脱水等处理，使垃圾成分更加均匀，有利于焚烧。底层垃圾自然堆积压实，压缩后的垃圾密度约提高50%～80%，提高了仓内垃圾的实际堆存量。垃圾贮坑上方靠焚烧炉一侧设有一次风机吸风口，抽吸垃圾贮坑内臭气作为焚烧炉燃烧空气，并使垃圾贮坑及卸料大厅呈负压状态，防止臭味和甲烷气体的积聚和溢出。此外，在垃圾贮坑顶部加设通风除臭系统，保证焚烧炉停炉期间垃圾储存坑的臭气不向外扩散。垃圾贮坑内设有垃圾渗滤液收集系统，渗滤液从垃圾贮坑的排除采取分层排出的措施，分别将低处及高处的垃圾渗滤液疏通到地下通廊的地沟中，由地沟汇集到渗滤液收集池。卸车大厅地下靠近垃圾贮坑侧设置1个渗滤液收集池，用于接收垃圾池渗滤液和卸料平台的冲洗废水。渗滤液池内的垃圾渗滤液由渗滤液泵抽出后，送至厂内污水处理站处理达标后回用于生产。</w:t>
      </w:r>
    </w:p>
    <w:p w14:paraId="17741C2F">
      <w:pPr>
        <w:pStyle w:val="29"/>
        <w:bidi w:val="0"/>
        <w:rPr>
          <w:rFonts w:hint="eastAsia" w:ascii="仿宋_GB2312" w:hAnsi="仿宋_GB2312" w:eastAsia="仿宋_GB2312" w:cs="仿宋_GB2312"/>
          <w:lang w:val="en-US" w:eastAsia="zh-CN"/>
        </w:rPr>
      </w:pPr>
      <w:bookmarkStart w:id="105" w:name="_Toc66633326"/>
      <w:bookmarkStart w:id="106" w:name="_Toc576"/>
      <w:r>
        <w:rPr>
          <w:rFonts w:hint="eastAsia" w:ascii="仿宋_GB2312" w:hAnsi="仿宋_GB2312" w:eastAsia="仿宋_GB2312" w:cs="仿宋_GB2312"/>
          <w:lang w:val="en-US" w:eastAsia="zh-CN"/>
        </w:rPr>
        <w:t>2.4.2生活垃圾焚烧系统</w:t>
      </w:r>
      <w:bookmarkEnd w:id="105"/>
      <w:bookmarkEnd w:id="106"/>
    </w:p>
    <w:p w14:paraId="1AA757E2">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垃圾焚烧系统由垃圾进料系统、焚烧炉本体、除渣系统、焚烧炉液压传动系统、点火及辅助燃烧系统、助燃空气系统等组成。项目采用了逆推往复式炉排焚烧炉，工艺流程为：垃圾抓斗起重机抓取垃圾→给料斗→液压推料器→炉排干燥段→燃烧段→燃烬段，充分燃烧后生成的炉渣由排渣机排出。</w:t>
      </w:r>
    </w:p>
    <w:p w14:paraId="10EF2D07">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进料及焚烧炉本体：经抓斗自控计量后，垃圾投入给料装置，再推入焚烧炉。往复式炉排焚烧炉的往复运动使垃圾不停翻动、搅拌和向前推进。活动炉排、推料器和料斗闸门均由液压系统驱动，并由DCS进行集中控制，其运动周期可根据垃圾的燃烧状况进行调整，炉排的运行稳定可靠。</w:t>
      </w:r>
    </w:p>
    <w:p w14:paraId="7185047C">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焚烧温度控制在850℃以上和2秒以上的停留时间，在炉膛的上、中、下三个断面布置了温度测点，每个断面安装3个温度测点，简称“3×3温度测点布置”，以实时掌控垃圾焚烧情况和温度场。</w:t>
      </w:r>
    </w:p>
    <w:p w14:paraId="7CF26DF1">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助燃空气系统：本项目助燃空气系统包括一次空气和二次空气助燃，具体有一次风机、二次风机、蒸汽式空气预热器三部分。</w:t>
      </w:r>
    </w:p>
    <w:p w14:paraId="3DA03D01">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一次风取自垃圾贮坑顶部侧墙，先经蒸汽式空气预热器加热后，温度达到220℃以上，由一次风机送至焚烧炉排下的灰斗空气接口。</w:t>
      </w:r>
    </w:p>
    <w:p w14:paraId="217D0E9F">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焚烧炉的前、后拱喷入二次风，以加强烟气的扰动，延长烟气的燃烧行程，使空气与烟气充分混合，保证垃圾燃烧更彻底。</w:t>
      </w:r>
    </w:p>
    <w:p w14:paraId="5691C13E">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一、二次风的加热都采用蒸汽式空气预热器。一次风空气从垃圾贮坑内抽取（可使垃圾贮坑及卸料大厅内的压力维持在负压状态，防止臭气外逸）；二次风空气从排渣机上方及焚烧间上空吸风，一次风空气预热器的加热蒸汽来自于汽轮机抽汽和汽包的饱和蒸汽。</w:t>
      </w:r>
    </w:p>
    <w:p w14:paraId="4E2FE6DA">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点火及辅助燃烧系统：当生活垃圾热值低于4600kJ/kg时，添加0#轻柴油作为点火和辅助燃烧燃料，同时配置了2台点火（启动）燃烧器，1台辅助燃烧器。</w:t>
      </w:r>
    </w:p>
    <w:p w14:paraId="1F349F90">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在锅炉第一通道上设置了温度传感器进行连续测量，来检查是否达到温度设计，在正常运行条件下，确保炉膛烟气温度在2秒内保持850℃以上，当温度达不到要求时，报警且燃烧器由中控投入使用。燃烧用空气由助燃风机送入燃烧器，喷入炉膛内的燃油燃烧后，向炉膛内加入垃圾，直到垃圾能够稳定燃烧，且保持炉膛温度在不小于850℃时，关闭助燃用空气阀门。</w:t>
      </w:r>
    </w:p>
    <w:p w14:paraId="15470F37">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焚烧炉液压传动系统：配备一个液压站，为给料斗关闭闸门、给料炉排、焚烧炉排所共用。液压系统由冷却水进行冷却。通过液压控制系统可以完成垃圾给料速度的调节、炉排运动周期的调节等，从而迅速有效调整和控制垃圾的燃烧工况。</w:t>
      </w:r>
    </w:p>
    <w:p w14:paraId="1D36D3CF">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除渣系统：包括落渣管、排渣机、渣坑和渣吊等。大部分炉渣被推至燃烬炉排，从焚烧炉后排出，通过排渣机进入渣坑；而焚烧炉炉排下灰斗在运行过程中收集的漏渣，与炉排炉渣共同用排渣机排出。刮板机设水封结构，具有完好的气密性，可保持炉膛负压。渣坑总有效存储容积218.4m³，可储存约2～3天的炉渣。渣坑内设炉渣起重机1台用于炉渣装车，遥控操作起重机，实现渣的倒运、装车作业，炉渣运出可作为制水泥原料综合利用。</w:t>
      </w:r>
    </w:p>
    <w:p w14:paraId="67401A51">
      <w:pPr>
        <w:pStyle w:val="29"/>
        <w:bidi w:val="0"/>
        <w:rPr>
          <w:rFonts w:hint="eastAsia" w:ascii="仿宋_GB2312" w:hAnsi="仿宋_GB2312" w:eastAsia="仿宋_GB2312" w:cs="仿宋_GB2312"/>
          <w:lang w:val="en-US" w:eastAsia="zh-CN"/>
        </w:rPr>
      </w:pPr>
      <w:bookmarkStart w:id="107" w:name="_Toc20263"/>
      <w:bookmarkStart w:id="108" w:name="_Toc66633327"/>
      <w:r>
        <w:rPr>
          <w:rFonts w:hint="eastAsia" w:ascii="仿宋_GB2312" w:hAnsi="仿宋_GB2312" w:eastAsia="仿宋_GB2312" w:cs="仿宋_GB2312"/>
          <w:lang w:val="en-US" w:eastAsia="zh-CN"/>
        </w:rPr>
        <w:t>2.4.3余热锅炉系统</w:t>
      </w:r>
      <w:bookmarkEnd w:id="107"/>
      <w:bookmarkEnd w:id="108"/>
    </w:p>
    <w:p w14:paraId="32E3607D">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项目设置了1套余热锅炉，余热锅炉布置在焚烧炉上方，生产出汽轮发电机所需的过热蒸汽。生活垃圾在焚烧炉排上方燃烧产生的大量高温烟气，以辐射传热方式将热量传递到炉膛四周布置的水冷壁，使水冷壁中的炉水蒸发而产生蒸汽。高温烟气由炉膛出来后，进入后部的半幅射烟气通道和对流通道，不断将热量传递至各通道内的受热面如水冷壁、蒸发器、过热器、省煤器等，并降低温度至210℃后排出锅炉进入烟气净化处理系统。</w:t>
      </w:r>
    </w:p>
    <w:p w14:paraId="559867FB">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锅炉的清灰采用蒸汽吹灰方式，在过热器、蒸发器和省煤器区域每台炉都布置了固定旋转式蒸汽吹灰器。锅炉灰落入底部细灰斗，底灰统一收集至渣坑处理。在余热锅炉的对空排汽口加装消音器。</w:t>
      </w:r>
    </w:p>
    <w:p w14:paraId="606788F5">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余热锅炉排污系统采用1台连续排污扩容器，连排扩容蒸汽送去除氧器进行回收利用，连续排污水则接至另1台定期排污扩容器。定排扩容器产生的蒸汽作为热源再利用，产生的废热水则通过位于锅炉旁的排污降温池降至常温（25～30℃左右）后回用于炉渣冷却用水等。</w:t>
      </w:r>
    </w:p>
    <w:p w14:paraId="6BC60390">
      <w:pPr>
        <w:pStyle w:val="29"/>
        <w:bidi w:val="0"/>
        <w:rPr>
          <w:rFonts w:hint="eastAsia" w:ascii="仿宋_GB2312" w:hAnsi="仿宋_GB2312" w:eastAsia="仿宋_GB2312" w:cs="仿宋_GB2312"/>
          <w:lang w:val="en-US" w:eastAsia="zh-CN"/>
        </w:rPr>
      </w:pPr>
      <w:bookmarkStart w:id="109" w:name="_Toc66633328"/>
      <w:bookmarkStart w:id="110" w:name="_Toc31021"/>
      <w:r>
        <w:rPr>
          <w:rFonts w:hint="eastAsia" w:ascii="仿宋_GB2312" w:hAnsi="仿宋_GB2312" w:eastAsia="仿宋_GB2312" w:cs="仿宋_GB2312"/>
          <w:lang w:val="en-US" w:eastAsia="zh-CN"/>
        </w:rPr>
        <w:t>2.4.4汽轮发电机组系统</w:t>
      </w:r>
      <w:bookmarkEnd w:id="109"/>
      <w:bookmarkEnd w:id="110"/>
    </w:p>
    <w:p w14:paraId="7438631F">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汽轮发电系统由主蒸汽系统、抽汽系统、真空抽气系统、汽封系统、疏水系统、循环水系统、调节系统、辅助设备等主要部分组成。垃圾焚烧余热锅炉产生的中压热蒸汽经汽轮机膨胀做工后将热能转化为机械能，带动发电机产生电能。</w:t>
      </w:r>
    </w:p>
    <w:p w14:paraId="55F0C4E6">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本项目设置有1台装机容量为6MW的中温中压纯凝式汽轮机及1台6MW的发电机。设三级非调整抽汽，一段抽汽供一次风空气预热器以预热燃烧空气，二段抽汽加热中压除氧器、作为锅炉给水除氧的热源，三段抽汽供低压加热器以加热凝结水，做功后的乏汽进入凝汽器，用循环冷却水进行冷却。</w:t>
      </w:r>
    </w:p>
    <w:p w14:paraId="637CFC35">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发电机与汽轮机组配套，发电机冷却方式为空冷式。热力系统中设有两台减温减压器，用于当汽机因故停机或启动时，一级减温减压器将余热锅炉产生的蒸汽降压降温到低压蒸汽，供空气预热器加热用蒸汽，疏水可利用余压送入除氧器；二级减温减压器供除氧器加热给水用。正常运行时，空气预热器、除氧器和低压加热器所需的加热用蒸汽由汽轮机抽汽供给。</w:t>
      </w:r>
    </w:p>
    <w:p w14:paraId="31BFA2E1">
      <w:pPr>
        <w:pStyle w:val="29"/>
        <w:bidi w:val="0"/>
        <w:rPr>
          <w:rFonts w:hint="eastAsia" w:ascii="仿宋_GB2312" w:hAnsi="仿宋_GB2312" w:eastAsia="仿宋_GB2312" w:cs="仿宋_GB2312"/>
          <w:lang w:val="en-US" w:eastAsia="zh-CN"/>
        </w:rPr>
      </w:pPr>
      <w:bookmarkStart w:id="111" w:name="_Toc66633329"/>
      <w:bookmarkStart w:id="112" w:name="_Toc19927"/>
      <w:r>
        <w:rPr>
          <w:rFonts w:hint="eastAsia" w:ascii="仿宋_GB2312" w:hAnsi="仿宋_GB2312" w:eastAsia="仿宋_GB2312" w:cs="仿宋_GB2312"/>
          <w:lang w:val="en-US" w:eastAsia="zh-CN"/>
        </w:rPr>
        <w:t>2.4.5炉内脱硝系统</w:t>
      </w:r>
      <w:bookmarkEnd w:id="111"/>
      <w:bookmarkEnd w:id="112"/>
    </w:p>
    <w:p w14:paraId="5CFE83BB">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本项目采用选择性非催化还原法（SNCR）脱硝工艺。氨水罐车送来质量浓度20%～30%的氨水，用卸氨泵或罐车自带泵注入氨水储罐，氨水罐的氨水和来自清水水箱的清水通过加压泵加压后经静态混合器或混合罐均匀混合稀释成15～20%的浓度，再通过管路送到雾化喷射系统，氨水经过喷枪雾化后喷射到炉腔内850℃～1100℃的区域进行反应。在高温作用下，氨水中的NH</w:t>
      </w:r>
      <w:r>
        <w:rPr>
          <w:rFonts w:hint="eastAsia" w:ascii="仿宋_GB2312" w:hAnsi="仿宋_GB2312" w:eastAsia="仿宋_GB2312" w:cs="仿宋_GB2312"/>
          <w:vertAlign w:val="subscript"/>
          <w:lang w:eastAsia="zh-CN"/>
        </w:rPr>
        <w:t>3</w:t>
      </w:r>
      <w:r>
        <w:rPr>
          <w:rFonts w:hint="eastAsia" w:ascii="仿宋_GB2312" w:hAnsi="仿宋_GB2312" w:eastAsia="仿宋_GB2312" w:cs="仿宋_GB2312"/>
          <w:lang w:eastAsia="zh-CN"/>
        </w:rPr>
        <w:t>选择性的与烟气中NOx发生还原反应，生成N</w:t>
      </w:r>
      <w:r>
        <w:rPr>
          <w:rFonts w:hint="eastAsia" w:ascii="仿宋_GB2312" w:hAnsi="仿宋_GB2312" w:eastAsia="仿宋_GB2312" w:cs="仿宋_GB2312"/>
          <w:vertAlign w:val="subscript"/>
          <w:lang w:eastAsia="zh-CN"/>
        </w:rPr>
        <w:t>2</w:t>
      </w:r>
      <w:r>
        <w:rPr>
          <w:rFonts w:hint="eastAsia" w:ascii="仿宋_GB2312" w:hAnsi="仿宋_GB2312" w:eastAsia="仿宋_GB2312" w:cs="仿宋_GB2312"/>
          <w:lang w:eastAsia="zh-CN"/>
        </w:rPr>
        <w:t>、H</w:t>
      </w:r>
      <w:r>
        <w:rPr>
          <w:rFonts w:hint="eastAsia" w:ascii="仿宋_GB2312" w:hAnsi="仿宋_GB2312" w:eastAsia="仿宋_GB2312" w:cs="仿宋_GB2312"/>
          <w:vertAlign w:val="subscript"/>
          <w:lang w:eastAsia="zh-CN"/>
        </w:rPr>
        <w:t>2</w:t>
      </w:r>
      <w:r>
        <w:rPr>
          <w:rFonts w:hint="eastAsia" w:ascii="仿宋_GB2312" w:hAnsi="仿宋_GB2312" w:eastAsia="仿宋_GB2312" w:cs="仿宋_GB2312"/>
          <w:lang w:eastAsia="zh-CN"/>
        </w:rPr>
        <w:t>O。</w:t>
      </w:r>
    </w:p>
    <w:p w14:paraId="550E2B3B">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控制系统根据烟气分析仪的参数实时改变氨水和清水的流量，一方面保证良好的雾化，一方面保证经济合理的还原剂喷量，水泵流量由变频器控制水泵的频率来实现，做到无级调节流量，整套系统的控制可以现场自动控制、现场手动控制和中控远程控制。</w:t>
      </w:r>
    </w:p>
    <w:p w14:paraId="409B18AB">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（1）氨水储存系统</w:t>
      </w:r>
    </w:p>
    <w:p w14:paraId="508F0865">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包括氨水储罐、卸氨泵以及配套的管路、阀门、压力变送器、液位计等。设置一个专门的氨水储存厂房，厂房内部固定安装1个卧式氨水储罐，厂房设置围堰，储罐顶部设有压力保护开关和呼吸阀，储罐采用密闭结构。</w:t>
      </w:r>
    </w:p>
    <w:p w14:paraId="4144C6CA">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（2）清水储存系统</w:t>
      </w:r>
    </w:p>
    <w:p w14:paraId="743F32B3">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包括两个清水罐、冲洗设备及配套的管路阀门、液位计等。两个清水罐一个用于系统运行过程对氨水溶液进行稀释，保证喷枪有足够的射流动量，达到更好的脱硝效率。</w:t>
      </w:r>
    </w:p>
    <w:p w14:paraId="6B6B04DE">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该水箱还负责吸收来自氨水储罐挥发的氨气，储罐内由于氨水挥发导致罐内压力升高到预设值，氨气吸收管路上的安全阀打开，通过稀释水对氨气进行吸收，快速降低氨水储罐内压力，保证系统正常运行。另一个清水罐为整个系统及工作区提供清洁用水，同时用于设备管路的冲洗，冲洗装置的用水。</w:t>
      </w:r>
    </w:p>
    <w:p w14:paraId="3B137D93">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两个清水罐均采用碳钢材质，水罐及管路均采取保温措施。</w:t>
      </w:r>
    </w:p>
    <w:p w14:paraId="3147AAD3">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（3）加压计量系统</w:t>
      </w:r>
    </w:p>
    <w:p w14:paraId="3166A0D9">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包括氨水加压泵、清水加压泵、混合模块、冲洗模块、循环模块、测量仪表和相应的管路阀门等。加压泵对氨水和清水进行加压，然后通过混合器混合均匀，输送至喷射系统。</w:t>
      </w:r>
    </w:p>
    <w:p w14:paraId="5ADBBCE0">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氨水的稀释通过静态混合器完成，氨水管路中的氨水和清水管路中的清水进入混合模块，静态混合，稀释到喷射所需浓度，最终通过管路输送到喷射位置。</w:t>
      </w:r>
    </w:p>
    <w:p w14:paraId="7193EB2F">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冲洗模块在系统停用检修时，对管路进行冲洗，防止残留在管路中的氨水溢出对人员环境造成影响，保证设备使用安全及延长设备使用寿命。</w:t>
      </w:r>
    </w:p>
    <w:p w14:paraId="2A2B97E1">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（4）喷射雾化系统</w:t>
      </w:r>
    </w:p>
    <w:p w14:paraId="0E860065">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还原剂喷射系统设置一系列专用喷枪，喷枪材质选用特种耐高温材质，还原剂通过喷枪前段雾化喷嘴雾化，形成细小的小颗粒，喷入锅炉，与NOx发生还原反应。同时配套了厂区压缩空气系统，为氨水溶液雾化提供雾化介质，压缩空气从主厂房接引。</w:t>
      </w:r>
    </w:p>
    <w:p w14:paraId="1121296B">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（5）自动控制系统</w:t>
      </w:r>
    </w:p>
    <w:p w14:paraId="3913B38E">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控制方式有现场自动控制、现场手动控制、中控远程控制等方式，方便各个工况的操作。系统设有必要的报警装置，如液位报警、流量报警、变频故障报警、压力报警等，保证系统安全稳定运行。</w:t>
      </w:r>
    </w:p>
    <w:p w14:paraId="76FD89FE">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经焚烧炉炉内脱硝，锅炉出口烟气温度为190～210℃，平均烟温为205℃。</w:t>
      </w:r>
    </w:p>
    <w:p w14:paraId="0350DF32">
      <w:pPr>
        <w:pStyle w:val="29"/>
        <w:bidi w:val="0"/>
        <w:rPr>
          <w:rFonts w:hint="eastAsia" w:ascii="仿宋_GB2312" w:hAnsi="仿宋_GB2312" w:eastAsia="仿宋_GB2312" w:cs="仿宋_GB2312"/>
          <w:lang w:val="en-US" w:eastAsia="zh-CN"/>
        </w:rPr>
      </w:pPr>
      <w:bookmarkStart w:id="113" w:name="_Toc2265"/>
      <w:bookmarkStart w:id="114" w:name="_Toc66633330"/>
      <w:r>
        <w:rPr>
          <w:rFonts w:hint="eastAsia" w:ascii="仿宋_GB2312" w:hAnsi="仿宋_GB2312" w:eastAsia="仿宋_GB2312" w:cs="仿宋_GB2312"/>
          <w:lang w:val="en-US" w:eastAsia="zh-CN"/>
        </w:rPr>
        <w:t>2.4.6烟气净化系统</w:t>
      </w:r>
      <w:bookmarkEnd w:id="113"/>
      <w:bookmarkEnd w:id="114"/>
    </w:p>
    <w:p w14:paraId="6631D2C2">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本项目采用“SNCR+半干法旋转喷雾＋干法(喷射氢氧化钙)＋活性炭喷射＋布袋除尘器”组合工艺，主要由下列系统组成：炉内脱硝SNCR系统、旋转喷雾干燥脱酸反应塔、布袋除尘器系统、石灰浆制备系统、石灰干粉喷射系统、活性炭喷射系统、引风机及烟气排放系统等组成。各主要过程描述如下：</w:t>
      </w:r>
    </w:p>
    <w:p w14:paraId="740BBF95">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（1）喷雾反应系统</w:t>
      </w:r>
    </w:p>
    <w:p w14:paraId="5D3CE758">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锅炉出口温度为190～210℃的烟气自顶部导入喷雾塔，喷雾塔顶部导流片使烟气进入喷雾塔后形成旋转紊流流动，与布置在塔顶的旋转喷雾器喷出的石灰浆雾滴充分接触，反应生成粉末状钙盐，达到降温和脱除烟气重酸性气体的目的。旋转喷雾盘是通过高速电机带动喷雾盘旋转，在强大的离心力作用下，使吸收剂石灰浆得以充分雾化，石灰浆被雾化成平均约50um的微小液滴，该液滴与呈螺旋状向下运动的烟气形成逆流，并被巨大的烟气流裹带着向下运动，在此过程中，石灰浆与烟气中的酸性气体HCl、SO2等发生反应。该冷却过程还使二噁英、呋喃和重金属产生凝结。为获得酸性气体高的去除效率而又不使CaCl</w:t>
      </w:r>
      <w:r>
        <w:rPr>
          <w:rFonts w:hint="eastAsia" w:ascii="仿宋_GB2312" w:hAnsi="仿宋_GB2312" w:eastAsia="仿宋_GB2312" w:cs="仿宋_GB2312"/>
          <w:vertAlign w:val="subscript"/>
          <w:lang w:eastAsia="zh-CN"/>
        </w:rPr>
        <w:t>2</w:t>
      </w:r>
      <w:r>
        <w:rPr>
          <w:rFonts w:hint="eastAsia" w:ascii="仿宋_GB2312" w:hAnsi="仿宋_GB2312" w:eastAsia="仿宋_GB2312" w:cs="仿宋_GB2312"/>
          <w:lang w:eastAsia="zh-CN"/>
        </w:rPr>
        <w:t>产生吸潮而沉积，反应器出口的烟气温度控制在150～160℃之间，烟气在反应器中的滞留时间保持在15秒以上，然后进入布袋除尘器。</w:t>
      </w:r>
    </w:p>
    <w:p w14:paraId="15980B30">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（2）布袋除尘系统</w:t>
      </w:r>
    </w:p>
    <w:p w14:paraId="1A599372">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布袋除尘器的清灰为脉冲反吹方式，在全厂事故、紧急停机和除尘器警报（温度或压力）等出现时，除尘器进出口阀自动关闭。</w:t>
      </w:r>
    </w:p>
    <w:p w14:paraId="23BDEA8A">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（3）石灰浆制备系统</w:t>
      </w:r>
    </w:p>
    <w:p w14:paraId="54159213">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石灰浆制备系统包括石灰仓、石灰浆制浆槽、石灰浆储浆槽、石灰浆泵以及连接各个设备的输送机、管道、阀门、清洗措施等。石灰用槽罐车送到石灰仓储存，经过两台计量螺旋(变频控制)定量分别加到两个制浆槽内，向储浆槽内连续供应浓度为15%的石灰浆。制浆槽内设有电动搅拌器，以使石灰浆均质和防止沉淀。制浆槽根据工艺要求，用称重传感器来进行石灰浆浓度的配置。储浆槽向石灰浆泵供料。储浆槽设有电动搅拌器和高、低液位两个液位计，低液位其主要功能为了按时补充储浆槽中的石灰浆，高液位计是为测量储浆槽中的液位高低外，当液位低于提前设定的值时，必须停止石灰浆泵的运行。</w:t>
      </w:r>
    </w:p>
    <w:p w14:paraId="315AC2F6">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（4）石灰干粉喷射系统</w:t>
      </w:r>
    </w:p>
    <w:p w14:paraId="474F331B">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石灰浆系统无法达标时使用。即当只使用半干法和布袋除尘器，而烟囱出口处的HCl和SO</w:t>
      </w:r>
      <w:r>
        <w:rPr>
          <w:rFonts w:hint="eastAsia" w:ascii="仿宋_GB2312" w:hAnsi="仿宋_GB2312" w:eastAsia="仿宋_GB2312" w:cs="仿宋_GB2312"/>
          <w:vertAlign w:val="subscript"/>
          <w:lang w:eastAsia="zh-CN"/>
        </w:rPr>
        <w:t>2</w:t>
      </w:r>
      <w:r>
        <w:rPr>
          <w:rFonts w:hint="eastAsia" w:ascii="仿宋_GB2312" w:hAnsi="仿宋_GB2312" w:eastAsia="仿宋_GB2312" w:cs="仿宋_GB2312"/>
          <w:lang w:eastAsia="zh-CN"/>
        </w:rPr>
        <w:t>排放值超过设定值时，自动追加氢氧化钙干粉。当HCl/SO</w:t>
      </w:r>
      <w:r>
        <w:rPr>
          <w:rFonts w:hint="eastAsia" w:ascii="仿宋_GB2312" w:hAnsi="仿宋_GB2312" w:eastAsia="仿宋_GB2312" w:cs="仿宋_GB2312"/>
          <w:vertAlign w:val="subscript"/>
          <w:lang w:eastAsia="zh-CN"/>
        </w:rPr>
        <w:t>2</w:t>
      </w:r>
      <w:r>
        <w:rPr>
          <w:rFonts w:hint="eastAsia" w:ascii="仿宋_GB2312" w:hAnsi="仿宋_GB2312" w:eastAsia="仿宋_GB2312" w:cs="仿宋_GB2312"/>
          <w:lang w:eastAsia="zh-CN"/>
        </w:rPr>
        <w:t>的排放值低于基准值的90%时，就停止氢氧化钙喷射，随后仍然只通过石灰浆进行烟气的酸性气体处理。设置2台（一备一用）石灰干粉喷射风机用来往两台炉布袋除尘器前的烟道内注入石灰干粉。</w:t>
      </w:r>
    </w:p>
    <w:p w14:paraId="2EB7AE9A">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（5）活性炭喷射系统</w:t>
      </w:r>
    </w:p>
    <w:p w14:paraId="7FCC278C">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活性炭储存在活性炭仓中，通过活性炭给料机与活性炭注入风机输送到烟道中，以去除烟气中的二噁英和重金属。在活性炭仓和活性炭给料机的中间安装滑动门，以便在检查和维修时切断活性炭的给料。活性炭仓内安装有2个料位开关及其高料位现场报警，上部的料位开关检测高料位，下部的料位开关检测低料位。高料位表示活性炭停止上料的料位。低料位表示活性炭仓应接收活性炭的料位。破拱装置和安装在活性炭仓壳体圆锥部分以免产生拱形堆积。活性炭仓上装有仓顶除尘器。活性炭输送采用2台罗茨风机（一用一备）。</w:t>
      </w:r>
    </w:p>
    <w:p w14:paraId="7B97AF2E">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（6）烟气排放系统</w:t>
      </w:r>
    </w:p>
    <w:p w14:paraId="3C3FE9DA">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该系统是通过引风机和烟囱将烟气净化系统处理达标的尾气排放到大气中。项目使用离心式风机将烟气重布袋除尘器抽送入烟囱，采用变频控制，使炉膛内保证负压，引风机等设备及与之相连接的烟气管道全部采用外保温。净化后烟气由引风机送入厂房外的烟囱排入大气，设置了1座碳钢材质的单筒烟囱，高度100m、出口内径1.8m。</w:t>
      </w:r>
    </w:p>
    <w:p w14:paraId="6AA653E1">
      <w:pPr>
        <w:pStyle w:val="29"/>
        <w:bidi w:val="0"/>
        <w:rPr>
          <w:rFonts w:hint="eastAsia" w:ascii="仿宋_GB2312" w:hAnsi="仿宋_GB2312" w:eastAsia="仿宋_GB2312" w:cs="仿宋_GB2312"/>
          <w:lang w:val="en-US" w:eastAsia="zh-CN"/>
        </w:rPr>
      </w:pPr>
      <w:bookmarkStart w:id="115" w:name="_Toc22850"/>
      <w:bookmarkStart w:id="116" w:name="_Toc66633331"/>
      <w:r>
        <w:rPr>
          <w:rFonts w:hint="eastAsia" w:ascii="仿宋_GB2312" w:hAnsi="仿宋_GB2312" w:eastAsia="仿宋_GB2312" w:cs="仿宋_GB2312"/>
          <w:lang w:val="en-US" w:eastAsia="zh-CN"/>
        </w:rPr>
        <w:t>2.4.7污水处理站</w:t>
      </w:r>
      <w:bookmarkEnd w:id="115"/>
      <w:bookmarkEnd w:id="116"/>
    </w:p>
    <w:p w14:paraId="072B6284">
      <w:pPr>
        <w:pStyle w:val="27"/>
        <w:bidi w:val="0"/>
        <w:rPr>
          <w:rFonts w:hint="eastAsia" w:ascii="仿宋_GB2312" w:hAnsi="仿宋_GB2312" w:eastAsia="仿宋_GB2312" w:cs="仿宋_GB2312"/>
          <w:spacing w:val="0"/>
          <w:w w:val="100"/>
          <w:kern w:val="2"/>
          <w:position w:val="0"/>
          <w:szCs w:val="22"/>
          <w:shd w:val="clear"/>
          <w:lang w:eastAsia="zh-CN" w:bidi="ar-SA"/>
        </w:rPr>
      </w:pPr>
      <w:r>
        <w:rPr>
          <w:rFonts w:hint="eastAsia" w:ascii="仿宋_GB2312" w:hAnsi="仿宋_GB2312" w:eastAsia="仿宋_GB2312" w:cs="仿宋_GB2312"/>
          <w:lang w:eastAsia="zh-CN"/>
        </w:rPr>
        <w:t>项目设置了1座污水处理站，污水处理站规模为90m</w:t>
      </w:r>
      <w:r>
        <w:rPr>
          <w:rFonts w:hint="eastAsia" w:ascii="仿宋_GB2312" w:hAnsi="仿宋_GB2312" w:eastAsia="仿宋_GB2312" w:cs="仿宋_GB2312"/>
          <w:vertAlign w:val="superscript"/>
          <w:lang w:eastAsia="zh-CN"/>
        </w:rPr>
        <w:t>3</w:t>
      </w:r>
      <w:r>
        <w:rPr>
          <w:rFonts w:hint="eastAsia" w:ascii="仿宋_GB2312" w:hAnsi="仿宋_GB2312" w:eastAsia="仿宋_GB2312" w:cs="仿宋_GB2312"/>
          <w:lang w:eastAsia="zh-CN"/>
        </w:rPr>
        <w:t>/d。接纳厂内垃圾渗滤液、车间地坪及设备冲洗废水、道路冲洗废水、车辆冲洗用水等。采用“废水→格栅→调节池→厌氧反应池（UASB）→MBR组合池（含超滤系统）→DTRO系统→达标回用”的处理工艺。</w:t>
      </w:r>
    </w:p>
    <w:p w14:paraId="4D274A7D">
      <w:pPr>
        <w:pStyle w:val="29"/>
        <w:bidi w:val="0"/>
        <w:rPr>
          <w:rFonts w:hint="eastAsia" w:ascii="仿宋_GB2312" w:hAnsi="仿宋_GB2312" w:eastAsia="仿宋_GB2312" w:cs="仿宋_GB2312"/>
          <w:lang w:val="en-US" w:eastAsia="zh-CN"/>
        </w:rPr>
      </w:pPr>
      <w:bookmarkStart w:id="117" w:name="_Toc66633332"/>
      <w:bookmarkStart w:id="118" w:name="_Toc7785"/>
      <w:r>
        <w:rPr>
          <w:rFonts w:hint="eastAsia" w:ascii="仿宋_GB2312" w:hAnsi="仿宋_GB2312" w:eastAsia="仿宋_GB2312" w:cs="仿宋_GB2312"/>
          <w:lang w:val="en-US" w:eastAsia="zh-CN"/>
        </w:rPr>
        <w:t>2.4.8灰渣系统</w:t>
      </w:r>
      <w:bookmarkEnd w:id="117"/>
      <w:bookmarkEnd w:id="118"/>
    </w:p>
    <w:p w14:paraId="33CCA230">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（1）除渣系统：</w:t>
      </w:r>
    </w:p>
    <w:p w14:paraId="438A9175">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炉渣主要为垃圾燃烧后的残余物，主要成分为MnO、SiO</w:t>
      </w:r>
      <w:r>
        <w:rPr>
          <w:rFonts w:hint="eastAsia" w:ascii="仿宋_GB2312" w:hAnsi="仿宋_GB2312" w:eastAsia="仿宋_GB2312" w:cs="仿宋_GB2312"/>
          <w:vertAlign w:val="subscript"/>
          <w:lang w:eastAsia="zh-CN"/>
        </w:rPr>
        <w:t>2</w:t>
      </w:r>
      <w:r>
        <w:rPr>
          <w:rFonts w:hint="eastAsia" w:ascii="仿宋_GB2312" w:hAnsi="仿宋_GB2312" w:eastAsia="仿宋_GB2312" w:cs="仿宋_GB2312"/>
          <w:lang w:eastAsia="zh-CN"/>
        </w:rPr>
        <w:t>、CaO、Al</w:t>
      </w:r>
      <w:r>
        <w:rPr>
          <w:rFonts w:hint="eastAsia" w:ascii="仿宋_GB2312" w:hAnsi="仿宋_GB2312" w:eastAsia="仿宋_GB2312" w:cs="仿宋_GB2312"/>
          <w:vertAlign w:val="subscript"/>
          <w:lang w:eastAsia="zh-CN"/>
        </w:rPr>
        <w:t>2</w:t>
      </w:r>
      <w:r>
        <w:rPr>
          <w:rFonts w:hint="eastAsia" w:ascii="仿宋_GB2312" w:hAnsi="仿宋_GB2312" w:eastAsia="仿宋_GB2312" w:cs="仿宋_GB2312"/>
          <w:lang w:eastAsia="zh-CN"/>
        </w:rPr>
        <w:t>O</w:t>
      </w:r>
      <w:r>
        <w:rPr>
          <w:rFonts w:hint="eastAsia" w:ascii="仿宋_GB2312" w:hAnsi="仿宋_GB2312" w:eastAsia="仿宋_GB2312" w:cs="仿宋_GB2312"/>
          <w:vertAlign w:val="subscript"/>
          <w:lang w:eastAsia="zh-CN"/>
        </w:rPr>
        <w:t>3</w:t>
      </w:r>
      <w:r>
        <w:rPr>
          <w:rFonts w:hint="eastAsia" w:ascii="仿宋_GB2312" w:hAnsi="仿宋_GB2312" w:eastAsia="仿宋_GB2312" w:cs="仿宋_GB2312"/>
          <w:lang w:eastAsia="zh-CN"/>
        </w:rPr>
        <w:t>、Fe</w:t>
      </w:r>
      <w:r>
        <w:rPr>
          <w:rFonts w:hint="eastAsia" w:ascii="仿宋_GB2312" w:hAnsi="仿宋_GB2312" w:eastAsia="仿宋_GB2312" w:cs="仿宋_GB2312"/>
          <w:vertAlign w:val="subscript"/>
          <w:lang w:eastAsia="zh-CN"/>
        </w:rPr>
        <w:t>2</w:t>
      </w:r>
      <w:r>
        <w:rPr>
          <w:rFonts w:hint="eastAsia" w:ascii="仿宋_GB2312" w:hAnsi="仿宋_GB2312" w:eastAsia="仿宋_GB2312" w:cs="仿宋_GB2312"/>
          <w:lang w:eastAsia="zh-CN"/>
        </w:rPr>
        <w:t>O</w:t>
      </w:r>
      <w:r>
        <w:rPr>
          <w:rFonts w:hint="eastAsia" w:ascii="仿宋_GB2312" w:hAnsi="仿宋_GB2312" w:eastAsia="仿宋_GB2312" w:cs="仿宋_GB2312"/>
          <w:vertAlign w:val="subscript"/>
          <w:lang w:eastAsia="zh-CN"/>
        </w:rPr>
        <w:t>3</w:t>
      </w:r>
      <w:r>
        <w:rPr>
          <w:rFonts w:hint="eastAsia" w:ascii="仿宋_GB2312" w:hAnsi="仿宋_GB2312" w:eastAsia="仿宋_GB2312" w:cs="仿宋_GB2312"/>
          <w:lang w:eastAsia="zh-CN"/>
        </w:rPr>
        <w:t>以及少量未燃烬的有机物、废金属等，属一般固废，炉渣热灼减率≤3%。垃圾焚烧后炉渣通过除渣机经过水冷捞渣机送入炉渣贮坑。炉渣坑尺寸为16m×4.55m×3m，渣仓内设有电动桥式抓斗起重机1台，渣吊规格是5t、2m</w:t>
      </w:r>
      <w:r>
        <w:rPr>
          <w:rFonts w:hint="eastAsia" w:ascii="仿宋_GB2312" w:hAnsi="仿宋_GB2312" w:eastAsia="仿宋_GB2312" w:cs="仿宋_GB2312"/>
          <w:vertAlign w:val="superscript"/>
          <w:lang w:eastAsia="zh-CN"/>
        </w:rPr>
        <w:t>3</w:t>
      </w:r>
      <w:r>
        <w:rPr>
          <w:rFonts w:hint="eastAsia" w:ascii="仿宋_GB2312" w:hAnsi="仿宋_GB2312" w:eastAsia="仿宋_GB2312" w:cs="仿宋_GB2312"/>
          <w:lang w:eastAsia="zh-CN"/>
        </w:rPr>
        <w:t>，由炉渣抓吊将其装入炉渣运输车，运出作为制水泥原料或者制砖综合利用。</w:t>
      </w:r>
    </w:p>
    <w:p w14:paraId="2B724E56">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（2）飞灰处理系统：</w:t>
      </w:r>
    </w:p>
    <w:p w14:paraId="1F163BFF">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飞灰产生于烟气处理过程，主要为反应吸收塔的排出物和布袋除尘器收集的烟尘，包括燃烧产生的粉尘、石灰浆反应产物以及吸附重金属和二噁英类的活性炭，其成份复杂且含有较高浸出浓度的Pb、Cd等重金属和其它毒性物质。飞灰采用机械输送方式，设置有刮板输灰机、斗式提升机和飞灰储仓。烟气中所含的飞灰（包括喷入的活性炭），由布袋除尘器捕集至除尘器灰斗，并经除尘器下的链条刮板输送机送至公用刮板输送机上。反应塔和布袋除尘器的飞灰收集后输送到公用刮板输送机上，再经斗式提升机输送到灰仓顶部，经灰仓顶部的刮板输送机输送到灰仓中，随后经由气力输送至飞灰暂存间，厂内输送过程均全密闭运输，在输送过程中无粉尘外逸点。</w:t>
      </w:r>
    </w:p>
    <w:p w14:paraId="63B88E0C">
      <w:pPr>
        <w:pStyle w:val="29"/>
        <w:bidi w:val="0"/>
        <w:rPr>
          <w:rFonts w:hint="eastAsia" w:ascii="仿宋_GB2312" w:hAnsi="仿宋_GB2312" w:eastAsia="仿宋_GB2312" w:cs="仿宋_GB2312"/>
          <w:lang w:val="en-US" w:eastAsia="zh-CN"/>
        </w:rPr>
      </w:pPr>
      <w:bookmarkStart w:id="119" w:name="_Toc15291"/>
      <w:bookmarkStart w:id="120" w:name="_Toc66633333"/>
      <w:r>
        <w:rPr>
          <w:rFonts w:hint="eastAsia" w:ascii="仿宋_GB2312" w:hAnsi="仿宋_GB2312" w:eastAsia="仿宋_GB2312" w:cs="仿宋_GB2312"/>
          <w:lang w:val="en-US" w:eastAsia="zh-CN"/>
        </w:rPr>
        <w:t>2.4.9循环冷却水处理系统</w:t>
      </w:r>
      <w:bookmarkEnd w:id="119"/>
      <w:bookmarkEnd w:id="120"/>
    </w:p>
    <w:p w14:paraId="0FD83E38">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电站冷凝器，冷油器，空冷器均采用循环冷却方式。循环水系统采用母管制，该系统包括循环水泵、冷却塔、循环水池及循环水管网。新鲜水经循环水处理装置缓蚀阻垢处理后进入循环水池，供全厂冷换热设备使用，换热后水温达到设计值后，进入循环回水管网，一部分经冷却塔换热后温度降低10℃左右，依靠重力沉降于塔下水池，另一部分进入旁滤系统，过滤以降低循环水浊度，再进入塔下水池，经格栅进人冷水池，再经过缓蚀阻垢、杀菌灭藻药剂处理，水质稳定后，送至循环水池。</w:t>
      </w:r>
    </w:p>
    <w:p w14:paraId="5DBA660B">
      <w:pPr>
        <w:pStyle w:val="29"/>
        <w:bidi w:val="0"/>
        <w:rPr>
          <w:rFonts w:hint="eastAsia" w:ascii="仿宋_GB2312" w:hAnsi="仿宋_GB2312" w:eastAsia="仿宋_GB2312" w:cs="仿宋_GB2312"/>
          <w:lang w:val="en-US" w:eastAsia="zh-CN"/>
        </w:rPr>
      </w:pPr>
      <w:bookmarkStart w:id="121" w:name="_Toc66633334"/>
      <w:bookmarkStart w:id="122" w:name="_Toc11684"/>
      <w:r>
        <w:rPr>
          <w:rFonts w:hint="eastAsia" w:ascii="仿宋_GB2312" w:hAnsi="仿宋_GB2312" w:eastAsia="仿宋_GB2312" w:cs="仿宋_GB2312"/>
          <w:lang w:val="en-US" w:eastAsia="zh-CN"/>
        </w:rPr>
        <w:t>2.4.10除盐水系统</w:t>
      </w:r>
      <w:bookmarkEnd w:id="121"/>
      <w:bookmarkEnd w:id="122"/>
    </w:p>
    <w:p w14:paraId="4DC19BB9">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采用“二级RO+EDI”化学水处理工艺，以保证系统产出稳定合格的除盐水供余热锅炉系统及脱硝系统用水水质和水量的要求。</w:t>
      </w:r>
    </w:p>
    <w:p w14:paraId="38816672">
      <w:pPr>
        <w:pStyle w:val="29"/>
        <w:bidi w:val="0"/>
        <w:rPr>
          <w:rFonts w:hint="eastAsia" w:ascii="仿宋_GB2312" w:hAnsi="仿宋_GB2312" w:eastAsia="仿宋_GB2312" w:cs="仿宋_GB2312"/>
          <w:lang w:val="en-US" w:eastAsia="zh-CN"/>
        </w:rPr>
      </w:pPr>
      <w:bookmarkStart w:id="123" w:name="_Toc66633335"/>
      <w:bookmarkStart w:id="124" w:name="_Toc2496"/>
      <w:r>
        <w:rPr>
          <w:rFonts w:hint="eastAsia" w:ascii="仿宋_GB2312" w:hAnsi="仿宋_GB2312" w:eastAsia="仿宋_GB2312" w:cs="仿宋_GB2312"/>
          <w:lang w:val="en-US" w:eastAsia="zh-CN"/>
        </w:rPr>
        <w:t>2.4.11空压站</w:t>
      </w:r>
      <w:bookmarkEnd w:id="123"/>
      <w:bookmarkEnd w:id="124"/>
    </w:p>
    <w:p w14:paraId="4DE4E70B">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主厂房内建一座空压站。空气经螺杆压缩机加压为设计需要的压力后接入C型储气罐，然后经粗过滤器后进入冷冻式干燥机，再经过精过滤器进入吸附式干燥机，最后经过超精过滤器后由管道送至用气设备的压缩空气进口处。</w:t>
      </w:r>
    </w:p>
    <w:p w14:paraId="7B3B5BE4">
      <w:pPr>
        <w:pStyle w:val="29"/>
        <w:bidi w:val="0"/>
        <w:rPr>
          <w:rFonts w:hint="eastAsia" w:ascii="仿宋_GB2312" w:hAnsi="仿宋_GB2312" w:eastAsia="仿宋_GB2312" w:cs="仿宋_GB2312"/>
          <w:lang w:val="en-US" w:eastAsia="zh-CN"/>
        </w:rPr>
      </w:pPr>
      <w:bookmarkStart w:id="125" w:name="_Toc29073"/>
      <w:bookmarkStart w:id="126" w:name="_Toc66633336"/>
      <w:r>
        <w:rPr>
          <w:rFonts w:hint="eastAsia" w:ascii="仿宋_GB2312" w:hAnsi="仿宋_GB2312" w:eastAsia="仿宋_GB2312" w:cs="仿宋_GB2312"/>
          <w:lang w:val="en-US" w:eastAsia="zh-CN"/>
        </w:rPr>
        <w:t>2.4.12沼气处理系统</w:t>
      </w:r>
      <w:bookmarkEnd w:id="125"/>
      <w:bookmarkEnd w:id="126"/>
    </w:p>
    <w:p w14:paraId="3C2FD756">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本项目设置了一个处理能力为200m</w:t>
      </w:r>
      <w:r>
        <w:rPr>
          <w:rFonts w:hint="eastAsia" w:ascii="仿宋_GB2312" w:hAnsi="仿宋_GB2312" w:eastAsia="仿宋_GB2312" w:cs="仿宋_GB2312"/>
          <w:vertAlign w:val="superscript"/>
          <w:lang w:eastAsia="zh-CN"/>
        </w:rPr>
        <w:t>3</w:t>
      </w:r>
      <w:r>
        <w:rPr>
          <w:rFonts w:hint="eastAsia" w:ascii="仿宋_GB2312" w:hAnsi="仿宋_GB2312" w:eastAsia="仿宋_GB2312" w:cs="仿宋_GB2312"/>
          <w:lang w:eastAsia="zh-CN"/>
        </w:rPr>
        <w:t>/h的沼气燃烧器全封闭式非明火燃烧处理。沼气火炬燃烧装置备有自动启动功能，在检测到沼气产生后，将自动启动沼气燃烧器。沼气燃烧器设计能力可满足全部气体产量的处置需要，避免出现沼气外漏的情况。</w:t>
      </w:r>
    </w:p>
    <w:p w14:paraId="17570BA3">
      <w:pPr>
        <w:pStyle w:val="29"/>
        <w:bidi w:val="0"/>
        <w:rPr>
          <w:rFonts w:hint="eastAsia" w:ascii="仿宋_GB2312" w:hAnsi="仿宋_GB2312" w:eastAsia="仿宋_GB2312" w:cs="仿宋_GB2312"/>
          <w:lang w:val="en-US" w:eastAsia="zh-CN"/>
        </w:rPr>
      </w:pPr>
      <w:bookmarkStart w:id="127" w:name="_Toc66633337"/>
      <w:bookmarkStart w:id="128" w:name="_Toc20637"/>
      <w:r>
        <w:rPr>
          <w:rFonts w:hint="eastAsia" w:ascii="仿宋_GB2312" w:hAnsi="仿宋_GB2312" w:eastAsia="仿宋_GB2312" w:cs="仿宋_GB2312"/>
          <w:lang w:val="en-US" w:eastAsia="zh-CN"/>
        </w:rPr>
        <w:t>2.4.13净水站</w:t>
      </w:r>
      <w:bookmarkEnd w:id="127"/>
      <w:bookmarkEnd w:id="128"/>
    </w:p>
    <w:p w14:paraId="33021D96">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项目净水站采用多介质过滤+消毒的一体化净水装置对新鲜水进行处理后即可满足生产用水需要。全厂设置1套净水装置提供生产用水。设备初次运行时产生的少量反冲洗水为清净下水，直接排入雨水管网。</w:t>
      </w:r>
    </w:p>
    <w:p w14:paraId="3F9FAB98">
      <w:pPr>
        <w:pStyle w:val="25"/>
        <w:keepNext/>
        <w:keepLines/>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602" w:firstLineChars="200"/>
        <w:jc w:val="both"/>
        <w:textAlignment w:val="auto"/>
        <w:rPr>
          <w:rFonts w:hint="eastAsia" w:ascii="仿宋_GB2312" w:hAnsi="仿宋_GB2312" w:eastAsia="仿宋_GB2312" w:cs="仿宋_GB2312"/>
        </w:rPr>
      </w:pPr>
      <w:bookmarkStart w:id="129" w:name="bookmark141"/>
      <w:bookmarkStart w:id="130" w:name="bookmark144"/>
      <w:bookmarkStart w:id="131" w:name="bookmark142"/>
      <w:bookmarkStart w:id="132" w:name="_Toc3886"/>
      <w:r>
        <w:rPr>
          <w:rFonts w:hint="eastAsia" w:ascii="仿宋_GB2312" w:hAnsi="仿宋_GB2312" w:eastAsia="仿宋_GB2312" w:cs="仿宋_GB2312"/>
          <w:color w:val="000000"/>
          <w:spacing w:val="0"/>
          <w:w w:val="100"/>
          <w:position w:val="0"/>
          <w:lang w:val="en-US" w:eastAsia="en-US" w:bidi="en-US"/>
        </w:rPr>
        <w:t>2.</w:t>
      </w:r>
      <w:r>
        <w:rPr>
          <w:rFonts w:hint="eastAsia" w:ascii="仿宋_GB2312" w:hAnsi="仿宋_GB2312" w:eastAsia="仿宋_GB2312" w:cs="仿宋_GB2312"/>
          <w:color w:val="000000"/>
          <w:spacing w:val="0"/>
          <w:w w:val="100"/>
          <w:position w:val="0"/>
          <w:lang w:val="zh-CN" w:eastAsia="zh-CN" w:bidi="zh-CN"/>
        </w:rPr>
        <w:t>5</w:t>
      </w:r>
      <w:r>
        <w:rPr>
          <w:rFonts w:hint="eastAsia" w:ascii="仿宋_GB2312" w:hAnsi="仿宋_GB2312" w:eastAsia="仿宋_GB2312" w:cs="仿宋_GB2312"/>
          <w:color w:val="000000"/>
          <w:spacing w:val="0"/>
          <w:w w:val="100"/>
          <w:position w:val="0"/>
        </w:rPr>
        <w:t>涉及的</w:t>
      </w:r>
      <w:bookmarkEnd w:id="129"/>
      <w:bookmarkEnd w:id="130"/>
      <w:bookmarkEnd w:id="131"/>
      <w:r>
        <w:rPr>
          <w:rFonts w:hint="eastAsia" w:ascii="仿宋_GB2312" w:hAnsi="仿宋_GB2312" w:eastAsia="仿宋_GB2312" w:cs="仿宋_GB2312"/>
          <w:lang w:val="en-US" w:eastAsia="zh-CN"/>
        </w:rPr>
        <w:t>化学品信息</w:t>
      </w:r>
      <w:bookmarkEnd w:id="132"/>
    </w:p>
    <w:p w14:paraId="57192656">
      <w:pPr>
        <w:pStyle w:val="29"/>
        <w:bidi w:val="0"/>
        <w:rPr>
          <w:rFonts w:hint="eastAsia" w:ascii="仿宋_GB2312" w:hAnsi="仿宋_GB2312" w:eastAsia="仿宋_GB2312" w:cs="仿宋_GB2312"/>
          <w:lang w:val="en-US" w:eastAsia="zh-CN"/>
        </w:rPr>
      </w:pPr>
      <w:bookmarkStart w:id="133" w:name="_Toc8906"/>
      <w:r>
        <w:rPr>
          <w:rFonts w:hint="eastAsia" w:ascii="仿宋_GB2312" w:hAnsi="仿宋_GB2312" w:eastAsia="仿宋_GB2312" w:cs="仿宋_GB2312"/>
          <w:lang w:val="en-US" w:eastAsia="zh-CN"/>
        </w:rPr>
        <w:t>2.5.1分析结果</w:t>
      </w:r>
      <w:bookmarkEnd w:id="133"/>
    </w:p>
    <w:p w14:paraId="07D66F9A">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本公司涉及的化学品信息，特别是有毒有害物质生产、使用、转运、储存等情况见下表。</w:t>
      </w:r>
    </w:p>
    <w:p w14:paraId="3653D03E">
      <w:pPr>
        <w:pStyle w:val="27"/>
        <w:bidi w:val="0"/>
        <w:ind w:left="0" w:leftChars="0" w:firstLine="0" w:firstLineChars="0"/>
        <w:jc w:val="center"/>
        <w:rPr>
          <w:rFonts w:hint="eastAsia"/>
          <w:sz w:val="24"/>
          <w:szCs w:val="24"/>
          <w:lang w:val="en-US" w:eastAsia="zh-CN"/>
        </w:rPr>
      </w:pPr>
      <w:r>
        <w:rPr>
          <w:rFonts w:hint="eastAsia" w:ascii="仿宋_GB2312" w:hAnsi="仿宋_GB2312" w:eastAsia="仿宋_GB2312" w:cs="仿宋_GB2312"/>
          <w:sz w:val="24"/>
          <w:szCs w:val="24"/>
          <w:lang w:val="en-US" w:eastAsia="zh-CN"/>
        </w:rPr>
        <w:t>环境风险单元分析结果</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1853"/>
        <w:gridCol w:w="2412"/>
        <w:gridCol w:w="1921"/>
        <w:gridCol w:w="1114"/>
      </w:tblGrid>
      <w:tr w14:paraId="22E00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830" w:type="dxa"/>
            <w:noWrap w:val="0"/>
            <w:vAlign w:val="center"/>
          </w:tcPr>
          <w:p w14:paraId="38F461FC">
            <w:pPr>
              <w:widowControl w:val="0"/>
              <w:ind w:firstLine="0" w:firstLineChars="0"/>
              <w:jc w:val="center"/>
              <w:rPr>
                <w:rFonts w:hint="eastAsia" w:ascii="仿宋_GB2312" w:hAnsi="仿宋_GB2312" w:eastAsia="仿宋_GB2312" w:cs="仿宋_GB2312"/>
                <w:b w:val="0"/>
                <w:color w:val="auto"/>
                <w:kern w:val="2"/>
                <w:sz w:val="21"/>
                <w:szCs w:val="21"/>
                <w:lang w:val="en-US" w:eastAsia="zh-CN" w:bidi="ar-SA"/>
              </w:rPr>
            </w:pPr>
            <w:bookmarkStart w:id="134" w:name="_Hlk512260713"/>
            <w:r>
              <w:rPr>
                <w:rFonts w:hint="eastAsia" w:ascii="仿宋_GB2312" w:hAnsi="仿宋_GB2312" w:eastAsia="仿宋_GB2312" w:cs="仿宋_GB2312"/>
                <w:b w:val="0"/>
                <w:color w:val="auto"/>
                <w:kern w:val="2"/>
                <w:sz w:val="21"/>
                <w:szCs w:val="21"/>
                <w:lang w:val="en-US" w:eastAsia="zh-CN" w:bidi="ar-SA"/>
              </w:rPr>
              <w:t>序号</w:t>
            </w:r>
          </w:p>
        </w:tc>
        <w:tc>
          <w:tcPr>
            <w:tcW w:w="1853" w:type="dxa"/>
            <w:noWrap w:val="0"/>
            <w:vAlign w:val="center"/>
          </w:tcPr>
          <w:p w14:paraId="2B371E63">
            <w:pPr>
              <w:widowControl w:val="0"/>
              <w:ind w:firstLine="420" w:firstLineChars="200"/>
              <w:jc w:val="both"/>
              <w:rPr>
                <w:rFonts w:hint="eastAsia" w:ascii="仿宋_GB2312" w:hAnsi="仿宋_GB2312" w:eastAsia="仿宋_GB2312" w:cs="仿宋_GB2312"/>
                <w:b w:val="0"/>
                <w:color w:val="auto"/>
                <w:kern w:val="2"/>
                <w:sz w:val="21"/>
                <w:szCs w:val="21"/>
                <w:lang w:val="en-US" w:eastAsia="zh-CN" w:bidi="ar-SA"/>
              </w:rPr>
            </w:pPr>
            <w:r>
              <w:rPr>
                <w:rFonts w:hint="eastAsia" w:ascii="仿宋_GB2312" w:hAnsi="仿宋_GB2312" w:eastAsia="仿宋_GB2312" w:cs="仿宋_GB2312"/>
                <w:b w:val="0"/>
                <w:color w:val="auto"/>
                <w:kern w:val="2"/>
                <w:sz w:val="21"/>
                <w:szCs w:val="21"/>
                <w:lang w:val="en-US" w:eastAsia="zh-CN" w:bidi="ar-SA"/>
              </w:rPr>
              <w:t>风险装置</w:t>
            </w:r>
          </w:p>
        </w:tc>
        <w:tc>
          <w:tcPr>
            <w:tcW w:w="2412" w:type="dxa"/>
            <w:noWrap w:val="0"/>
            <w:vAlign w:val="center"/>
          </w:tcPr>
          <w:p w14:paraId="136F29B2">
            <w:pPr>
              <w:widowControl w:val="0"/>
              <w:ind w:firstLine="420" w:firstLineChars="200"/>
              <w:jc w:val="both"/>
              <w:rPr>
                <w:rFonts w:hint="eastAsia" w:ascii="仿宋_GB2312" w:hAnsi="仿宋_GB2312" w:eastAsia="仿宋_GB2312" w:cs="仿宋_GB2312"/>
                <w:b w:val="0"/>
                <w:color w:val="auto"/>
                <w:kern w:val="2"/>
                <w:sz w:val="21"/>
                <w:szCs w:val="21"/>
                <w:lang w:val="en-US" w:eastAsia="zh-CN" w:bidi="ar-SA"/>
              </w:rPr>
            </w:pPr>
            <w:r>
              <w:rPr>
                <w:rFonts w:hint="eastAsia" w:ascii="仿宋_GB2312" w:hAnsi="仿宋_GB2312" w:eastAsia="仿宋_GB2312" w:cs="仿宋_GB2312"/>
                <w:b w:val="0"/>
                <w:color w:val="auto"/>
                <w:kern w:val="2"/>
                <w:sz w:val="21"/>
                <w:szCs w:val="21"/>
                <w:lang w:val="en-US" w:eastAsia="zh-CN" w:bidi="ar-SA"/>
              </w:rPr>
              <w:t>涉及风险物质</w:t>
            </w:r>
          </w:p>
        </w:tc>
        <w:tc>
          <w:tcPr>
            <w:tcW w:w="1921" w:type="dxa"/>
            <w:noWrap w:val="0"/>
            <w:vAlign w:val="center"/>
          </w:tcPr>
          <w:p w14:paraId="7AAFA223">
            <w:pPr>
              <w:widowControl w:val="0"/>
              <w:ind w:firstLine="0" w:firstLineChars="0"/>
              <w:jc w:val="center"/>
              <w:rPr>
                <w:rFonts w:hint="eastAsia" w:ascii="仿宋_GB2312" w:hAnsi="仿宋_GB2312" w:eastAsia="仿宋_GB2312" w:cs="仿宋_GB2312"/>
                <w:b w:val="0"/>
                <w:color w:val="auto"/>
                <w:kern w:val="2"/>
                <w:sz w:val="21"/>
                <w:szCs w:val="21"/>
                <w:lang w:val="en-US" w:eastAsia="zh-CN" w:bidi="ar-SA"/>
              </w:rPr>
            </w:pPr>
            <w:r>
              <w:rPr>
                <w:rFonts w:hint="eastAsia" w:ascii="仿宋_GB2312" w:hAnsi="仿宋_GB2312" w:eastAsia="仿宋_GB2312" w:cs="仿宋_GB2312"/>
                <w:b w:val="0"/>
                <w:color w:val="auto"/>
                <w:kern w:val="2"/>
                <w:sz w:val="21"/>
                <w:szCs w:val="21"/>
                <w:lang w:val="en-US" w:eastAsia="zh-CN" w:bidi="ar-SA"/>
              </w:rPr>
              <w:t>风险类型</w:t>
            </w:r>
          </w:p>
        </w:tc>
        <w:tc>
          <w:tcPr>
            <w:tcW w:w="1114" w:type="dxa"/>
            <w:noWrap w:val="0"/>
            <w:vAlign w:val="center"/>
          </w:tcPr>
          <w:p w14:paraId="5F5EB663">
            <w:pPr>
              <w:widowControl w:val="0"/>
              <w:ind w:firstLine="0" w:firstLineChars="0"/>
              <w:jc w:val="both"/>
              <w:rPr>
                <w:rFonts w:hint="eastAsia" w:ascii="仿宋_GB2312" w:hAnsi="仿宋_GB2312" w:eastAsia="仿宋_GB2312" w:cs="仿宋_GB2312"/>
                <w:b w:val="0"/>
                <w:color w:val="auto"/>
                <w:kern w:val="2"/>
                <w:sz w:val="21"/>
                <w:szCs w:val="21"/>
                <w:lang w:val="en-US" w:eastAsia="zh-CN" w:bidi="ar-SA"/>
              </w:rPr>
            </w:pPr>
            <w:r>
              <w:rPr>
                <w:rFonts w:hint="eastAsia" w:ascii="仿宋_GB2312" w:hAnsi="仿宋_GB2312" w:eastAsia="仿宋_GB2312" w:cs="仿宋_GB2312"/>
                <w:b w:val="0"/>
                <w:color w:val="auto"/>
                <w:kern w:val="2"/>
                <w:sz w:val="21"/>
                <w:szCs w:val="21"/>
                <w:lang w:val="en-US" w:eastAsia="zh-CN" w:bidi="ar-SA"/>
              </w:rPr>
              <w:t>是否风险单元</w:t>
            </w:r>
          </w:p>
        </w:tc>
      </w:tr>
      <w:tr w14:paraId="15A51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830" w:type="dxa"/>
            <w:noWrap w:val="0"/>
            <w:vAlign w:val="center"/>
          </w:tcPr>
          <w:p w14:paraId="6D048B96">
            <w:pPr>
              <w:widowControl w:val="0"/>
              <w:ind w:firstLine="0" w:firstLineChars="0"/>
              <w:jc w:val="center"/>
              <w:rPr>
                <w:rFonts w:hint="eastAsia" w:ascii="仿宋_GB2312" w:hAnsi="仿宋_GB2312" w:eastAsia="仿宋_GB2312" w:cs="仿宋_GB2312"/>
                <w:b w:val="0"/>
                <w:color w:val="auto"/>
                <w:kern w:val="2"/>
                <w:sz w:val="21"/>
                <w:szCs w:val="21"/>
                <w:lang w:val="en-US" w:eastAsia="zh-CN" w:bidi="ar-SA"/>
              </w:rPr>
            </w:pPr>
            <w:r>
              <w:rPr>
                <w:rFonts w:hint="eastAsia" w:ascii="仿宋_GB2312" w:hAnsi="仿宋_GB2312" w:eastAsia="仿宋_GB2312" w:cs="仿宋_GB2312"/>
                <w:b w:val="0"/>
                <w:color w:val="auto"/>
                <w:kern w:val="2"/>
                <w:sz w:val="21"/>
                <w:szCs w:val="21"/>
                <w:lang w:val="en-US" w:eastAsia="zh-CN" w:bidi="ar-SA"/>
              </w:rPr>
              <w:t>1</w:t>
            </w:r>
          </w:p>
        </w:tc>
        <w:tc>
          <w:tcPr>
            <w:tcW w:w="1853" w:type="dxa"/>
            <w:noWrap w:val="0"/>
            <w:vAlign w:val="center"/>
          </w:tcPr>
          <w:p w14:paraId="1A66924E">
            <w:pPr>
              <w:widowControl w:val="0"/>
              <w:ind w:firstLine="0" w:firstLineChars="0"/>
              <w:jc w:val="center"/>
              <w:rPr>
                <w:rFonts w:hint="eastAsia" w:ascii="仿宋_GB2312" w:hAnsi="仿宋_GB2312" w:eastAsia="仿宋_GB2312" w:cs="仿宋_GB2312"/>
                <w:b w:val="0"/>
                <w:color w:val="auto"/>
                <w:kern w:val="2"/>
                <w:sz w:val="21"/>
                <w:szCs w:val="21"/>
                <w:lang w:val="en-US" w:eastAsia="zh-CN" w:bidi="ar-SA"/>
              </w:rPr>
            </w:pPr>
            <w:r>
              <w:rPr>
                <w:rFonts w:hint="eastAsia" w:ascii="仿宋_GB2312" w:hAnsi="仿宋_GB2312" w:eastAsia="仿宋_GB2312" w:cs="仿宋_GB2312"/>
                <w:b w:val="0"/>
                <w:color w:val="auto"/>
                <w:kern w:val="2"/>
                <w:sz w:val="21"/>
                <w:szCs w:val="21"/>
                <w:lang w:val="en-US" w:eastAsia="zh-CN" w:bidi="ar-SA"/>
              </w:rPr>
              <w:t>柴油储罐</w:t>
            </w:r>
          </w:p>
        </w:tc>
        <w:tc>
          <w:tcPr>
            <w:tcW w:w="2412" w:type="dxa"/>
            <w:noWrap w:val="0"/>
            <w:vAlign w:val="center"/>
          </w:tcPr>
          <w:p w14:paraId="35BABC99">
            <w:pPr>
              <w:widowControl w:val="0"/>
              <w:ind w:firstLine="0" w:firstLineChars="0"/>
              <w:jc w:val="center"/>
              <w:rPr>
                <w:rFonts w:hint="eastAsia" w:ascii="仿宋_GB2312" w:hAnsi="仿宋_GB2312" w:eastAsia="仿宋_GB2312" w:cs="仿宋_GB2312"/>
                <w:b w:val="0"/>
                <w:color w:val="auto"/>
                <w:kern w:val="2"/>
                <w:sz w:val="21"/>
                <w:szCs w:val="21"/>
                <w:lang w:val="en-US" w:eastAsia="zh-CN" w:bidi="ar-SA"/>
              </w:rPr>
            </w:pPr>
            <w:r>
              <w:rPr>
                <w:rFonts w:hint="eastAsia" w:ascii="仿宋_GB2312" w:hAnsi="仿宋_GB2312" w:eastAsia="仿宋_GB2312" w:cs="仿宋_GB2312"/>
                <w:b w:val="0"/>
                <w:color w:val="auto"/>
                <w:kern w:val="2"/>
                <w:sz w:val="21"/>
                <w:szCs w:val="21"/>
                <w:lang w:val="en-US" w:eastAsia="zh-CN" w:bidi="ar-SA"/>
              </w:rPr>
              <w:t>柴油</w:t>
            </w:r>
          </w:p>
        </w:tc>
        <w:tc>
          <w:tcPr>
            <w:tcW w:w="1921" w:type="dxa"/>
            <w:noWrap w:val="0"/>
            <w:vAlign w:val="center"/>
          </w:tcPr>
          <w:p w14:paraId="3A7E850B">
            <w:pPr>
              <w:widowControl w:val="0"/>
              <w:ind w:firstLine="0" w:firstLineChars="0"/>
              <w:jc w:val="center"/>
              <w:rPr>
                <w:rFonts w:hint="eastAsia" w:ascii="仿宋_GB2312" w:hAnsi="仿宋_GB2312" w:eastAsia="仿宋_GB2312" w:cs="仿宋_GB2312"/>
                <w:b w:val="0"/>
                <w:color w:val="auto"/>
                <w:kern w:val="2"/>
                <w:sz w:val="21"/>
                <w:szCs w:val="21"/>
                <w:lang w:val="en-US" w:eastAsia="zh-CN" w:bidi="ar-SA"/>
              </w:rPr>
            </w:pPr>
            <w:r>
              <w:rPr>
                <w:rFonts w:hint="eastAsia" w:ascii="仿宋_GB2312" w:hAnsi="仿宋_GB2312" w:eastAsia="仿宋_GB2312" w:cs="仿宋_GB2312"/>
                <w:b w:val="0"/>
                <w:color w:val="auto"/>
                <w:kern w:val="2"/>
                <w:sz w:val="21"/>
                <w:szCs w:val="21"/>
                <w:lang w:val="en-US" w:eastAsia="zh-CN" w:bidi="ar-SA"/>
              </w:rPr>
              <w:t>泄漏、火灾、爆炸</w:t>
            </w:r>
          </w:p>
        </w:tc>
        <w:tc>
          <w:tcPr>
            <w:tcW w:w="1114" w:type="dxa"/>
            <w:noWrap w:val="0"/>
            <w:vAlign w:val="center"/>
          </w:tcPr>
          <w:p w14:paraId="66739351">
            <w:pPr>
              <w:widowControl w:val="0"/>
              <w:ind w:firstLine="0" w:firstLineChars="0"/>
              <w:jc w:val="center"/>
              <w:rPr>
                <w:rFonts w:hint="eastAsia" w:ascii="仿宋_GB2312" w:hAnsi="仿宋_GB2312" w:eastAsia="仿宋_GB2312" w:cs="仿宋_GB2312"/>
                <w:b w:val="0"/>
                <w:color w:val="auto"/>
                <w:kern w:val="2"/>
                <w:sz w:val="21"/>
                <w:szCs w:val="21"/>
                <w:lang w:val="en-US" w:eastAsia="zh-CN" w:bidi="ar-SA"/>
              </w:rPr>
            </w:pPr>
            <w:r>
              <w:rPr>
                <w:rFonts w:hint="eastAsia" w:ascii="仿宋_GB2312" w:hAnsi="仿宋_GB2312" w:eastAsia="仿宋_GB2312" w:cs="仿宋_GB2312"/>
                <w:b w:val="0"/>
                <w:color w:val="auto"/>
                <w:kern w:val="2"/>
                <w:sz w:val="21"/>
                <w:szCs w:val="21"/>
                <w:lang w:val="en-US" w:eastAsia="zh-CN" w:bidi="ar-SA"/>
              </w:rPr>
              <w:t>是</w:t>
            </w:r>
          </w:p>
        </w:tc>
      </w:tr>
      <w:tr w14:paraId="6EB61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830" w:type="dxa"/>
            <w:noWrap w:val="0"/>
            <w:vAlign w:val="center"/>
          </w:tcPr>
          <w:p w14:paraId="64C713BE">
            <w:pPr>
              <w:widowControl w:val="0"/>
              <w:ind w:firstLine="0" w:firstLineChars="0"/>
              <w:jc w:val="center"/>
              <w:rPr>
                <w:rFonts w:hint="eastAsia" w:ascii="仿宋_GB2312" w:hAnsi="仿宋_GB2312" w:eastAsia="仿宋_GB2312" w:cs="仿宋_GB2312"/>
                <w:b w:val="0"/>
                <w:color w:val="auto"/>
                <w:kern w:val="2"/>
                <w:sz w:val="21"/>
                <w:szCs w:val="21"/>
                <w:lang w:val="en-US" w:eastAsia="zh-CN" w:bidi="ar-SA"/>
              </w:rPr>
            </w:pPr>
            <w:r>
              <w:rPr>
                <w:rFonts w:hint="eastAsia" w:ascii="仿宋_GB2312" w:hAnsi="仿宋_GB2312" w:eastAsia="仿宋_GB2312" w:cs="仿宋_GB2312"/>
                <w:b w:val="0"/>
                <w:color w:val="auto"/>
                <w:kern w:val="2"/>
                <w:sz w:val="21"/>
                <w:szCs w:val="21"/>
                <w:lang w:val="en-US" w:eastAsia="zh-CN" w:bidi="ar-SA"/>
              </w:rPr>
              <w:t>2</w:t>
            </w:r>
          </w:p>
        </w:tc>
        <w:tc>
          <w:tcPr>
            <w:tcW w:w="1853" w:type="dxa"/>
            <w:noWrap w:val="0"/>
            <w:vAlign w:val="center"/>
          </w:tcPr>
          <w:p w14:paraId="55330D96">
            <w:pPr>
              <w:widowControl w:val="0"/>
              <w:ind w:firstLine="0" w:firstLineChars="0"/>
              <w:jc w:val="center"/>
              <w:rPr>
                <w:rFonts w:hint="eastAsia" w:ascii="仿宋_GB2312" w:hAnsi="仿宋_GB2312" w:eastAsia="仿宋_GB2312" w:cs="仿宋_GB2312"/>
                <w:b w:val="0"/>
                <w:color w:val="auto"/>
                <w:kern w:val="2"/>
                <w:sz w:val="21"/>
                <w:szCs w:val="21"/>
                <w:lang w:val="en-US" w:eastAsia="zh-CN" w:bidi="ar-SA"/>
              </w:rPr>
            </w:pPr>
            <w:r>
              <w:rPr>
                <w:rFonts w:hint="eastAsia" w:ascii="仿宋_GB2312" w:hAnsi="仿宋_GB2312" w:eastAsia="仿宋_GB2312" w:cs="仿宋_GB2312"/>
                <w:b w:val="0"/>
                <w:color w:val="auto"/>
                <w:kern w:val="2"/>
                <w:sz w:val="21"/>
                <w:szCs w:val="21"/>
                <w:lang w:val="en-US" w:eastAsia="zh-CN" w:bidi="ar-SA"/>
              </w:rPr>
              <w:t>氨水储罐</w:t>
            </w:r>
          </w:p>
        </w:tc>
        <w:tc>
          <w:tcPr>
            <w:tcW w:w="2412" w:type="dxa"/>
            <w:noWrap w:val="0"/>
            <w:vAlign w:val="center"/>
          </w:tcPr>
          <w:p w14:paraId="17225B3B">
            <w:pPr>
              <w:widowControl w:val="0"/>
              <w:ind w:firstLine="0" w:firstLineChars="0"/>
              <w:jc w:val="center"/>
              <w:rPr>
                <w:rFonts w:hint="eastAsia" w:ascii="仿宋_GB2312" w:hAnsi="仿宋_GB2312" w:eastAsia="仿宋_GB2312" w:cs="仿宋_GB2312"/>
                <w:b w:val="0"/>
                <w:color w:val="auto"/>
                <w:kern w:val="2"/>
                <w:sz w:val="21"/>
                <w:szCs w:val="21"/>
                <w:lang w:val="en-US" w:eastAsia="zh-CN" w:bidi="ar-SA"/>
              </w:rPr>
            </w:pPr>
            <w:r>
              <w:rPr>
                <w:rFonts w:hint="eastAsia" w:ascii="仿宋_GB2312" w:hAnsi="仿宋_GB2312" w:eastAsia="仿宋_GB2312" w:cs="仿宋_GB2312"/>
                <w:b w:val="0"/>
                <w:color w:val="auto"/>
                <w:kern w:val="2"/>
                <w:sz w:val="21"/>
                <w:szCs w:val="21"/>
                <w:lang w:val="en-US" w:eastAsia="zh-CN" w:bidi="ar-SA"/>
              </w:rPr>
              <w:t>氨水</w:t>
            </w:r>
          </w:p>
        </w:tc>
        <w:tc>
          <w:tcPr>
            <w:tcW w:w="1921" w:type="dxa"/>
            <w:noWrap w:val="0"/>
            <w:vAlign w:val="center"/>
          </w:tcPr>
          <w:p w14:paraId="72392D46">
            <w:pPr>
              <w:widowControl w:val="0"/>
              <w:ind w:firstLine="0" w:firstLineChars="0"/>
              <w:jc w:val="center"/>
              <w:rPr>
                <w:rFonts w:hint="eastAsia" w:ascii="仿宋_GB2312" w:hAnsi="仿宋_GB2312" w:eastAsia="仿宋_GB2312" w:cs="仿宋_GB2312"/>
                <w:b w:val="0"/>
                <w:color w:val="auto"/>
                <w:kern w:val="2"/>
                <w:sz w:val="21"/>
                <w:szCs w:val="21"/>
                <w:lang w:val="en-US" w:eastAsia="zh-CN" w:bidi="ar-SA"/>
              </w:rPr>
            </w:pPr>
            <w:r>
              <w:rPr>
                <w:rFonts w:hint="eastAsia" w:ascii="仿宋_GB2312" w:hAnsi="仿宋_GB2312" w:eastAsia="仿宋_GB2312" w:cs="仿宋_GB2312"/>
                <w:b w:val="0"/>
                <w:color w:val="auto"/>
                <w:kern w:val="2"/>
                <w:sz w:val="21"/>
                <w:szCs w:val="21"/>
                <w:lang w:val="en-US" w:eastAsia="zh-CN" w:bidi="ar-SA"/>
              </w:rPr>
              <w:t>泄漏</w:t>
            </w:r>
          </w:p>
        </w:tc>
        <w:tc>
          <w:tcPr>
            <w:tcW w:w="1114" w:type="dxa"/>
            <w:noWrap w:val="0"/>
            <w:vAlign w:val="center"/>
          </w:tcPr>
          <w:p w14:paraId="20E3D68E">
            <w:pPr>
              <w:widowControl w:val="0"/>
              <w:ind w:firstLine="0" w:firstLineChars="0"/>
              <w:jc w:val="center"/>
              <w:rPr>
                <w:rFonts w:hint="eastAsia" w:ascii="仿宋_GB2312" w:hAnsi="仿宋_GB2312" w:eastAsia="仿宋_GB2312" w:cs="仿宋_GB2312"/>
                <w:b w:val="0"/>
                <w:color w:val="auto"/>
                <w:kern w:val="2"/>
                <w:sz w:val="21"/>
                <w:szCs w:val="21"/>
                <w:lang w:val="en-US" w:eastAsia="zh-CN" w:bidi="ar-SA"/>
              </w:rPr>
            </w:pPr>
            <w:r>
              <w:rPr>
                <w:rFonts w:hint="eastAsia" w:ascii="仿宋_GB2312" w:hAnsi="仿宋_GB2312" w:eastAsia="仿宋_GB2312" w:cs="仿宋_GB2312"/>
                <w:b w:val="0"/>
                <w:color w:val="auto"/>
                <w:kern w:val="2"/>
                <w:sz w:val="21"/>
                <w:szCs w:val="21"/>
                <w:lang w:val="en-US" w:eastAsia="zh-CN" w:bidi="ar-SA"/>
              </w:rPr>
              <w:t>是</w:t>
            </w:r>
          </w:p>
        </w:tc>
      </w:tr>
      <w:tr w14:paraId="44C33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830" w:type="dxa"/>
            <w:noWrap w:val="0"/>
            <w:vAlign w:val="center"/>
          </w:tcPr>
          <w:p w14:paraId="00EB3519">
            <w:pPr>
              <w:widowControl w:val="0"/>
              <w:ind w:firstLine="0" w:firstLineChars="0"/>
              <w:jc w:val="center"/>
              <w:rPr>
                <w:rFonts w:hint="eastAsia" w:ascii="仿宋_GB2312" w:hAnsi="仿宋_GB2312" w:eastAsia="仿宋_GB2312" w:cs="仿宋_GB2312"/>
                <w:b w:val="0"/>
                <w:color w:val="auto"/>
                <w:kern w:val="2"/>
                <w:sz w:val="21"/>
                <w:szCs w:val="21"/>
                <w:lang w:val="en-US" w:eastAsia="zh-CN" w:bidi="ar-SA"/>
              </w:rPr>
            </w:pPr>
            <w:r>
              <w:rPr>
                <w:rFonts w:hint="eastAsia" w:ascii="仿宋_GB2312" w:hAnsi="仿宋_GB2312" w:eastAsia="仿宋_GB2312" w:cs="仿宋_GB2312"/>
                <w:b w:val="0"/>
                <w:color w:val="auto"/>
                <w:kern w:val="2"/>
                <w:sz w:val="21"/>
                <w:szCs w:val="21"/>
                <w:lang w:val="en-US" w:eastAsia="zh-CN" w:bidi="ar-SA"/>
              </w:rPr>
              <w:t>3</w:t>
            </w:r>
          </w:p>
        </w:tc>
        <w:tc>
          <w:tcPr>
            <w:tcW w:w="1853" w:type="dxa"/>
            <w:noWrap w:val="0"/>
            <w:vAlign w:val="center"/>
          </w:tcPr>
          <w:p w14:paraId="7C1DE025">
            <w:pPr>
              <w:widowControl w:val="0"/>
              <w:ind w:firstLine="0" w:firstLineChars="0"/>
              <w:jc w:val="center"/>
              <w:rPr>
                <w:rFonts w:hint="eastAsia" w:ascii="仿宋_GB2312" w:hAnsi="仿宋_GB2312" w:eastAsia="仿宋_GB2312" w:cs="仿宋_GB2312"/>
                <w:b w:val="0"/>
                <w:color w:val="auto"/>
                <w:kern w:val="2"/>
                <w:sz w:val="21"/>
                <w:szCs w:val="21"/>
                <w:lang w:val="en-US" w:eastAsia="zh-CN" w:bidi="ar-SA"/>
              </w:rPr>
            </w:pPr>
            <w:r>
              <w:rPr>
                <w:rFonts w:hint="eastAsia" w:ascii="仿宋_GB2312" w:hAnsi="仿宋_GB2312" w:eastAsia="仿宋_GB2312" w:cs="仿宋_GB2312"/>
                <w:b w:val="0"/>
                <w:color w:val="auto"/>
                <w:kern w:val="2"/>
                <w:sz w:val="21"/>
                <w:szCs w:val="21"/>
                <w:lang w:val="en-US" w:eastAsia="zh-CN" w:bidi="ar-SA"/>
              </w:rPr>
              <w:t>硫酸储罐</w:t>
            </w:r>
          </w:p>
        </w:tc>
        <w:tc>
          <w:tcPr>
            <w:tcW w:w="2412" w:type="dxa"/>
            <w:noWrap w:val="0"/>
            <w:vAlign w:val="center"/>
          </w:tcPr>
          <w:p w14:paraId="42BBF070">
            <w:pPr>
              <w:widowControl w:val="0"/>
              <w:ind w:firstLine="0" w:firstLineChars="0"/>
              <w:jc w:val="center"/>
              <w:rPr>
                <w:rFonts w:hint="eastAsia" w:ascii="仿宋_GB2312" w:hAnsi="仿宋_GB2312" w:eastAsia="仿宋_GB2312" w:cs="仿宋_GB2312"/>
                <w:b w:val="0"/>
                <w:color w:val="auto"/>
                <w:kern w:val="2"/>
                <w:sz w:val="21"/>
                <w:szCs w:val="21"/>
                <w:lang w:val="en-US" w:eastAsia="zh-CN" w:bidi="ar-SA"/>
              </w:rPr>
            </w:pPr>
            <w:r>
              <w:rPr>
                <w:rFonts w:hint="eastAsia" w:ascii="仿宋_GB2312" w:hAnsi="仿宋_GB2312" w:eastAsia="仿宋_GB2312" w:cs="仿宋_GB2312"/>
                <w:b w:val="0"/>
                <w:color w:val="auto"/>
                <w:kern w:val="2"/>
                <w:sz w:val="21"/>
                <w:szCs w:val="21"/>
                <w:lang w:val="en-US" w:eastAsia="zh-CN" w:bidi="ar-SA"/>
              </w:rPr>
              <w:t>硫酸</w:t>
            </w:r>
          </w:p>
        </w:tc>
        <w:tc>
          <w:tcPr>
            <w:tcW w:w="1921" w:type="dxa"/>
            <w:noWrap w:val="0"/>
            <w:vAlign w:val="center"/>
          </w:tcPr>
          <w:p w14:paraId="0AAF5C09">
            <w:pPr>
              <w:widowControl w:val="0"/>
              <w:ind w:firstLine="0" w:firstLineChars="0"/>
              <w:jc w:val="center"/>
              <w:rPr>
                <w:rFonts w:hint="eastAsia" w:ascii="仿宋_GB2312" w:hAnsi="仿宋_GB2312" w:eastAsia="仿宋_GB2312" w:cs="仿宋_GB2312"/>
                <w:b w:val="0"/>
                <w:color w:val="auto"/>
                <w:kern w:val="2"/>
                <w:sz w:val="21"/>
                <w:szCs w:val="21"/>
                <w:lang w:val="en-US" w:eastAsia="zh-CN" w:bidi="ar-SA"/>
              </w:rPr>
            </w:pPr>
            <w:r>
              <w:rPr>
                <w:rFonts w:hint="eastAsia" w:ascii="仿宋_GB2312" w:hAnsi="仿宋_GB2312" w:eastAsia="仿宋_GB2312" w:cs="仿宋_GB2312"/>
                <w:b w:val="0"/>
                <w:color w:val="auto"/>
                <w:kern w:val="2"/>
                <w:sz w:val="21"/>
                <w:szCs w:val="21"/>
                <w:lang w:val="en-US" w:eastAsia="zh-CN" w:bidi="ar-SA"/>
              </w:rPr>
              <w:t>泄漏、腐蚀</w:t>
            </w:r>
          </w:p>
        </w:tc>
        <w:tc>
          <w:tcPr>
            <w:tcW w:w="1114" w:type="dxa"/>
            <w:noWrap w:val="0"/>
            <w:vAlign w:val="center"/>
          </w:tcPr>
          <w:p w14:paraId="4AE23CE2">
            <w:pPr>
              <w:widowControl w:val="0"/>
              <w:ind w:firstLine="0" w:firstLineChars="0"/>
              <w:jc w:val="center"/>
              <w:rPr>
                <w:rFonts w:hint="eastAsia" w:ascii="仿宋_GB2312" w:hAnsi="仿宋_GB2312" w:eastAsia="仿宋_GB2312" w:cs="仿宋_GB2312"/>
                <w:b w:val="0"/>
                <w:color w:val="auto"/>
                <w:kern w:val="2"/>
                <w:sz w:val="21"/>
                <w:szCs w:val="21"/>
                <w:lang w:val="en-US" w:eastAsia="zh-CN" w:bidi="ar-SA"/>
              </w:rPr>
            </w:pPr>
            <w:r>
              <w:rPr>
                <w:rFonts w:hint="eastAsia" w:ascii="仿宋_GB2312" w:hAnsi="仿宋_GB2312" w:eastAsia="仿宋_GB2312" w:cs="仿宋_GB2312"/>
                <w:b w:val="0"/>
                <w:color w:val="auto"/>
                <w:kern w:val="2"/>
                <w:sz w:val="21"/>
                <w:szCs w:val="21"/>
                <w:lang w:val="en-US" w:eastAsia="zh-CN" w:bidi="ar-SA"/>
              </w:rPr>
              <w:t>是</w:t>
            </w:r>
          </w:p>
        </w:tc>
      </w:tr>
      <w:tr w14:paraId="7F9CA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830" w:type="dxa"/>
            <w:noWrap w:val="0"/>
            <w:vAlign w:val="center"/>
          </w:tcPr>
          <w:p w14:paraId="1EEFFA79">
            <w:pPr>
              <w:widowControl w:val="0"/>
              <w:ind w:firstLine="0" w:firstLineChars="0"/>
              <w:jc w:val="center"/>
              <w:rPr>
                <w:rFonts w:hint="eastAsia" w:ascii="仿宋_GB2312" w:hAnsi="仿宋_GB2312" w:eastAsia="仿宋_GB2312" w:cs="仿宋_GB2312"/>
                <w:b w:val="0"/>
                <w:color w:val="auto"/>
                <w:kern w:val="2"/>
                <w:sz w:val="21"/>
                <w:szCs w:val="21"/>
                <w:lang w:val="en-US" w:eastAsia="zh-CN" w:bidi="ar-SA"/>
              </w:rPr>
            </w:pPr>
            <w:r>
              <w:rPr>
                <w:rFonts w:hint="eastAsia" w:ascii="仿宋_GB2312" w:hAnsi="仿宋_GB2312" w:eastAsia="仿宋_GB2312" w:cs="仿宋_GB2312"/>
                <w:b w:val="0"/>
                <w:color w:val="auto"/>
                <w:kern w:val="2"/>
                <w:sz w:val="21"/>
                <w:szCs w:val="21"/>
                <w:lang w:val="en-US" w:eastAsia="zh-CN" w:bidi="ar-SA"/>
              </w:rPr>
              <w:t>4</w:t>
            </w:r>
          </w:p>
        </w:tc>
        <w:tc>
          <w:tcPr>
            <w:tcW w:w="1853" w:type="dxa"/>
            <w:noWrap w:val="0"/>
            <w:vAlign w:val="center"/>
          </w:tcPr>
          <w:p w14:paraId="0386CB7D">
            <w:pPr>
              <w:widowControl w:val="0"/>
              <w:ind w:firstLine="0" w:firstLineChars="0"/>
              <w:jc w:val="center"/>
              <w:rPr>
                <w:rFonts w:hint="eastAsia" w:ascii="仿宋_GB2312" w:hAnsi="仿宋_GB2312" w:eastAsia="仿宋_GB2312" w:cs="仿宋_GB2312"/>
                <w:b w:val="0"/>
                <w:color w:val="auto"/>
                <w:kern w:val="2"/>
                <w:sz w:val="21"/>
                <w:szCs w:val="21"/>
                <w:lang w:val="en-US" w:eastAsia="zh-CN" w:bidi="ar-SA"/>
              </w:rPr>
            </w:pPr>
            <w:r>
              <w:rPr>
                <w:rFonts w:hint="eastAsia" w:ascii="仿宋_GB2312" w:hAnsi="仿宋_GB2312" w:eastAsia="仿宋_GB2312" w:cs="仿宋_GB2312"/>
                <w:b w:val="0"/>
                <w:color w:val="auto"/>
                <w:kern w:val="2"/>
                <w:sz w:val="21"/>
                <w:szCs w:val="21"/>
                <w:lang w:val="en-US" w:eastAsia="zh-CN" w:bidi="ar-SA"/>
              </w:rPr>
              <w:t>渗滤液调节池</w:t>
            </w:r>
          </w:p>
        </w:tc>
        <w:tc>
          <w:tcPr>
            <w:tcW w:w="2412" w:type="dxa"/>
            <w:noWrap w:val="0"/>
            <w:vAlign w:val="center"/>
          </w:tcPr>
          <w:p w14:paraId="2AE58E32">
            <w:pPr>
              <w:widowControl w:val="0"/>
              <w:ind w:firstLine="0" w:firstLineChars="0"/>
              <w:jc w:val="center"/>
              <w:rPr>
                <w:rFonts w:hint="eastAsia" w:ascii="仿宋_GB2312" w:hAnsi="仿宋_GB2312" w:eastAsia="仿宋_GB2312" w:cs="仿宋_GB2312"/>
                <w:b w:val="0"/>
                <w:color w:val="auto"/>
                <w:kern w:val="2"/>
                <w:sz w:val="21"/>
                <w:szCs w:val="21"/>
                <w:lang w:val="en-US" w:eastAsia="zh-CN" w:bidi="ar-SA"/>
              </w:rPr>
            </w:pPr>
            <w:r>
              <w:rPr>
                <w:rFonts w:hint="eastAsia" w:ascii="仿宋_GB2312" w:hAnsi="仿宋_GB2312" w:eastAsia="仿宋_GB2312" w:cs="仿宋_GB2312"/>
                <w:b w:val="0"/>
                <w:color w:val="auto"/>
                <w:kern w:val="2"/>
                <w:sz w:val="21"/>
                <w:szCs w:val="21"/>
                <w:lang w:val="en-US" w:eastAsia="zh-CN" w:bidi="ar-SA"/>
              </w:rPr>
              <w:t>硫酸</w:t>
            </w:r>
          </w:p>
        </w:tc>
        <w:tc>
          <w:tcPr>
            <w:tcW w:w="1921" w:type="dxa"/>
            <w:noWrap w:val="0"/>
            <w:vAlign w:val="center"/>
          </w:tcPr>
          <w:p w14:paraId="5DBD8E20">
            <w:pPr>
              <w:widowControl w:val="0"/>
              <w:ind w:firstLine="0" w:firstLineChars="0"/>
              <w:jc w:val="center"/>
              <w:rPr>
                <w:rFonts w:hint="eastAsia" w:ascii="仿宋_GB2312" w:hAnsi="仿宋_GB2312" w:eastAsia="仿宋_GB2312" w:cs="仿宋_GB2312"/>
                <w:b w:val="0"/>
                <w:color w:val="auto"/>
                <w:kern w:val="2"/>
                <w:sz w:val="21"/>
                <w:szCs w:val="21"/>
                <w:lang w:val="en-US" w:eastAsia="zh-CN" w:bidi="ar-SA"/>
              </w:rPr>
            </w:pPr>
            <w:r>
              <w:rPr>
                <w:rFonts w:hint="eastAsia" w:ascii="仿宋_GB2312" w:hAnsi="仿宋_GB2312" w:eastAsia="仿宋_GB2312" w:cs="仿宋_GB2312"/>
                <w:b w:val="0"/>
                <w:color w:val="auto"/>
                <w:kern w:val="2"/>
                <w:sz w:val="21"/>
                <w:szCs w:val="21"/>
                <w:lang w:val="en-US" w:eastAsia="zh-CN" w:bidi="ar-SA"/>
              </w:rPr>
              <w:t>泄漏</w:t>
            </w:r>
          </w:p>
        </w:tc>
        <w:tc>
          <w:tcPr>
            <w:tcW w:w="1114" w:type="dxa"/>
            <w:noWrap w:val="0"/>
            <w:vAlign w:val="center"/>
          </w:tcPr>
          <w:p w14:paraId="535F87C8">
            <w:pPr>
              <w:widowControl w:val="0"/>
              <w:ind w:firstLine="0" w:firstLineChars="0"/>
              <w:jc w:val="center"/>
              <w:rPr>
                <w:rFonts w:hint="eastAsia" w:ascii="仿宋_GB2312" w:hAnsi="仿宋_GB2312" w:eastAsia="仿宋_GB2312" w:cs="仿宋_GB2312"/>
                <w:b w:val="0"/>
                <w:color w:val="auto"/>
                <w:kern w:val="2"/>
                <w:sz w:val="21"/>
                <w:szCs w:val="21"/>
                <w:lang w:val="en-US" w:eastAsia="zh-CN" w:bidi="ar-SA"/>
              </w:rPr>
            </w:pPr>
            <w:r>
              <w:rPr>
                <w:rFonts w:hint="eastAsia" w:ascii="仿宋_GB2312" w:hAnsi="仿宋_GB2312" w:eastAsia="仿宋_GB2312" w:cs="仿宋_GB2312"/>
                <w:b w:val="0"/>
                <w:color w:val="auto"/>
                <w:kern w:val="2"/>
                <w:sz w:val="21"/>
                <w:szCs w:val="21"/>
                <w:lang w:val="en-US" w:eastAsia="zh-CN" w:bidi="ar-SA"/>
              </w:rPr>
              <w:t>是</w:t>
            </w:r>
          </w:p>
        </w:tc>
      </w:tr>
      <w:tr w14:paraId="27A29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830" w:type="dxa"/>
            <w:noWrap w:val="0"/>
            <w:vAlign w:val="center"/>
          </w:tcPr>
          <w:p w14:paraId="2398B6AC">
            <w:pPr>
              <w:widowControl w:val="0"/>
              <w:ind w:firstLine="0" w:firstLineChars="0"/>
              <w:jc w:val="center"/>
              <w:rPr>
                <w:rFonts w:hint="eastAsia" w:ascii="仿宋_GB2312" w:hAnsi="仿宋_GB2312" w:eastAsia="仿宋_GB2312" w:cs="仿宋_GB2312"/>
                <w:b w:val="0"/>
                <w:color w:val="auto"/>
                <w:kern w:val="2"/>
                <w:sz w:val="21"/>
                <w:szCs w:val="21"/>
                <w:lang w:val="en-US" w:eastAsia="zh-CN" w:bidi="ar-SA"/>
              </w:rPr>
            </w:pPr>
            <w:r>
              <w:rPr>
                <w:rFonts w:hint="eastAsia" w:ascii="仿宋_GB2312" w:hAnsi="仿宋_GB2312" w:eastAsia="仿宋_GB2312" w:cs="仿宋_GB2312"/>
                <w:b w:val="0"/>
                <w:color w:val="auto"/>
                <w:kern w:val="2"/>
                <w:sz w:val="21"/>
                <w:szCs w:val="21"/>
                <w:lang w:val="en-US" w:eastAsia="zh-CN" w:bidi="ar-SA"/>
              </w:rPr>
              <w:t>5</w:t>
            </w:r>
          </w:p>
        </w:tc>
        <w:tc>
          <w:tcPr>
            <w:tcW w:w="1853" w:type="dxa"/>
            <w:noWrap w:val="0"/>
            <w:vAlign w:val="center"/>
          </w:tcPr>
          <w:p w14:paraId="37C57B0C">
            <w:pPr>
              <w:widowControl w:val="0"/>
              <w:ind w:firstLine="0" w:firstLineChars="0"/>
              <w:jc w:val="center"/>
              <w:rPr>
                <w:rFonts w:hint="eastAsia" w:ascii="仿宋_GB2312" w:hAnsi="仿宋_GB2312" w:eastAsia="仿宋_GB2312" w:cs="仿宋_GB2312"/>
                <w:b w:val="0"/>
                <w:color w:val="auto"/>
                <w:kern w:val="2"/>
                <w:sz w:val="21"/>
                <w:szCs w:val="21"/>
                <w:lang w:val="en-US" w:eastAsia="zh-CN" w:bidi="ar-SA"/>
              </w:rPr>
            </w:pPr>
            <w:r>
              <w:rPr>
                <w:rFonts w:hint="eastAsia" w:ascii="仿宋_GB2312" w:hAnsi="仿宋_GB2312" w:eastAsia="仿宋_GB2312" w:cs="仿宋_GB2312"/>
                <w:b w:val="0"/>
                <w:color w:val="auto"/>
                <w:kern w:val="2"/>
                <w:sz w:val="21"/>
                <w:szCs w:val="21"/>
                <w:lang w:val="en-US" w:eastAsia="zh-CN" w:bidi="ar-SA"/>
              </w:rPr>
              <w:t>危废储存间</w:t>
            </w:r>
          </w:p>
        </w:tc>
        <w:tc>
          <w:tcPr>
            <w:tcW w:w="2412" w:type="dxa"/>
            <w:noWrap w:val="0"/>
            <w:vAlign w:val="center"/>
          </w:tcPr>
          <w:p w14:paraId="38667F06">
            <w:pPr>
              <w:widowControl w:val="0"/>
              <w:ind w:firstLine="420" w:firstLineChars="200"/>
              <w:jc w:val="center"/>
              <w:rPr>
                <w:rFonts w:hint="eastAsia" w:ascii="仿宋_GB2312" w:hAnsi="仿宋_GB2312" w:eastAsia="仿宋_GB2312" w:cs="仿宋_GB2312"/>
                <w:b w:val="0"/>
                <w:color w:val="auto"/>
                <w:kern w:val="2"/>
                <w:sz w:val="21"/>
                <w:szCs w:val="21"/>
                <w:lang w:val="en-US" w:eastAsia="zh-CN" w:bidi="ar-SA"/>
              </w:rPr>
            </w:pPr>
            <w:r>
              <w:rPr>
                <w:rFonts w:hint="eastAsia" w:ascii="仿宋_GB2312" w:hAnsi="仿宋_GB2312" w:eastAsia="仿宋_GB2312" w:cs="仿宋_GB2312"/>
                <w:b w:val="0"/>
                <w:color w:val="auto"/>
                <w:kern w:val="2"/>
                <w:sz w:val="21"/>
                <w:szCs w:val="21"/>
                <w:lang w:val="en-US" w:eastAsia="zh-CN" w:bidi="ar-SA"/>
              </w:rPr>
              <w:t>空压站含油废水、</w:t>
            </w:r>
          </w:p>
          <w:p w14:paraId="3BC2D527">
            <w:pPr>
              <w:widowControl w:val="0"/>
              <w:ind w:firstLine="0" w:firstLineChars="0"/>
              <w:jc w:val="center"/>
              <w:rPr>
                <w:rFonts w:hint="eastAsia" w:ascii="仿宋_GB2312" w:hAnsi="仿宋_GB2312" w:eastAsia="仿宋_GB2312" w:cs="仿宋_GB2312"/>
                <w:b w:val="0"/>
                <w:color w:val="auto"/>
                <w:kern w:val="2"/>
                <w:sz w:val="21"/>
                <w:szCs w:val="21"/>
                <w:lang w:val="en-US" w:eastAsia="zh-CN" w:bidi="ar-SA"/>
              </w:rPr>
            </w:pPr>
            <w:r>
              <w:rPr>
                <w:rFonts w:hint="eastAsia" w:ascii="仿宋_GB2312" w:hAnsi="仿宋_GB2312" w:eastAsia="仿宋_GB2312" w:cs="仿宋_GB2312"/>
                <w:b w:val="0"/>
                <w:color w:val="auto"/>
                <w:kern w:val="2"/>
                <w:sz w:val="21"/>
                <w:szCs w:val="21"/>
                <w:lang w:val="en-US" w:eastAsia="zh-CN" w:bidi="ar-SA"/>
              </w:rPr>
              <w:t>汽机间废机油</w:t>
            </w:r>
          </w:p>
        </w:tc>
        <w:tc>
          <w:tcPr>
            <w:tcW w:w="1921" w:type="dxa"/>
            <w:noWrap w:val="0"/>
            <w:vAlign w:val="center"/>
          </w:tcPr>
          <w:p w14:paraId="27BE1064">
            <w:pPr>
              <w:widowControl w:val="0"/>
              <w:ind w:firstLine="0" w:firstLineChars="0"/>
              <w:jc w:val="center"/>
              <w:rPr>
                <w:rFonts w:hint="eastAsia" w:ascii="仿宋_GB2312" w:hAnsi="仿宋_GB2312" w:eastAsia="仿宋_GB2312" w:cs="仿宋_GB2312"/>
                <w:b w:val="0"/>
                <w:color w:val="auto"/>
                <w:kern w:val="2"/>
                <w:sz w:val="21"/>
                <w:szCs w:val="21"/>
                <w:lang w:val="en-US" w:eastAsia="zh-CN" w:bidi="ar-SA"/>
              </w:rPr>
            </w:pPr>
            <w:r>
              <w:rPr>
                <w:rFonts w:hint="eastAsia" w:ascii="仿宋_GB2312" w:hAnsi="仿宋_GB2312" w:eastAsia="仿宋_GB2312" w:cs="仿宋_GB2312"/>
                <w:b w:val="0"/>
                <w:color w:val="auto"/>
                <w:kern w:val="2"/>
                <w:sz w:val="21"/>
                <w:szCs w:val="21"/>
                <w:lang w:val="en-US" w:eastAsia="zh-CN" w:bidi="ar-SA"/>
              </w:rPr>
              <w:t>泄漏、火灾</w:t>
            </w:r>
          </w:p>
        </w:tc>
        <w:tc>
          <w:tcPr>
            <w:tcW w:w="1114" w:type="dxa"/>
            <w:noWrap w:val="0"/>
            <w:vAlign w:val="center"/>
          </w:tcPr>
          <w:p w14:paraId="1EEB3D47">
            <w:pPr>
              <w:widowControl w:val="0"/>
              <w:ind w:firstLine="0" w:firstLineChars="0"/>
              <w:jc w:val="center"/>
              <w:rPr>
                <w:rFonts w:hint="eastAsia" w:ascii="仿宋_GB2312" w:hAnsi="仿宋_GB2312" w:eastAsia="仿宋_GB2312" w:cs="仿宋_GB2312"/>
                <w:b w:val="0"/>
                <w:color w:val="auto"/>
                <w:kern w:val="2"/>
                <w:sz w:val="21"/>
                <w:szCs w:val="21"/>
                <w:lang w:val="en-US" w:eastAsia="zh-CN" w:bidi="ar-SA"/>
              </w:rPr>
            </w:pPr>
            <w:r>
              <w:rPr>
                <w:rFonts w:hint="eastAsia" w:ascii="仿宋_GB2312" w:hAnsi="仿宋_GB2312" w:eastAsia="仿宋_GB2312" w:cs="仿宋_GB2312"/>
                <w:b w:val="0"/>
                <w:color w:val="auto"/>
                <w:kern w:val="2"/>
                <w:sz w:val="21"/>
                <w:szCs w:val="21"/>
                <w:lang w:val="en-US" w:eastAsia="zh-CN" w:bidi="ar-SA"/>
              </w:rPr>
              <w:t>是</w:t>
            </w:r>
          </w:p>
        </w:tc>
      </w:tr>
      <w:bookmarkEnd w:id="134"/>
    </w:tbl>
    <w:p w14:paraId="19D175F5">
      <w:pPr>
        <w:pStyle w:val="29"/>
        <w:bidi w:val="0"/>
        <w:rPr>
          <w:rFonts w:hint="eastAsia" w:ascii="仿宋_GB2312" w:hAnsi="仿宋_GB2312" w:eastAsia="仿宋_GB2312" w:cs="仿宋_GB2312"/>
          <w:lang w:val="en-US" w:eastAsia="zh-CN"/>
        </w:rPr>
      </w:pPr>
      <w:bookmarkStart w:id="135" w:name="_Toc4795"/>
      <w:r>
        <w:rPr>
          <w:rFonts w:hint="eastAsia" w:ascii="仿宋_GB2312" w:hAnsi="仿宋_GB2312" w:eastAsia="仿宋_GB2312" w:cs="仿宋_GB2312"/>
          <w:lang w:val="en-US" w:eastAsia="zh-CN"/>
        </w:rPr>
        <w:t>2.5.2应急措施</w:t>
      </w:r>
      <w:bookmarkEnd w:id="135"/>
    </w:p>
    <w:p w14:paraId="10B61501">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涉及化学品的相关生产设施设备防渗漏、流失、扬散设计和建设信息。</w:t>
      </w:r>
    </w:p>
    <w:p w14:paraId="7CB4F6BB">
      <w:pPr>
        <w:pStyle w:val="27"/>
        <w:bidi w:val="0"/>
        <w:ind w:left="0" w:leftChars="0" w:firstLine="0" w:firstLineChars="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环境风险单元风险防控与应急措施</w:t>
      </w:r>
    </w:p>
    <w:tbl>
      <w:tblPr>
        <w:tblStyle w:val="9"/>
        <w:tblW w:w="822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1058"/>
        <w:gridCol w:w="2694"/>
        <w:gridCol w:w="4471"/>
      </w:tblGrid>
      <w:tr w14:paraId="5163C3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10" w:hRule="atLeast"/>
          <w:tblHeader/>
          <w:jc w:val="center"/>
        </w:trPr>
        <w:tc>
          <w:tcPr>
            <w:tcW w:w="1058" w:type="dxa"/>
            <w:noWrap w:val="0"/>
            <w:vAlign w:val="top"/>
          </w:tcPr>
          <w:p w14:paraId="3E6B64F5">
            <w:pPr>
              <w:keepNext w:val="0"/>
              <w:keepLines w:val="0"/>
              <w:shd w:val="clear"/>
              <w:autoSpaceDE w:val="0"/>
              <w:autoSpaceDN w:val="0"/>
              <w:bidi w:val="0"/>
              <w:adjustRightInd w:val="0"/>
              <w:snapToGrid w:val="0"/>
              <w:spacing w:before="0" w:after="0" w:line="240" w:lineRule="auto"/>
              <w:ind w:left="0" w:right="0" w:firstLine="0"/>
              <w:jc w:val="center"/>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环境风险单元名称</w:t>
            </w:r>
          </w:p>
        </w:tc>
        <w:tc>
          <w:tcPr>
            <w:tcW w:w="2694" w:type="dxa"/>
            <w:noWrap w:val="0"/>
            <w:vAlign w:val="center"/>
          </w:tcPr>
          <w:p w14:paraId="0395A32E">
            <w:pPr>
              <w:keepNext w:val="0"/>
              <w:keepLines w:val="0"/>
              <w:shd w:val="clear"/>
              <w:autoSpaceDE w:val="0"/>
              <w:autoSpaceDN w:val="0"/>
              <w:bidi w:val="0"/>
              <w:adjustRightInd w:val="0"/>
              <w:snapToGrid w:val="0"/>
              <w:spacing w:before="0" w:after="0" w:line="240" w:lineRule="auto"/>
              <w:ind w:left="0" w:right="0" w:firstLine="0"/>
              <w:jc w:val="center"/>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检查目录</w:t>
            </w:r>
          </w:p>
        </w:tc>
        <w:tc>
          <w:tcPr>
            <w:tcW w:w="4471" w:type="dxa"/>
            <w:noWrap w:val="0"/>
            <w:vAlign w:val="center"/>
          </w:tcPr>
          <w:p w14:paraId="7A31462F">
            <w:pPr>
              <w:keepNext w:val="0"/>
              <w:keepLines w:val="0"/>
              <w:shd w:val="clear"/>
              <w:autoSpaceDE w:val="0"/>
              <w:autoSpaceDN w:val="0"/>
              <w:bidi w:val="0"/>
              <w:adjustRightInd w:val="0"/>
              <w:snapToGrid w:val="0"/>
              <w:spacing w:before="0" w:after="0" w:line="240" w:lineRule="auto"/>
              <w:ind w:right="0"/>
              <w:jc w:val="center"/>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现有风险防控与应急措施</w:t>
            </w:r>
          </w:p>
        </w:tc>
      </w:tr>
      <w:tr w14:paraId="65862C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1058" w:type="dxa"/>
            <w:vMerge w:val="restart"/>
            <w:noWrap w:val="0"/>
            <w:vAlign w:val="center"/>
          </w:tcPr>
          <w:p w14:paraId="4F1999D1">
            <w:pPr>
              <w:keepNext w:val="0"/>
              <w:keepLines w:val="0"/>
              <w:shd w:val="clear"/>
              <w:autoSpaceDE w:val="0"/>
              <w:autoSpaceDN w:val="0"/>
              <w:bidi w:val="0"/>
              <w:adjustRightInd w:val="0"/>
              <w:snapToGrid w:val="0"/>
              <w:spacing w:before="0" w:after="0" w:line="240" w:lineRule="auto"/>
              <w:ind w:left="0" w:right="-10" w:firstLine="520"/>
              <w:jc w:val="center"/>
              <w:rPr>
                <w:rFonts w:hint="eastAsia" w:ascii="仿宋_GB2312" w:hAnsi="仿宋_GB2312" w:eastAsia="仿宋_GB2312" w:cs="仿宋_GB2312"/>
                <w:color w:val="auto"/>
                <w:spacing w:val="0"/>
                <w:w w:val="100"/>
                <w:kern w:val="2"/>
                <w:position w:val="0"/>
                <w:sz w:val="21"/>
                <w:szCs w:val="21"/>
                <w:shd w:val="clear"/>
                <w:lang w:eastAsia="zh-CN" w:bidi="ar-SA"/>
              </w:rPr>
            </w:pPr>
          </w:p>
          <w:p w14:paraId="52AC3605">
            <w:pPr>
              <w:keepNext w:val="0"/>
              <w:keepLines w:val="0"/>
              <w:shd w:val="clear"/>
              <w:autoSpaceDE w:val="0"/>
              <w:autoSpaceDN w:val="0"/>
              <w:bidi w:val="0"/>
              <w:adjustRightInd w:val="0"/>
              <w:snapToGrid w:val="0"/>
              <w:spacing w:before="0" w:after="0" w:line="240" w:lineRule="auto"/>
              <w:ind w:left="0" w:right="-10" w:firstLine="520"/>
              <w:jc w:val="center"/>
              <w:rPr>
                <w:rFonts w:hint="eastAsia" w:ascii="仿宋_GB2312" w:hAnsi="仿宋_GB2312" w:eastAsia="仿宋_GB2312" w:cs="仿宋_GB2312"/>
                <w:color w:val="auto"/>
                <w:spacing w:val="0"/>
                <w:w w:val="100"/>
                <w:kern w:val="2"/>
                <w:position w:val="0"/>
                <w:sz w:val="21"/>
                <w:szCs w:val="21"/>
                <w:shd w:val="clear"/>
                <w:lang w:eastAsia="zh-CN" w:bidi="ar-SA"/>
              </w:rPr>
            </w:pPr>
          </w:p>
          <w:p w14:paraId="36EC6B05">
            <w:pPr>
              <w:keepNext w:val="0"/>
              <w:keepLines w:val="0"/>
              <w:shd w:val="clear"/>
              <w:autoSpaceDE w:val="0"/>
              <w:autoSpaceDN w:val="0"/>
              <w:bidi w:val="0"/>
              <w:adjustRightInd w:val="0"/>
              <w:snapToGrid w:val="0"/>
              <w:spacing w:before="0" w:after="0" w:line="240" w:lineRule="auto"/>
              <w:ind w:left="0" w:right="-10" w:firstLine="0"/>
              <w:jc w:val="both"/>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柴油储罐</w:t>
            </w:r>
          </w:p>
        </w:tc>
        <w:tc>
          <w:tcPr>
            <w:tcW w:w="2694" w:type="dxa"/>
            <w:noWrap w:val="0"/>
            <w:vAlign w:val="center"/>
          </w:tcPr>
          <w:p w14:paraId="4E19B61E">
            <w:pPr>
              <w:keepNext w:val="0"/>
              <w:keepLines w:val="0"/>
              <w:shd w:val="clear"/>
              <w:autoSpaceDE w:val="0"/>
              <w:autoSpaceDN w:val="0"/>
              <w:bidi w:val="0"/>
              <w:adjustRightInd w:val="0"/>
              <w:snapToGrid w:val="0"/>
              <w:spacing w:before="0" w:after="0" w:line="240" w:lineRule="auto"/>
              <w:ind w:left="0" w:right="0" w:firstLine="0"/>
              <w:jc w:val="center"/>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截流措施</w:t>
            </w:r>
          </w:p>
        </w:tc>
        <w:tc>
          <w:tcPr>
            <w:tcW w:w="4471" w:type="dxa"/>
            <w:noWrap w:val="0"/>
            <w:vAlign w:val="center"/>
          </w:tcPr>
          <w:p w14:paraId="4F1D8CAC">
            <w:pPr>
              <w:keepNext w:val="0"/>
              <w:keepLines w:val="0"/>
              <w:shd w:val="clear"/>
              <w:autoSpaceDE w:val="0"/>
              <w:autoSpaceDN w:val="0"/>
              <w:bidi w:val="0"/>
              <w:adjustRightInd w:val="0"/>
              <w:snapToGrid w:val="0"/>
              <w:spacing w:before="0" w:after="0" w:line="240" w:lineRule="auto"/>
              <w:ind w:left="0" w:right="38" w:rightChars="16" w:firstLine="0"/>
              <w:jc w:val="both"/>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有防火堤</w:t>
            </w:r>
          </w:p>
        </w:tc>
      </w:tr>
      <w:tr w14:paraId="67A90B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1058" w:type="dxa"/>
            <w:vMerge w:val="continue"/>
            <w:noWrap w:val="0"/>
            <w:vAlign w:val="top"/>
          </w:tcPr>
          <w:p w14:paraId="238533BC">
            <w:pPr>
              <w:keepNext w:val="0"/>
              <w:keepLines w:val="0"/>
              <w:shd w:val="clear"/>
              <w:autoSpaceDE w:val="0"/>
              <w:autoSpaceDN w:val="0"/>
              <w:bidi w:val="0"/>
              <w:adjustRightInd w:val="0"/>
              <w:snapToGrid w:val="0"/>
              <w:spacing w:before="0" w:after="0" w:line="240" w:lineRule="auto"/>
              <w:ind w:left="0" w:right="-10" w:firstLine="520"/>
              <w:jc w:val="center"/>
              <w:rPr>
                <w:rFonts w:hint="eastAsia" w:ascii="仿宋_GB2312" w:hAnsi="仿宋_GB2312" w:eastAsia="仿宋_GB2312" w:cs="仿宋_GB2312"/>
                <w:color w:val="auto"/>
                <w:spacing w:val="0"/>
                <w:w w:val="100"/>
                <w:kern w:val="2"/>
                <w:position w:val="0"/>
                <w:sz w:val="21"/>
                <w:szCs w:val="21"/>
                <w:shd w:val="clear"/>
                <w:lang w:eastAsia="zh-CN" w:bidi="ar-SA"/>
              </w:rPr>
            </w:pPr>
          </w:p>
        </w:tc>
        <w:tc>
          <w:tcPr>
            <w:tcW w:w="2694" w:type="dxa"/>
            <w:noWrap w:val="0"/>
            <w:vAlign w:val="center"/>
          </w:tcPr>
          <w:p w14:paraId="6ECFF0C0">
            <w:pPr>
              <w:keepNext w:val="0"/>
              <w:keepLines w:val="0"/>
              <w:shd w:val="clear"/>
              <w:autoSpaceDE w:val="0"/>
              <w:autoSpaceDN w:val="0"/>
              <w:bidi w:val="0"/>
              <w:adjustRightInd w:val="0"/>
              <w:snapToGrid w:val="0"/>
              <w:spacing w:before="0" w:after="0" w:line="240" w:lineRule="auto"/>
              <w:ind w:left="0" w:right="0" w:firstLine="0"/>
              <w:jc w:val="center"/>
              <w:rPr>
                <w:rFonts w:hint="eastAsia" w:ascii="仿宋_GB2312" w:hAnsi="仿宋_GB2312" w:eastAsia="仿宋_GB2312" w:cs="仿宋_GB2312"/>
                <w:color w:val="auto"/>
                <w:spacing w:val="0"/>
                <w:w w:val="100"/>
                <w:kern w:val="2"/>
                <w:position w:val="0"/>
                <w:sz w:val="21"/>
                <w:szCs w:val="21"/>
                <w:shd w:val="clear"/>
                <w:vertAlign w:val="superscript"/>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事故排水收集措施</w:t>
            </w:r>
          </w:p>
        </w:tc>
        <w:tc>
          <w:tcPr>
            <w:tcW w:w="4471" w:type="dxa"/>
            <w:noWrap w:val="0"/>
            <w:vAlign w:val="center"/>
          </w:tcPr>
          <w:p w14:paraId="23127FB6">
            <w:pPr>
              <w:keepNext w:val="0"/>
              <w:keepLines w:val="0"/>
              <w:shd w:val="clear"/>
              <w:autoSpaceDE w:val="0"/>
              <w:autoSpaceDN w:val="0"/>
              <w:bidi w:val="0"/>
              <w:adjustRightInd w:val="0"/>
              <w:snapToGrid w:val="0"/>
              <w:spacing w:before="0" w:after="0" w:line="240" w:lineRule="auto"/>
              <w:ind w:left="0" w:right="38" w:rightChars="16" w:firstLine="0"/>
              <w:jc w:val="both"/>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进入1000m³的事故池</w:t>
            </w:r>
          </w:p>
        </w:tc>
      </w:tr>
      <w:tr w14:paraId="5AD5B7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1058" w:type="dxa"/>
            <w:vMerge w:val="continue"/>
            <w:noWrap w:val="0"/>
            <w:vAlign w:val="top"/>
          </w:tcPr>
          <w:p w14:paraId="186EAC53">
            <w:pPr>
              <w:keepNext w:val="0"/>
              <w:keepLines w:val="0"/>
              <w:shd w:val="clear"/>
              <w:autoSpaceDE w:val="0"/>
              <w:autoSpaceDN w:val="0"/>
              <w:bidi w:val="0"/>
              <w:adjustRightInd w:val="0"/>
              <w:snapToGrid w:val="0"/>
              <w:spacing w:before="0" w:after="0" w:line="240" w:lineRule="auto"/>
              <w:ind w:left="0" w:right="-10" w:firstLine="520"/>
              <w:jc w:val="center"/>
              <w:rPr>
                <w:rFonts w:hint="eastAsia" w:ascii="仿宋_GB2312" w:hAnsi="仿宋_GB2312" w:eastAsia="仿宋_GB2312" w:cs="仿宋_GB2312"/>
                <w:color w:val="auto"/>
                <w:spacing w:val="0"/>
                <w:w w:val="100"/>
                <w:kern w:val="2"/>
                <w:position w:val="0"/>
                <w:sz w:val="21"/>
                <w:szCs w:val="21"/>
                <w:shd w:val="clear"/>
                <w:lang w:eastAsia="zh-CN" w:bidi="ar-SA"/>
              </w:rPr>
            </w:pPr>
          </w:p>
        </w:tc>
        <w:tc>
          <w:tcPr>
            <w:tcW w:w="2694" w:type="dxa"/>
            <w:noWrap w:val="0"/>
            <w:vAlign w:val="center"/>
          </w:tcPr>
          <w:p w14:paraId="62689DE9">
            <w:pPr>
              <w:keepNext w:val="0"/>
              <w:keepLines w:val="0"/>
              <w:shd w:val="clear"/>
              <w:autoSpaceDE w:val="0"/>
              <w:autoSpaceDN w:val="0"/>
              <w:bidi w:val="0"/>
              <w:adjustRightInd w:val="0"/>
              <w:snapToGrid w:val="0"/>
              <w:spacing w:before="0" w:after="0" w:line="240" w:lineRule="auto"/>
              <w:ind w:left="0" w:right="0" w:firstLine="0"/>
              <w:jc w:val="center"/>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清净下水系统防控措施</w:t>
            </w:r>
          </w:p>
        </w:tc>
        <w:tc>
          <w:tcPr>
            <w:tcW w:w="4471" w:type="dxa"/>
            <w:noWrap w:val="0"/>
            <w:vAlign w:val="center"/>
          </w:tcPr>
          <w:p w14:paraId="574BC13B">
            <w:pPr>
              <w:keepNext w:val="0"/>
              <w:keepLines w:val="0"/>
              <w:shd w:val="clear"/>
              <w:autoSpaceDE w:val="0"/>
              <w:autoSpaceDN w:val="0"/>
              <w:bidi w:val="0"/>
              <w:adjustRightInd w:val="0"/>
              <w:snapToGrid w:val="0"/>
              <w:spacing w:before="0" w:after="0" w:line="240" w:lineRule="auto"/>
              <w:ind w:left="0" w:right="38" w:rightChars="16" w:firstLine="0"/>
              <w:jc w:val="both"/>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不涉及</w:t>
            </w:r>
          </w:p>
        </w:tc>
      </w:tr>
      <w:tr w14:paraId="312B36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1058" w:type="dxa"/>
            <w:vMerge w:val="continue"/>
            <w:noWrap w:val="0"/>
            <w:vAlign w:val="top"/>
          </w:tcPr>
          <w:p w14:paraId="771248C9">
            <w:pPr>
              <w:keepNext w:val="0"/>
              <w:keepLines w:val="0"/>
              <w:shd w:val="clear"/>
              <w:autoSpaceDE w:val="0"/>
              <w:autoSpaceDN w:val="0"/>
              <w:bidi w:val="0"/>
              <w:adjustRightInd w:val="0"/>
              <w:snapToGrid w:val="0"/>
              <w:spacing w:before="0" w:after="0" w:line="240" w:lineRule="auto"/>
              <w:ind w:left="0" w:right="-10" w:firstLine="520"/>
              <w:jc w:val="center"/>
              <w:rPr>
                <w:rFonts w:hint="eastAsia" w:ascii="仿宋_GB2312" w:hAnsi="仿宋_GB2312" w:eastAsia="仿宋_GB2312" w:cs="仿宋_GB2312"/>
                <w:color w:val="auto"/>
                <w:spacing w:val="0"/>
                <w:w w:val="100"/>
                <w:kern w:val="2"/>
                <w:position w:val="0"/>
                <w:sz w:val="21"/>
                <w:szCs w:val="21"/>
                <w:shd w:val="clear"/>
                <w:lang w:eastAsia="zh-CN" w:bidi="ar-SA"/>
              </w:rPr>
            </w:pPr>
          </w:p>
        </w:tc>
        <w:tc>
          <w:tcPr>
            <w:tcW w:w="2694" w:type="dxa"/>
            <w:noWrap w:val="0"/>
            <w:vAlign w:val="center"/>
          </w:tcPr>
          <w:p w14:paraId="60D69DD5">
            <w:pPr>
              <w:keepNext w:val="0"/>
              <w:keepLines w:val="0"/>
              <w:shd w:val="clear"/>
              <w:autoSpaceDE w:val="0"/>
              <w:autoSpaceDN w:val="0"/>
              <w:bidi w:val="0"/>
              <w:adjustRightInd w:val="0"/>
              <w:snapToGrid w:val="0"/>
              <w:spacing w:before="0" w:after="0" w:line="240" w:lineRule="auto"/>
              <w:ind w:left="0" w:right="0" w:firstLine="0"/>
              <w:jc w:val="center"/>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雨水系统防控措施</w:t>
            </w:r>
          </w:p>
        </w:tc>
        <w:tc>
          <w:tcPr>
            <w:tcW w:w="4471" w:type="dxa"/>
            <w:noWrap w:val="0"/>
            <w:vAlign w:val="center"/>
          </w:tcPr>
          <w:p w14:paraId="369C7F38">
            <w:pPr>
              <w:keepNext w:val="0"/>
              <w:keepLines w:val="0"/>
              <w:shd w:val="clear"/>
              <w:autoSpaceDE w:val="0"/>
              <w:autoSpaceDN w:val="0"/>
              <w:bidi w:val="0"/>
              <w:adjustRightInd w:val="0"/>
              <w:snapToGrid w:val="0"/>
              <w:spacing w:before="0" w:after="0" w:line="240" w:lineRule="auto"/>
              <w:ind w:left="0" w:right="38" w:rightChars="16" w:firstLine="0"/>
              <w:jc w:val="both"/>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在室内，不涉及</w:t>
            </w:r>
          </w:p>
        </w:tc>
      </w:tr>
      <w:tr w14:paraId="7C911D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1058" w:type="dxa"/>
            <w:vMerge w:val="continue"/>
            <w:noWrap w:val="0"/>
            <w:vAlign w:val="top"/>
          </w:tcPr>
          <w:p w14:paraId="2140D6AF">
            <w:pPr>
              <w:keepNext w:val="0"/>
              <w:keepLines w:val="0"/>
              <w:shd w:val="clear"/>
              <w:autoSpaceDE w:val="0"/>
              <w:autoSpaceDN w:val="0"/>
              <w:bidi w:val="0"/>
              <w:adjustRightInd w:val="0"/>
              <w:snapToGrid w:val="0"/>
              <w:spacing w:before="0" w:after="0" w:line="240" w:lineRule="auto"/>
              <w:ind w:left="0" w:right="-10" w:firstLine="520"/>
              <w:jc w:val="center"/>
              <w:rPr>
                <w:rFonts w:hint="eastAsia" w:ascii="仿宋_GB2312" w:hAnsi="仿宋_GB2312" w:eastAsia="仿宋_GB2312" w:cs="仿宋_GB2312"/>
                <w:color w:val="auto"/>
                <w:spacing w:val="0"/>
                <w:w w:val="100"/>
                <w:kern w:val="2"/>
                <w:position w:val="0"/>
                <w:sz w:val="21"/>
                <w:szCs w:val="21"/>
                <w:shd w:val="clear"/>
                <w:lang w:eastAsia="zh-CN" w:bidi="ar-SA"/>
              </w:rPr>
            </w:pPr>
          </w:p>
        </w:tc>
        <w:tc>
          <w:tcPr>
            <w:tcW w:w="2694" w:type="dxa"/>
            <w:noWrap w:val="0"/>
            <w:vAlign w:val="center"/>
          </w:tcPr>
          <w:p w14:paraId="49144B31">
            <w:pPr>
              <w:keepNext w:val="0"/>
              <w:keepLines w:val="0"/>
              <w:shd w:val="clear"/>
              <w:autoSpaceDE w:val="0"/>
              <w:autoSpaceDN w:val="0"/>
              <w:bidi w:val="0"/>
              <w:adjustRightInd w:val="0"/>
              <w:snapToGrid w:val="0"/>
              <w:spacing w:before="0" w:after="0" w:line="240" w:lineRule="auto"/>
              <w:ind w:left="0" w:right="0" w:firstLine="0"/>
              <w:jc w:val="center"/>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生产废水系统防控措施</w:t>
            </w:r>
          </w:p>
        </w:tc>
        <w:tc>
          <w:tcPr>
            <w:tcW w:w="4471" w:type="dxa"/>
            <w:noWrap w:val="0"/>
            <w:vAlign w:val="center"/>
          </w:tcPr>
          <w:p w14:paraId="0C999EB0">
            <w:pPr>
              <w:keepNext w:val="0"/>
              <w:keepLines w:val="0"/>
              <w:shd w:val="clear"/>
              <w:autoSpaceDE w:val="0"/>
              <w:autoSpaceDN w:val="0"/>
              <w:bidi w:val="0"/>
              <w:adjustRightInd w:val="0"/>
              <w:snapToGrid w:val="0"/>
              <w:spacing w:before="0" w:after="0" w:line="240" w:lineRule="auto"/>
              <w:ind w:left="240" w:leftChars="100" w:right="38" w:rightChars="16" w:firstLine="0"/>
              <w:jc w:val="both"/>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不涉及</w:t>
            </w:r>
          </w:p>
        </w:tc>
      </w:tr>
      <w:tr w14:paraId="63DAB8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1058" w:type="dxa"/>
            <w:vMerge w:val="continue"/>
            <w:noWrap w:val="0"/>
            <w:vAlign w:val="top"/>
          </w:tcPr>
          <w:p w14:paraId="24F07544">
            <w:pPr>
              <w:keepNext w:val="0"/>
              <w:keepLines w:val="0"/>
              <w:shd w:val="clear"/>
              <w:autoSpaceDE w:val="0"/>
              <w:autoSpaceDN w:val="0"/>
              <w:bidi w:val="0"/>
              <w:adjustRightInd w:val="0"/>
              <w:snapToGrid w:val="0"/>
              <w:spacing w:before="0" w:after="0" w:line="240" w:lineRule="auto"/>
              <w:ind w:left="0" w:right="-10" w:firstLine="520"/>
              <w:jc w:val="center"/>
              <w:rPr>
                <w:rFonts w:hint="eastAsia" w:ascii="仿宋_GB2312" w:hAnsi="仿宋_GB2312" w:eastAsia="仿宋_GB2312" w:cs="仿宋_GB2312"/>
                <w:color w:val="auto"/>
                <w:spacing w:val="0"/>
                <w:w w:val="100"/>
                <w:kern w:val="2"/>
                <w:position w:val="0"/>
                <w:sz w:val="21"/>
                <w:szCs w:val="21"/>
                <w:shd w:val="clear"/>
                <w:lang w:eastAsia="zh-CN" w:bidi="ar-SA"/>
              </w:rPr>
            </w:pPr>
          </w:p>
        </w:tc>
        <w:tc>
          <w:tcPr>
            <w:tcW w:w="2694" w:type="dxa"/>
            <w:noWrap w:val="0"/>
            <w:vAlign w:val="center"/>
          </w:tcPr>
          <w:p w14:paraId="2A8BA11B">
            <w:pPr>
              <w:keepNext w:val="0"/>
              <w:keepLines w:val="0"/>
              <w:shd w:val="clear"/>
              <w:autoSpaceDE w:val="0"/>
              <w:autoSpaceDN w:val="0"/>
              <w:bidi w:val="0"/>
              <w:adjustRightInd w:val="0"/>
              <w:snapToGrid w:val="0"/>
              <w:spacing w:before="0" w:after="0" w:line="240" w:lineRule="auto"/>
              <w:ind w:left="0" w:right="0" w:firstLine="0"/>
              <w:jc w:val="center"/>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毒性气体泄漏紧急处置装置</w:t>
            </w:r>
          </w:p>
        </w:tc>
        <w:tc>
          <w:tcPr>
            <w:tcW w:w="4471" w:type="dxa"/>
            <w:noWrap w:val="0"/>
            <w:vAlign w:val="center"/>
          </w:tcPr>
          <w:p w14:paraId="74572AC3">
            <w:pPr>
              <w:keepNext w:val="0"/>
              <w:keepLines w:val="0"/>
              <w:shd w:val="clear"/>
              <w:autoSpaceDE w:val="0"/>
              <w:autoSpaceDN w:val="0"/>
              <w:bidi w:val="0"/>
              <w:adjustRightInd w:val="0"/>
              <w:snapToGrid w:val="0"/>
              <w:spacing w:before="0" w:after="0" w:line="240" w:lineRule="auto"/>
              <w:ind w:left="0" w:right="38" w:rightChars="16" w:firstLine="210" w:firstLineChars="100"/>
              <w:jc w:val="both"/>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不涉及</w:t>
            </w:r>
          </w:p>
        </w:tc>
      </w:tr>
      <w:tr w14:paraId="63CA62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1058" w:type="dxa"/>
            <w:vMerge w:val="continue"/>
            <w:noWrap w:val="0"/>
            <w:vAlign w:val="top"/>
          </w:tcPr>
          <w:p w14:paraId="61A9E32B">
            <w:pPr>
              <w:keepNext w:val="0"/>
              <w:keepLines w:val="0"/>
              <w:shd w:val="clear"/>
              <w:autoSpaceDE w:val="0"/>
              <w:autoSpaceDN w:val="0"/>
              <w:bidi w:val="0"/>
              <w:adjustRightInd w:val="0"/>
              <w:snapToGrid w:val="0"/>
              <w:spacing w:before="0" w:after="0" w:line="240" w:lineRule="auto"/>
              <w:ind w:left="0" w:right="-10" w:firstLine="520"/>
              <w:jc w:val="center"/>
              <w:rPr>
                <w:rFonts w:hint="eastAsia" w:ascii="仿宋_GB2312" w:hAnsi="仿宋_GB2312" w:eastAsia="仿宋_GB2312" w:cs="仿宋_GB2312"/>
                <w:color w:val="auto"/>
                <w:spacing w:val="0"/>
                <w:w w:val="100"/>
                <w:kern w:val="2"/>
                <w:position w:val="0"/>
                <w:sz w:val="21"/>
                <w:szCs w:val="21"/>
                <w:shd w:val="clear"/>
                <w:lang w:eastAsia="zh-CN" w:bidi="ar-SA"/>
              </w:rPr>
            </w:pPr>
          </w:p>
        </w:tc>
        <w:tc>
          <w:tcPr>
            <w:tcW w:w="2694" w:type="dxa"/>
            <w:noWrap w:val="0"/>
            <w:vAlign w:val="center"/>
          </w:tcPr>
          <w:p w14:paraId="14F7576A">
            <w:pPr>
              <w:keepNext w:val="0"/>
              <w:keepLines w:val="0"/>
              <w:shd w:val="clear"/>
              <w:autoSpaceDE w:val="0"/>
              <w:autoSpaceDN w:val="0"/>
              <w:bidi w:val="0"/>
              <w:adjustRightInd w:val="0"/>
              <w:snapToGrid w:val="0"/>
              <w:spacing w:before="0" w:after="0" w:line="240" w:lineRule="auto"/>
              <w:ind w:left="0" w:right="0" w:firstLine="0"/>
              <w:jc w:val="center"/>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毒性气体泄漏监控预警措施</w:t>
            </w:r>
          </w:p>
        </w:tc>
        <w:tc>
          <w:tcPr>
            <w:tcW w:w="4471" w:type="dxa"/>
            <w:noWrap w:val="0"/>
            <w:vAlign w:val="center"/>
          </w:tcPr>
          <w:p w14:paraId="0917FEB8">
            <w:pPr>
              <w:keepNext w:val="0"/>
              <w:keepLines w:val="0"/>
              <w:shd w:val="clear"/>
              <w:autoSpaceDE w:val="0"/>
              <w:autoSpaceDN w:val="0"/>
              <w:bidi w:val="0"/>
              <w:adjustRightInd w:val="0"/>
              <w:snapToGrid w:val="0"/>
              <w:spacing w:before="0" w:after="0" w:line="240" w:lineRule="auto"/>
              <w:ind w:left="240" w:leftChars="100" w:right="38" w:rightChars="16" w:firstLine="0"/>
              <w:jc w:val="both"/>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不涉及</w:t>
            </w:r>
          </w:p>
        </w:tc>
      </w:tr>
      <w:tr w14:paraId="4C820E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1058" w:type="dxa"/>
            <w:vMerge w:val="continue"/>
            <w:noWrap w:val="0"/>
            <w:vAlign w:val="top"/>
          </w:tcPr>
          <w:p w14:paraId="3C0F5582">
            <w:pPr>
              <w:keepNext w:val="0"/>
              <w:keepLines w:val="0"/>
              <w:shd w:val="clear"/>
              <w:autoSpaceDE w:val="0"/>
              <w:autoSpaceDN w:val="0"/>
              <w:bidi w:val="0"/>
              <w:adjustRightInd w:val="0"/>
              <w:snapToGrid w:val="0"/>
              <w:spacing w:before="0" w:after="0" w:line="240" w:lineRule="auto"/>
              <w:ind w:left="0" w:right="-10" w:firstLine="520"/>
              <w:jc w:val="center"/>
              <w:rPr>
                <w:rFonts w:hint="eastAsia" w:ascii="仿宋_GB2312" w:hAnsi="仿宋_GB2312" w:eastAsia="仿宋_GB2312" w:cs="仿宋_GB2312"/>
                <w:color w:val="auto"/>
                <w:spacing w:val="0"/>
                <w:w w:val="100"/>
                <w:kern w:val="2"/>
                <w:position w:val="0"/>
                <w:sz w:val="21"/>
                <w:szCs w:val="21"/>
                <w:shd w:val="clear"/>
                <w:lang w:eastAsia="zh-CN" w:bidi="ar-SA"/>
              </w:rPr>
            </w:pPr>
          </w:p>
        </w:tc>
        <w:tc>
          <w:tcPr>
            <w:tcW w:w="2694" w:type="dxa"/>
            <w:noWrap w:val="0"/>
            <w:vAlign w:val="center"/>
          </w:tcPr>
          <w:p w14:paraId="3CC81D3F">
            <w:pPr>
              <w:keepNext w:val="0"/>
              <w:keepLines w:val="0"/>
              <w:shd w:val="clear"/>
              <w:autoSpaceDE w:val="0"/>
              <w:autoSpaceDN w:val="0"/>
              <w:bidi w:val="0"/>
              <w:adjustRightInd w:val="0"/>
              <w:snapToGrid w:val="0"/>
              <w:spacing w:before="0" w:after="0" w:line="240" w:lineRule="auto"/>
              <w:ind w:left="0" w:right="-10" w:firstLine="0"/>
              <w:jc w:val="center"/>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环评及批复的其他风险防控措施落实情况</w:t>
            </w:r>
          </w:p>
        </w:tc>
        <w:tc>
          <w:tcPr>
            <w:tcW w:w="4471" w:type="dxa"/>
            <w:noWrap w:val="0"/>
            <w:vAlign w:val="center"/>
          </w:tcPr>
          <w:p w14:paraId="1BFD5142">
            <w:pPr>
              <w:keepNext w:val="0"/>
              <w:keepLines w:val="0"/>
              <w:shd w:val="clear"/>
              <w:autoSpaceDE w:val="0"/>
              <w:autoSpaceDN w:val="0"/>
              <w:bidi w:val="0"/>
              <w:adjustRightInd w:val="0"/>
              <w:snapToGrid w:val="0"/>
              <w:spacing w:before="0" w:after="0" w:line="240" w:lineRule="auto"/>
              <w:ind w:left="0" w:right="38" w:rightChars="16" w:firstLine="210" w:firstLineChars="100"/>
              <w:jc w:val="both"/>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落实环评及批复文件要求</w:t>
            </w:r>
          </w:p>
        </w:tc>
      </w:tr>
      <w:tr w14:paraId="47465A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1058" w:type="dxa"/>
            <w:vMerge w:val="restart"/>
            <w:noWrap w:val="0"/>
            <w:vAlign w:val="center"/>
          </w:tcPr>
          <w:p w14:paraId="47AE2364">
            <w:pPr>
              <w:keepNext w:val="0"/>
              <w:keepLines w:val="0"/>
              <w:shd w:val="clear"/>
              <w:autoSpaceDE w:val="0"/>
              <w:autoSpaceDN w:val="0"/>
              <w:bidi w:val="0"/>
              <w:adjustRightInd w:val="0"/>
              <w:snapToGrid w:val="0"/>
              <w:spacing w:before="0" w:after="0" w:line="240" w:lineRule="auto"/>
              <w:ind w:left="0" w:right="-10" w:firstLine="0"/>
              <w:jc w:val="both"/>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硫酸储罐</w:t>
            </w:r>
          </w:p>
        </w:tc>
        <w:tc>
          <w:tcPr>
            <w:tcW w:w="2694" w:type="dxa"/>
            <w:noWrap w:val="0"/>
            <w:vAlign w:val="center"/>
          </w:tcPr>
          <w:p w14:paraId="07AE2F7D">
            <w:pPr>
              <w:keepNext w:val="0"/>
              <w:keepLines w:val="0"/>
              <w:shd w:val="clear"/>
              <w:autoSpaceDE w:val="0"/>
              <w:autoSpaceDN w:val="0"/>
              <w:bidi w:val="0"/>
              <w:adjustRightInd w:val="0"/>
              <w:snapToGrid w:val="0"/>
              <w:spacing w:before="0" w:after="0" w:line="240" w:lineRule="auto"/>
              <w:ind w:left="0" w:right="0" w:firstLine="0"/>
              <w:jc w:val="center"/>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截流措施</w:t>
            </w:r>
          </w:p>
        </w:tc>
        <w:tc>
          <w:tcPr>
            <w:tcW w:w="4471" w:type="dxa"/>
            <w:noWrap w:val="0"/>
            <w:vAlign w:val="center"/>
          </w:tcPr>
          <w:p w14:paraId="65D46248">
            <w:pPr>
              <w:keepNext w:val="0"/>
              <w:keepLines w:val="0"/>
              <w:shd w:val="clear"/>
              <w:autoSpaceDE w:val="0"/>
              <w:autoSpaceDN w:val="0"/>
              <w:bidi w:val="0"/>
              <w:adjustRightInd w:val="0"/>
              <w:snapToGrid w:val="0"/>
              <w:spacing w:before="0" w:after="0" w:line="240" w:lineRule="auto"/>
              <w:ind w:left="0" w:right="38" w:rightChars="16" w:firstLine="0"/>
              <w:jc w:val="both"/>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在室内，有围堰</w:t>
            </w:r>
          </w:p>
        </w:tc>
      </w:tr>
      <w:tr w14:paraId="334031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1058" w:type="dxa"/>
            <w:vMerge w:val="continue"/>
            <w:noWrap w:val="0"/>
            <w:vAlign w:val="top"/>
          </w:tcPr>
          <w:p w14:paraId="74D349A6">
            <w:pPr>
              <w:keepNext w:val="0"/>
              <w:keepLines w:val="0"/>
              <w:shd w:val="clear"/>
              <w:autoSpaceDE w:val="0"/>
              <w:autoSpaceDN w:val="0"/>
              <w:bidi w:val="0"/>
              <w:adjustRightInd w:val="0"/>
              <w:snapToGrid w:val="0"/>
              <w:spacing w:before="0" w:after="0" w:line="240" w:lineRule="auto"/>
              <w:ind w:left="0" w:right="-10" w:firstLine="520"/>
              <w:jc w:val="center"/>
              <w:rPr>
                <w:rFonts w:hint="eastAsia" w:ascii="仿宋_GB2312" w:hAnsi="仿宋_GB2312" w:eastAsia="仿宋_GB2312" w:cs="仿宋_GB2312"/>
                <w:color w:val="auto"/>
                <w:spacing w:val="0"/>
                <w:w w:val="100"/>
                <w:kern w:val="2"/>
                <w:position w:val="0"/>
                <w:sz w:val="21"/>
                <w:szCs w:val="21"/>
                <w:shd w:val="clear"/>
                <w:lang w:eastAsia="zh-CN" w:bidi="ar-SA"/>
              </w:rPr>
            </w:pPr>
          </w:p>
        </w:tc>
        <w:tc>
          <w:tcPr>
            <w:tcW w:w="2694" w:type="dxa"/>
            <w:noWrap w:val="0"/>
            <w:vAlign w:val="center"/>
          </w:tcPr>
          <w:p w14:paraId="55DAAC23">
            <w:pPr>
              <w:keepNext w:val="0"/>
              <w:keepLines w:val="0"/>
              <w:shd w:val="clear"/>
              <w:autoSpaceDE w:val="0"/>
              <w:autoSpaceDN w:val="0"/>
              <w:bidi w:val="0"/>
              <w:adjustRightInd w:val="0"/>
              <w:snapToGrid w:val="0"/>
              <w:spacing w:before="0" w:after="0" w:line="240" w:lineRule="auto"/>
              <w:ind w:left="0" w:right="0" w:firstLine="0"/>
              <w:jc w:val="center"/>
              <w:rPr>
                <w:rFonts w:hint="eastAsia" w:ascii="仿宋_GB2312" w:hAnsi="仿宋_GB2312" w:eastAsia="仿宋_GB2312" w:cs="仿宋_GB2312"/>
                <w:color w:val="auto"/>
                <w:spacing w:val="0"/>
                <w:w w:val="100"/>
                <w:kern w:val="2"/>
                <w:position w:val="0"/>
                <w:sz w:val="21"/>
                <w:szCs w:val="21"/>
                <w:shd w:val="clear"/>
                <w:vertAlign w:val="superscript"/>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事故排水收集措施</w:t>
            </w:r>
          </w:p>
        </w:tc>
        <w:tc>
          <w:tcPr>
            <w:tcW w:w="4471" w:type="dxa"/>
            <w:noWrap w:val="0"/>
            <w:vAlign w:val="center"/>
          </w:tcPr>
          <w:p w14:paraId="5DC30D56">
            <w:pPr>
              <w:keepNext w:val="0"/>
              <w:keepLines w:val="0"/>
              <w:shd w:val="clear"/>
              <w:autoSpaceDE w:val="0"/>
              <w:autoSpaceDN w:val="0"/>
              <w:bidi w:val="0"/>
              <w:adjustRightInd w:val="0"/>
              <w:snapToGrid w:val="0"/>
              <w:spacing w:before="0" w:after="0" w:line="240" w:lineRule="auto"/>
              <w:ind w:left="0" w:right="38" w:rightChars="16" w:firstLine="0"/>
              <w:jc w:val="both"/>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进入1000m³的事故池</w:t>
            </w:r>
          </w:p>
        </w:tc>
      </w:tr>
      <w:tr w14:paraId="43D556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1058" w:type="dxa"/>
            <w:vMerge w:val="continue"/>
            <w:noWrap w:val="0"/>
            <w:vAlign w:val="top"/>
          </w:tcPr>
          <w:p w14:paraId="2FE06418">
            <w:pPr>
              <w:keepNext w:val="0"/>
              <w:keepLines w:val="0"/>
              <w:shd w:val="clear"/>
              <w:autoSpaceDE w:val="0"/>
              <w:autoSpaceDN w:val="0"/>
              <w:bidi w:val="0"/>
              <w:adjustRightInd w:val="0"/>
              <w:snapToGrid w:val="0"/>
              <w:spacing w:before="0" w:after="0" w:line="240" w:lineRule="auto"/>
              <w:ind w:left="0" w:right="-10" w:firstLine="520"/>
              <w:jc w:val="center"/>
              <w:rPr>
                <w:rFonts w:hint="eastAsia" w:ascii="仿宋_GB2312" w:hAnsi="仿宋_GB2312" w:eastAsia="仿宋_GB2312" w:cs="仿宋_GB2312"/>
                <w:color w:val="auto"/>
                <w:spacing w:val="0"/>
                <w:w w:val="100"/>
                <w:kern w:val="2"/>
                <w:position w:val="0"/>
                <w:sz w:val="21"/>
                <w:szCs w:val="21"/>
                <w:shd w:val="clear"/>
                <w:lang w:eastAsia="zh-CN" w:bidi="ar-SA"/>
              </w:rPr>
            </w:pPr>
          </w:p>
        </w:tc>
        <w:tc>
          <w:tcPr>
            <w:tcW w:w="2694" w:type="dxa"/>
            <w:noWrap w:val="0"/>
            <w:vAlign w:val="center"/>
          </w:tcPr>
          <w:p w14:paraId="007F71D5">
            <w:pPr>
              <w:keepNext w:val="0"/>
              <w:keepLines w:val="0"/>
              <w:shd w:val="clear"/>
              <w:autoSpaceDE w:val="0"/>
              <w:autoSpaceDN w:val="0"/>
              <w:bidi w:val="0"/>
              <w:adjustRightInd w:val="0"/>
              <w:snapToGrid w:val="0"/>
              <w:spacing w:before="0" w:after="0" w:line="240" w:lineRule="auto"/>
              <w:ind w:left="0" w:right="0" w:firstLine="0"/>
              <w:jc w:val="center"/>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清净下水系统防控措施</w:t>
            </w:r>
          </w:p>
        </w:tc>
        <w:tc>
          <w:tcPr>
            <w:tcW w:w="4471" w:type="dxa"/>
            <w:noWrap w:val="0"/>
            <w:vAlign w:val="center"/>
          </w:tcPr>
          <w:p w14:paraId="5D5EE4EF">
            <w:pPr>
              <w:keepNext w:val="0"/>
              <w:keepLines w:val="0"/>
              <w:shd w:val="clear"/>
              <w:autoSpaceDE w:val="0"/>
              <w:autoSpaceDN w:val="0"/>
              <w:bidi w:val="0"/>
              <w:adjustRightInd w:val="0"/>
              <w:snapToGrid w:val="0"/>
              <w:spacing w:before="0" w:after="0" w:line="240" w:lineRule="auto"/>
              <w:ind w:left="0" w:right="38" w:rightChars="16" w:firstLine="210" w:firstLineChars="100"/>
              <w:jc w:val="both"/>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不涉及</w:t>
            </w:r>
          </w:p>
        </w:tc>
      </w:tr>
      <w:tr w14:paraId="01FAE3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1058" w:type="dxa"/>
            <w:vMerge w:val="continue"/>
            <w:noWrap w:val="0"/>
            <w:vAlign w:val="top"/>
          </w:tcPr>
          <w:p w14:paraId="19193BDD">
            <w:pPr>
              <w:keepNext w:val="0"/>
              <w:keepLines w:val="0"/>
              <w:shd w:val="clear"/>
              <w:autoSpaceDE w:val="0"/>
              <w:autoSpaceDN w:val="0"/>
              <w:bidi w:val="0"/>
              <w:adjustRightInd w:val="0"/>
              <w:snapToGrid w:val="0"/>
              <w:spacing w:before="0" w:after="0" w:line="240" w:lineRule="auto"/>
              <w:ind w:left="0" w:right="-10" w:firstLine="520"/>
              <w:jc w:val="center"/>
              <w:rPr>
                <w:rFonts w:hint="eastAsia" w:ascii="仿宋_GB2312" w:hAnsi="仿宋_GB2312" w:eastAsia="仿宋_GB2312" w:cs="仿宋_GB2312"/>
                <w:color w:val="auto"/>
                <w:spacing w:val="0"/>
                <w:w w:val="100"/>
                <w:kern w:val="2"/>
                <w:position w:val="0"/>
                <w:sz w:val="21"/>
                <w:szCs w:val="21"/>
                <w:shd w:val="clear"/>
                <w:lang w:eastAsia="zh-CN" w:bidi="ar-SA"/>
              </w:rPr>
            </w:pPr>
          </w:p>
        </w:tc>
        <w:tc>
          <w:tcPr>
            <w:tcW w:w="2694" w:type="dxa"/>
            <w:noWrap w:val="0"/>
            <w:vAlign w:val="center"/>
          </w:tcPr>
          <w:p w14:paraId="335AD82C">
            <w:pPr>
              <w:keepNext w:val="0"/>
              <w:keepLines w:val="0"/>
              <w:shd w:val="clear"/>
              <w:autoSpaceDE w:val="0"/>
              <w:autoSpaceDN w:val="0"/>
              <w:bidi w:val="0"/>
              <w:adjustRightInd w:val="0"/>
              <w:snapToGrid w:val="0"/>
              <w:spacing w:before="0" w:after="0" w:line="240" w:lineRule="auto"/>
              <w:ind w:left="0" w:right="0" w:firstLine="0"/>
              <w:jc w:val="center"/>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雨水系统防控措施</w:t>
            </w:r>
          </w:p>
        </w:tc>
        <w:tc>
          <w:tcPr>
            <w:tcW w:w="4471" w:type="dxa"/>
            <w:noWrap w:val="0"/>
            <w:vAlign w:val="center"/>
          </w:tcPr>
          <w:p w14:paraId="131BB89C">
            <w:pPr>
              <w:keepNext w:val="0"/>
              <w:keepLines w:val="0"/>
              <w:shd w:val="clear"/>
              <w:autoSpaceDE w:val="0"/>
              <w:autoSpaceDN w:val="0"/>
              <w:bidi w:val="0"/>
              <w:adjustRightInd w:val="0"/>
              <w:snapToGrid w:val="0"/>
              <w:spacing w:before="0" w:after="0" w:line="240" w:lineRule="auto"/>
              <w:ind w:left="0" w:right="38" w:rightChars="16" w:firstLine="0"/>
              <w:jc w:val="both"/>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在室内，不涉及</w:t>
            </w:r>
          </w:p>
        </w:tc>
      </w:tr>
      <w:tr w14:paraId="072950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1058" w:type="dxa"/>
            <w:vMerge w:val="continue"/>
            <w:noWrap w:val="0"/>
            <w:vAlign w:val="top"/>
          </w:tcPr>
          <w:p w14:paraId="0B9AA18A">
            <w:pPr>
              <w:keepNext w:val="0"/>
              <w:keepLines w:val="0"/>
              <w:shd w:val="clear"/>
              <w:autoSpaceDE w:val="0"/>
              <w:autoSpaceDN w:val="0"/>
              <w:bidi w:val="0"/>
              <w:adjustRightInd w:val="0"/>
              <w:snapToGrid w:val="0"/>
              <w:spacing w:before="0" w:after="0" w:line="240" w:lineRule="auto"/>
              <w:ind w:left="0" w:right="-10" w:firstLine="520"/>
              <w:jc w:val="center"/>
              <w:rPr>
                <w:rFonts w:hint="eastAsia" w:ascii="仿宋_GB2312" w:hAnsi="仿宋_GB2312" w:eastAsia="仿宋_GB2312" w:cs="仿宋_GB2312"/>
                <w:color w:val="auto"/>
                <w:spacing w:val="0"/>
                <w:w w:val="100"/>
                <w:kern w:val="2"/>
                <w:position w:val="0"/>
                <w:sz w:val="21"/>
                <w:szCs w:val="21"/>
                <w:shd w:val="clear"/>
                <w:lang w:eastAsia="zh-CN" w:bidi="ar-SA"/>
              </w:rPr>
            </w:pPr>
          </w:p>
        </w:tc>
        <w:tc>
          <w:tcPr>
            <w:tcW w:w="2694" w:type="dxa"/>
            <w:noWrap w:val="0"/>
            <w:vAlign w:val="center"/>
          </w:tcPr>
          <w:p w14:paraId="3346F398">
            <w:pPr>
              <w:keepNext w:val="0"/>
              <w:keepLines w:val="0"/>
              <w:shd w:val="clear"/>
              <w:autoSpaceDE w:val="0"/>
              <w:autoSpaceDN w:val="0"/>
              <w:bidi w:val="0"/>
              <w:adjustRightInd w:val="0"/>
              <w:snapToGrid w:val="0"/>
              <w:spacing w:before="0" w:after="0" w:line="240" w:lineRule="auto"/>
              <w:ind w:left="0" w:right="0" w:firstLine="0"/>
              <w:jc w:val="center"/>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生产废水系统防控措施</w:t>
            </w:r>
          </w:p>
        </w:tc>
        <w:tc>
          <w:tcPr>
            <w:tcW w:w="4471" w:type="dxa"/>
            <w:noWrap w:val="0"/>
            <w:vAlign w:val="center"/>
          </w:tcPr>
          <w:p w14:paraId="6E9F8307">
            <w:pPr>
              <w:keepNext w:val="0"/>
              <w:keepLines w:val="0"/>
              <w:shd w:val="clear"/>
              <w:autoSpaceDE w:val="0"/>
              <w:autoSpaceDN w:val="0"/>
              <w:bidi w:val="0"/>
              <w:adjustRightInd w:val="0"/>
              <w:snapToGrid w:val="0"/>
              <w:spacing w:before="0" w:after="0" w:line="240" w:lineRule="auto"/>
              <w:ind w:left="0" w:right="38" w:rightChars="16" w:firstLine="210" w:firstLineChars="100"/>
              <w:jc w:val="both"/>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不涉及</w:t>
            </w:r>
          </w:p>
        </w:tc>
      </w:tr>
      <w:tr w14:paraId="74DACD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1058" w:type="dxa"/>
            <w:vMerge w:val="continue"/>
            <w:noWrap w:val="0"/>
            <w:vAlign w:val="top"/>
          </w:tcPr>
          <w:p w14:paraId="289B4673">
            <w:pPr>
              <w:keepNext w:val="0"/>
              <w:keepLines w:val="0"/>
              <w:shd w:val="clear"/>
              <w:autoSpaceDE w:val="0"/>
              <w:autoSpaceDN w:val="0"/>
              <w:bidi w:val="0"/>
              <w:adjustRightInd w:val="0"/>
              <w:snapToGrid w:val="0"/>
              <w:spacing w:before="0" w:after="0" w:line="240" w:lineRule="auto"/>
              <w:ind w:left="0" w:right="-10" w:firstLine="520"/>
              <w:jc w:val="center"/>
              <w:rPr>
                <w:rFonts w:hint="eastAsia" w:ascii="仿宋_GB2312" w:hAnsi="仿宋_GB2312" w:eastAsia="仿宋_GB2312" w:cs="仿宋_GB2312"/>
                <w:color w:val="auto"/>
                <w:spacing w:val="0"/>
                <w:w w:val="100"/>
                <w:kern w:val="2"/>
                <w:position w:val="0"/>
                <w:sz w:val="21"/>
                <w:szCs w:val="21"/>
                <w:shd w:val="clear"/>
                <w:lang w:eastAsia="zh-CN" w:bidi="ar-SA"/>
              </w:rPr>
            </w:pPr>
          </w:p>
        </w:tc>
        <w:tc>
          <w:tcPr>
            <w:tcW w:w="2694" w:type="dxa"/>
            <w:noWrap w:val="0"/>
            <w:vAlign w:val="center"/>
          </w:tcPr>
          <w:p w14:paraId="156D6ED0">
            <w:pPr>
              <w:keepNext w:val="0"/>
              <w:keepLines w:val="0"/>
              <w:shd w:val="clear"/>
              <w:autoSpaceDE w:val="0"/>
              <w:autoSpaceDN w:val="0"/>
              <w:bidi w:val="0"/>
              <w:adjustRightInd w:val="0"/>
              <w:snapToGrid w:val="0"/>
              <w:spacing w:before="0" w:after="0" w:line="240" w:lineRule="auto"/>
              <w:ind w:left="0" w:right="0" w:firstLine="0"/>
              <w:jc w:val="center"/>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毒性气体泄漏紧急处置装置</w:t>
            </w:r>
          </w:p>
        </w:tc>
        <w:tc>
          <w:tcPr>
            <w:tcW w:w="4471" w:type="dxa"/>
            <w:noWrap w:val="0"/>
            <w:vAlign w:val="center"/>
          </w:tcPr>
          <w:p w14:paraId="2E417E3F">
            <w:pPr>
              <w:keepNext w:val="0"/>
              <w:keepLines w:val="0"/>
              <w:shd w:val="clear"/>
              <w:autoSpaceDE w:val="0"/>
              <w:autoSpaceDN w:val="0"/>
              <w:bidi w:val="0"/>
              <w:adjustRightInd w:val="0"/>
              <w:snapToGrid w:val="0"/>
              <w:spacing w:before="0" w:after="0" w:line="240" w:lineRule="auto"/>
              <w:ind w:left="0" w:right="38" w:rightChars="16" w:firstLine="210" w:firstLineChars="100"/>
              <w:jc w:val="both"/>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不涉及</w:t>
            </w:r>
          </w:p>
        </w:tc>
      </w:tr>
      <w:tr w14:paraId="6E6D0D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1058" w:type="dxa"/>
            <w:vMerge w:val="continue"/>
            <w:noWrap w:val="0"/>
            <w:vAlign w:val="top"/>
          </w:tcPr>
          <w:p w14:paraId="3EDD0D5D">
            <w:pPr>
              <w:keepNext w:val="0"/>
              <w:keepLines w:val="0"/>
              <w:shd w:val="clear"/>
              <w:autoSpaceDE w:val="0"/>
              <w:autoSpaceDN w:val="0"/>
              <w:bidi w:val="0"/>
              <w:adjustRightInd w:val="0"/>
              <w:snapToGrid w:val="0"/>
              <w:spacing w:before="0" w:after="0" w:line="240" w:lineRule="auto"/>
              <w:ind w:left="0" w:right="-10" w:firstLine="520"/>
              <w:jc w:val="center"/>
              <w:rPr>
                <w:rFonts w:hint="eastAsia" w:ascii="仿宋_GB2312" w:hAnsi="仿宋_GB2312" w:eastAsia="仿宋_GB2312" w:cs="仿宋_GB2312"/>
                <w:color w:val="auto"/>
                <w:spacing w:val="0"/>
                <w:w w:val="100"/>
                <w:kern w:val="2"/>
                <w:position w:val="0"/>
                <w:sz w:val="21"/>
                <w:szCs w:val="21"/>
                <w:shd w:val="clear"/>
                <w:lang w:eastAsia="zh-CN" w:bidi="ar-SA"/>
              </w:rPr>
            </w:pPr>
          </w:p>
        </w:tc>
        <w:tc>
          <w:tcPr>
            <w:tcW w:w="2694" w:type="dxa"/>
            <w:noWrap w:val="0"/>
            <w:vAlign w:val="center"/>
          </w:tcPr>
          <w:p w14:paraId="3803A0B0">
            <w:pPr>
              <w:keepNext w:val="0"/>
              <w:keepLines w:val="0"/>
              <w:shd w:val="clear"/>
              <w:autoSpaceDE w:val="0"/>
              <w:autoSpaceDN w:val="0"/>
              <w:bidi w:val="0"/>
              <w:adjustRightInd w:val="0"/>
              <w:snapToGrid w:val="0"/>
              <w:spacing w:before="0" w:after="0" w:line="240" w:lineRule="auto"/>
              <w:ind w:left="0" w:right="0" w:firstLine="0"/>
              <w:jc w:val="center"/>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毒性气体泄漏监控预警措施</w:t>
            </w:r>
          </w:p>
        </w:tc>
        <w:tc>
          <w:tcPr>
            <w:tcW w:w="4471" w:type="dxa"/>
            <w:noWrap w:val="0"/>
            <w:vAlign w:val="center"/>
          </w:tcPr>
          <w:p w14:paraId="5BE327F8">
            <w:pPr>
              <w:keepNext w:val="0"/>
              <w:keepLines w:val="0"/>
              <w:shd w:val="clear"/>
              <w:autoSpaceDE w:val="0"/>
              <w:autoSpaceDN w:val="0"/>
              <w:bidi w:val="0"/>
              <w:adjustRightInd w:val="0"/>
              <w:snapToGrid w:val="0"/>
              <w:spacing w:before="0" w:after="0" w:line="240" w:lineRule="auto"/>
              <w:ind w:left="240" w:leftChars="100" w:right="38" w:rightChars="16" w:firstLine="0"/>
              <w:jc w:val="both"/>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不涉及</w:t>
            </w:r>
          </w:p>
        </w:tc>
      </w:tr>
      <w:tr w14:paraId="4DADE2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1058" w:type="dxa"/>
            <w:vMerge w:val="continue"/>
            <w:noWrap w:val="0"/>
            <w:vAlign w:val="top"/>
          </w:tcPr>
          <w:p w14:paraId="7BD0D7D1">
            <w:pPr>
              <w:keepNext w:val="0"/>
              <w:keepLines w:val="0"/>
              <w:shd w:val="clear"/>
              <w:autoSpaceDE w:val="0"/>
              <w:autoSpaceDN w:val="0"/>
              <w:bidi w:val="0"/>
              <w:adjustRightInd w:val="0"/>
              <w:snapToGrid w:val="0"/>
              <w:spacing w:before="0" w:after="0" w:line="240" w:lineRule="auto"/>
              <w:ind w:left="0" w:right="-10" w:firstLine="520"/>
              <w:jc w:val="center"/>
              <w:rPr>
                <w:rFonts w:hint="eastAsia" w:ascii="仿宋_GB2312" w:hAnsi="仿宋_GB2312" w:eastAsia="仿宋_GB2312" w:cs="仿宋_GB2312"/>
                <w:color w:val="auto"/>
                <w:spacing w:val="0"/>
                <w:w w:val="100"/>
                <w:kern w:val="2"/>
                <w:position w:val="0"/>
                <w:sz w:val="21"/>
                <w:szCs w:val="21"/>
                <w:shd w:val="clear"/>
                <w:lang w:eastAsia="zh-CN" w:bidi="ar-SA"/>
              </w:rPr>
            </w:pPr>
          </w:p>
        </w:tc>
        <w:tc>
          <w:tcPr>
            <w:tcW w:w="2694" w:type="dxa"/>
            <w:noWrap w:val="0"/>
            <w:vAlign w:val="center"/>
          </w:tcPr>
          <w:p w14:paraId="36D1ACEA">
            <w:pPr>
              <w:keepNext w:val="0"/>
              <w:keepLines w:val="0"/>
              <w:shd w:val="clear"/>
              <w:autoSpaceDE w:val="0"/>
              <w:autoSpaceDN w:val="0"/>
              <w:bidi w:val="0"/>
              <w:adjustRightInd w:val="0"/>
              <w:snapToGrid w:val="0"/>
              <w:spacing w:before="0" w:after="0" w:line="240" w:lineRule="auto"/>
              <w:ind w:left="0" w:right="-10" w:firstLine="0"/>
              <w:jc w:val="center"/>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环评及批复的其他风险防控措施落实情况</w:t>
            </w:r>
          </w:p>
        </w:tc>
        <w:tc>
          <w:tcPr>
            <w:tcW w:w="4471" w:type="dxa"/>
            <w:noWrap w:val="0"/>
            <w:vAlign w:val="center"/>
          </w:tcPr>
          <w:p w14:paraId="4B487231">
            <w:pPr>
              <w:keepNext w:val="0"/>
              <w:keepLines w:val="0"/>
              <w:shd w:val="clear"/>
              <w:autoSpaceDE w:val="0"/>
              <w:autoSpaceDN w:val="0"/>
              <w:bidi w:val="0"/>
              <w:adjustRightInd w:val="0"/>
              <w:snapToGrid w:val="0"/>
              <w:spacing w:before="0" w:after="0" w:line="240" w:lineRule="auto"/>
              <w:ind w:right="38" w:rightChars="16"/>
              <w:jc w:val="both"/>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落实环评及批复文件要求</w:t>
            </w:r>
          </w:p>
        </w:tc>
      </w:tr>
      <w:tr w14:paraId="3A8004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1058" w:type="dxa"/>
            <w:vMerge w:val="restart"/>
            <w:noWrap w:val="0"/>
            <w:vAlign w:val="center"/>
          </w:tcPr>
          <w:p w14:paraId="6B4B3AC4">
            <w:pPr>
              <w:keepNext w:val="0"/>
              <w:keepLines w:val="0"/>
              <w:shd w:val="clear"/>
              <w:autoSpaceDE w:val="0"/>
              <w:autoSpaceDN w:val="0"/>
              <w:bidi w:val="0"/>
              <w:adjustRightInd w:val="0"/>
              <w:snapToGrid w:val="0"/>
              <w:spacing w:before="0" w:after="0" w:line="240" w:lineRule="auto"/>
              <w:ind w:left="0" w:right="-10" w:firstLine="0"/>
              <w:jc w:val="both"/>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氨水罐区</w:t>
            </w:r>
          </w:p>
        </w:tc>
        <w:tc>
          <w:tcPr>
            <w:tcW w:w="2694" w:type="dxa"/>
            <w:noWrap w:val="0"/>
            <w:vAlign w:val="center"/>
          </w:tcPr>
          <w:p w14:paraId="52093CBE">
            <w:pPr>
              <w:keepNext w:val="0"/>
              <w:keepLines w:val="0"/>
              <w:shd w:val="clear"/>
              <w:autoSpaceDE w:val="0"/>
              <w:autoSpaceDN w:val="0"/>
              <w:bidi w:val="0"/>
              <w:adjustRightInd w:val="0"/>
              <w:snapToGrid w:val="0"/>
              <w:spacing w:before="0" w:after="0" w:line="240" w:lineRule="auto"/>
              <w:ind w:left="0" w:right="0" w:firstLine="0"/>
              <w:jc w:val="center"/>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截流措施</w:t>
            </w:r>
          </w:p>
        </w:tc>
        <w:tc>
          <w:tcPr>
            <w:tcW w:w="4471" w:type="dxa"/>
            <w:noWrap w:val="0"/>
            <w:vAlign w:val="center"/>
          </w:tcPr>
          <w:p w14:paraId="01E4A291">
            <w:pPr>
              <w:keepNext w:val="0"/>
              <w:keepLines w:val="0"/>
              <w:shd w:val="clear"/>
              <w:autoSpaceDE w:val="0"/>
              <w:autoSpaceDN w:val="0"/>
              <w:bidi w:val="0"/>
              <w:adjustRightInd w:val="0"/>
              <w:snapToGrid w:val="0"/>
              <w:spacing w:before="0" w:after="0" w:line="240" w:lineRule="auto"/>
              <w:ind w:right="38" w:rightChars="16"/>
              <w:jc w:val="both"/>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在室内，有围堰</w:t>
            </w:r>
          </w:p>
        </w:tc>
      </w:tr>
      <w:tr w14:paraId="0C895E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1058" w:type="dxa"/>
            <w:vMerge w:val="continue"/>
            <w:noWrap w:val="0"/>
            <w:vAlign w:val="top"/>
          </w:tcPr>
          <w:p w14:paraId="6F20721F">
            <w:pPr>
              <w:keepNext w:val="0"/>
              <w:keepLines w:val="0"/>
              <w:shd w:val="clear"/>
              <w:autoSpaceDE w:val="0"/>
              <w:autoSpaceDN w:val="0"/>
              <w:bidi w:val="0"/>
              <w:adjustRightInd w:val="0"/>
              <w:snapToGrid w:val="0"/>
              <w:spacing w:before="0" w:after="0" w:line="240" w:lineRule="auto"/>
              <w:ind w:left="0" w:right="-10" w:firstLine="520"/>
              <w:jc w:val="center"/>
              <w:rPr>
                <w:rFonts w:hint="eastAsia" w:ascii="仿宋_GB2312" w:hAnsi="仿宋_GB2312" w:eastAsia="仿宋_GB2312" w:cs="仿宋_GB2312"/>
                <w:color w:val="auto"/>
                <w:spacing w:val="0"/>
                <w:w w:val="100"/>
                <w:kern w:val="2"/>
                <w:position w:val="0"/>
                <w:sz w:val="21"/>
                <w:szCs w:val="21"/>
                <w:shd w:val="clear"/>
                <w:lang w:eastAsia="zh-CN" w:bidi="ar-SA"/>
              </w:rPr>
            </w:pPr>
          </w:p>
        </w:tc>
        <w:tc>
          <w:tcPr>
            <w:tcW w:w="2694" w:type="dxa"/>
            <w:noWrap w:val="0"/>
            <w:vAlign w:val="center"/>
          </w:tcPr>
          <w:p w14:paraId="41DECD5B">
            <w:pPr>
              <w:keepNext w:val="0"/>
              <w:keepLines w:val="0"/>
              <w:shd w:val="clear"/>
              <w:autoSpaceDE w:val="0"/>
              <w:autoSpaceDN w:val="0"/>
              <w:bidi w:val="0"/>
              <w:adjustRightInd w:val="0"/>
              <w:snapToGrid w:val="0"/>
              <w:spacing w:before="0" w:after="0" w:line="240" w:lineRule="auto"/>
              <w:ind w:left="0" w:right="0" w:firstLine="0"/>
              <w:jc w:val="center"/>
              <w:rPr>
                <w:rFonts w:hint="eastAsia" w:ascii="仿宋_GB2312" w:hAnsi="仿宋_GB2312" w:eastAsia="仿宋_GB2312" w:cs="仿宋_GB2312"/>
                <w:color w:val="auto"/>
                <w:spacing w:val="0"/>
                <w:w w:val="100"/>
                <w:kern w:val="2"/>
                <w:position w:val="0"/>
                <w:sz w:val="21"/>
                <w:szCs w:val="21"/>
                <w:shd w:val="clear"/>
                <w:vertAlign w:val="superscript"/>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事故排水收集措施</w:t>
            </w:r>
          </w:p>
        </w:tc>
        <w:tc>
          <w:tcPr>
            <w:tcW w:w="4471" w:type="dxa"/>
            <w:noWrap w:val="0"/>
            <w:vAlign w:val="center"/>
          </w:tcPr>
          <w:p w14:paraId="46E5F040">
            <w:pPr>
              <w:keepNext w:val="0"/>
              <w:keepLines w:val="0"/>
              <w:shd w:val="clear"/>
              <w:autoSpaceDE w:val="0"/>
              <w:autoSpaceDN w:val="0"/>
              <w:bidi w:val="0"/>
              <w:adjustRightInd w:val="0"/>
              <w:snapToGrid w:val="0"/>
              <w:spacing w:before="0" w:after="0" w:line="240" w:lineRule="auto"/>
              <w:ind w:left="0" w:right="38" w:rightChars="16" w:firstLine="0"/>
              <w:jc w:val="both"/>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进入1000m³的事故池</w:t>
            </w:r>
          </w:p>
        </w:tc>
      </w:tr>
      <w:tr w14:paraId="6E6827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1058" w:type="dxa"/>
            <w:vMerge w:val="continue"/>
            <w:noWrap w:val="0"/>
            <w:vAlign w:val="top"/>
          </w:tcPr>
          <w:p w14:paraId="6B3C6662">
            <w:pPr>
              <w:keepNext w:val="0"/>
              <w:keepLines w:val="0"/>
              <w:shd w:val="clear"/>
              <w:autoSpaceDE w:val="0"/>
              <w:autoSpaceDN w:val="0"/>
              <w:bidi w:val="0"/>
              <w:adjustRightInd w:val="0"/>
              <w:snapToGrid w:val="0"/>
              <w:spacing w:before="0" w:after="0" w:line="240" w:lineRule="auto"/>
              <w:ind w:left="0" w:right="-10" w:firstLine="520"/>
              <w:jc w:val="center"/>
              <w:rPr>
                <w:rFonts w:hint="eastAsia" w:ascii="仿宋_GB2312" w:hAnsi="仿宋_GB2312" w:eastAsia="仿宋_GB2312" w:cs="仿宋_GB2312"/>
                <w:color w:val="auto"/>
                <w:spacing w:val="0"/>
                <w:w w:val="100"/>
                <w:kern w:val="2"/>
                <w:position w:val="0"/>
                <w:sz w:val="21"/>
                <w:szCs w:val="21"/>
                <w:shd w:val="clear"/>
                <w:lang w:eastAsia="zh-CN" w:bidi="ar-SA"/>
              </w:rPr>
            </w:pPr>
          </w:p>
        </w:tc>
        <w:tc>
          <w:tcPr>
            <w:tcW w:w="2694" w:type="dxa"/>
            <w:noWrap w:val="0"/>
            <w:vAlign w:val="center"/>
          </w:tcPr>
          <w:p w14:paraId="4C80D8A0">
            <w:pPr>
              <w:keepNext w:val="0"/>
              <w:keepLines w:val="0"/>
              <w:shd w:val="clear"/>
              <w:autoSpaceDE w:val="0"/>
              <w:autoSpaceDN w:val="0"/>
              <w:bidi w:val="0"/>
              <w:adjustRightInd w:val="0"/>
              <w:snapToGrid w:val="0"/>
              <w:spacing w:before="0" w:after="0" w:line="240" w:lineRule="auto"/>
              <w:ind w:left="0" w:right="0" w:firstLine="0"/>
              <w:jc w:val="center"/>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清净下水系统防控措施</w:t>
            </w:r>
          </w:p>
        </w:tc>
        <w:tc>
          <w:tcPr>
            <w:tcW w:w="4471" w:type="dxa"/>
            <w:noWrap w:val="0"/>
            <w:vAlign w:val="center"/>
          </w:tcPr>
          <w:p w14:paraId="28B5AAC4">
            <w:pPr>
              <w:keepNext w:val="0"/>
              <w:keepLines w:val="0"/>
              <w:shd w:val="clear"/>
              <w:autoSpaceDE w:val="0"/>
              <w:autoSpaceDN w:val="0"/>
              <w:bidi w:val="0"/>
              <w:adjustRightInd w:val="0"/>
              <w:snapToGrid w:val="0"/>
              <w:spacing w:before="0" w:after="0" w:line="240" w:lineRule="auto"/>
              <w:ind w:left="0" w:right="38" w:rightChars="16" w:firstLine="210" w:firstLineChars="100"/>
              <w:jc w:val="both"/>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不涉及</w:t>
            </w:r>
          </w:p>
        </w:tc>
      </w:tr>
      <w:tr w14:paraId="3CFC14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1058" w:type="dxa"/>
            <w:vMerge w:val="continue"/>
            <w:noWrap w:val="0"/>
            <w:vAlign w:val="top"/>
          </w:tcPr>
          <w:p w14:paraId="54DA1861">
            <w:pPr>
              <w:keepNext w:val="0"/>
              <w:keepLines w:val="0"/>
              <w:shd w:val="clear"/>
              <w:autoSpaceDE w:val="0"/>
              <w:autoSpaceDN w:val="0"/>
              <w:bidi w:val="0"/>
              <w:adjustRightInd w:val="0"/>
              <w:snapToGrid w:val="0"/>
              <w:spacing w:before="0" w:after="0" w:line="240" w:lineRule="auto"/>
              <w:ind w:left="0" w:right="-10" w:firstLine="520"/>
              <w:jc w:val="center"/>
              <w:rPr>
                <w:rFonts w:hint="eastAsia" w:ascii="仿宋_GB2312" w:hAnsi="仿宋_GB2312" w:eastAsia="仿宋_GB2312" w:cs="仿宋_GB2312"/>
                <w:color w:val="auto"/>
                <w:spacing w:val="0"/>
                <w:w w:val="100"/>
                <w:kern w:val="2"/>
                <w:position w:val="0"/>
                <w:sz w:val="21"/>
                <w:szCs w:val="21"/>
                <w:shd w:val="clear"/>
                <w:lang w:eastAsia="zh-CN" w:bidi="ar-SA"/>
              </w:rPr>
            </w:pPr>
          </w:p>
        </w:tc>
        <w:tc>
          <w:tcPr>
            <w:tcW w:w="2694" w:type="dxa"/>
            <w:noWrap w:val="0"/>
            <w:vAlign w:val="center"/>
          </w:tcPr>
          <w:p w14:paraId="08424780">
            <w:pPr>
              <w:keepNext w:val="0"/>
              <w:keepLines w:val="0"/>
              <w:shd w:val="clear"/>
              <w:autoSpaceDE w:val="0"/>
              <w:autoSpaceDN w:val="0"/>
              <w:bidi w:val="0"/>
              <w:adjustRightInd w:val="0"/>
              <w:snapToGrid w:val="0"/>
              <w:spacing w:before="0" w:after="0" w:line="240" w:lineRule="auto"/>
              <w:ind w:left="0" w:right="0" w:firstLine="0"/>
              <w:jc w:val="center"/>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雨水系统防控措施</w:t>
            </w:r>
          </w:p>
        </w:tc>
        <w:tc>
          <w:tcPr>
            <w:tcW w:w="4471" w:type="dxa"/>
            <w:noWrap w:val="0"/>
            <w:vAlign w:val="center"/>
          </w:tcPr>
          <w:p w14:paraId="18CD6925">
            <w:pPr>
              <w:keepNext w:val="0"/>
              <w:keepLines w:val="0"/>
              <w:shd w:val="clear"/>
              <w:autoSpaceDE w:val="0"/>
              <w:autoSpaceDN w:val="0"/>
              <w:bidi w:val="0"/>
              <w:adjustRightInd w:val="0"/>
              <w:snapToGrid w:val="0"/>
              <w:spacing w:before="0" w:after="0" w:line="240" w:lineRule="auto"/>
              <w:ind w:left="0" w:right="38" w:rightChars="16" w:firstLine="210" w:firstLineChars="100"/>
              <w:jc w:val="both"/>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在室内，不涉及</w:t>
            </w:r>
          </w:p>
        </w:tc>
      </w:tr>
      <w:tr w14:paraId="388455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1058" w:type="dxa"/>
            <w:vMerge w:val="continue"/>
            <w:noWrap w:val="0"/>
            <w:vAlign w:val="top"/>
          </w:tcPr>
          <w:p w14:paraId="153DCA2B">
            <w:pPr>
              <w:keepNext w:val="0"/>
              <w:keepLines w:val="0"/>
              <w:shd w:val="clear"/>
              <w:autoSpaceDE w:val="0"/>
              <w:autoSpaceDN w:val="0"/>
              <w:bidi w:val="0"/>
              <w:adjustRightInd w:val="0"/>
              <w:snapToGrid w:val="0"/>
              <w:spacing w:before="0" w:after="0" w:line="240" w:lineRule="auto"/>
              <w:ind w:left="0" w:right="-10" w:firstLine="520"/>
              <w:jc w:val="center"/>
              <w:rPr>
                <w:rFonts w:hint="eastAsia" w:ascii="仿宋_GB2312" w:hAnsi="仿宋_GB2312" w:eastAsia="仿宋_GB2312" w:cs="仿宋_GB2312"/>
                <w:color w:val="auto"/>
                <w:spacing w:val="0"/>
                <w:w w:val="100"/>
                <w:kern w:val="2"/>
                <w:position w:val="0"/>
                <w:sz w:val="21"/>
                <w:szCs w:val="21"/>
                <w:shd w:val="clear"/>
                <w:lang w:eastAsia="zh-CN" w:bidi="ar-SA"/>
              </w:rPr>
            </w:pPr>
          </w:p>
        </w:tc>
        <w:tc>
          <w:tcPr>
            <w:tcW w:w="2694" w:type="dxa"/>
            <w:noWrap w:val="0"/>
            <w:vAlign w:val="center"/>
          </w:tcPr>
          <w:p w14:paraId="7418AEE0">
            <w:pPr>
              <w:keepNext w:val="0"/>
              <w:keepLines w:val="0"/>
              <w:shd w:val="clear"/>
              <w:autoSpaceDE w:val="0"/>
              <w:autoSpaceDN w:val="0"/>
              <w:bidi w:val="0"/>
              <w:adjustRightInd w:val="0"/>
              <w:snapToGrid w:val="0"/>
              <w:spacing w:before="0" w:after="0" w:line="240" w:lineRule="auto"/>
              <w:ind w:left="0" w:right="0" w:firstLine="0"/>
              <w:jc w:val="center"/>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生产废水系统防控措施</w:t>
            </w:r>
          </w:p>
        </w:tc>
        <w:tc>
          <w:tcPr>
            <w:tcW w:w="4471" w:type="dxa"/>
            <w:noWrap w:val="0"/>
            <w:vAlign w:val="center"/>
          </w:tcPr>
          <w:p w14:paraId="798CF975">
            <w:pPr>
              <w:keepNext w:val="0"/>
              <w:keepLines w:val="0"/>
              <w:shd w:val="clear"/>
              <w:autoSpaceDE w:val="0"/>
              <w:autoSpaceDN w:val="0"/>
              <w:bidi w:val="0"/>
              <w:adjustRightInd w:val="0"/>
              <w:snapToGrid w:val="0"/>
              <w:spacing w:before="0" w:after="0" w:line="240" w:lineRule="auto"/>
              <w:ind w:left="0" w:right="38" w:rightChars="16" w:firstLine="210" w:firstLineChars="100"/>
              <w:jc w:val="both"/>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不涉及</w:t>
            </w:r>
          </w:p>
        </w:tc>
      </w:tr>
      <w:tr w14:paraId="47846D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1058" w:type="dxa"/>
            <w:vMerge w:val="continue"/>
            <w:noWrap w:val="0"/>
            <w:vAlign w:val="top"/>
          </w:tcPr>
          <w:p w14:paraId="40494F0A">
            <w:pPr>
              <w:keepNext w:val="0"/>
              <w:keepLines w:val="0"/>
              <w:shd w:val="clear"/>
              <w:autoSpaceDE w:val="0"/>
              <w:autoSpaceDN w:val="0"/>
              <w:bidi w:val="0"/>
              <w:adjustRightInd w:val="0"/>
              <w:snapToGrid w:val="0"/>
              <w:spacing w:before="0" w:after="0" w:line="240" w:lineRule="auto"/>
              <w:ind w:left="0" w:right="-10" w:firstLine="520"/>
              <w:jc w:val="center"/>
              <w:rPr>
                <w:rFonts w:hint="eastAsia" w:ascii="仿宋_GB2312" w:hAnsi="仿宋_GB2312" w:eastAsia="仿宋_GB2312" w:cs="仿宋_GB2312"/>
                <w:color w:val="auto"/>
                <w:spacing w:val="0"/>
                <w:w w:val="100"/>
                <w:kern w:val="2"/>
                <w:position w:val="0"/>
                <w:sz w:val="21"/>
                <w:szCs w:val="21"/>
                <w:shd w:val="clear"/>
                <w:lang w:eastAsia="zh-CN" w:bidi="ar-SA"/>
              </w:rPr>
            </w:pPr>
          </w:p>
        </w:tc>
        <w:tc>
          <w:tcPr>
            <w:tcW w:w="2694" w:type="dxa"/>
            <w:noWrap w:val="0"/>
            <w:vAlign w:val="center"/>
          </w:tcPr>
          <w:p w14:paraId="701D07EB">
            <w:pPr>
              <w:keepNext w:val="0"/>
              <w:keepLines w:val="0"/>
              <w:shd w:val="clear"/>
              <w:autoSpaceDE w:val="0"/>
              <w:autoSpaceDN w:val="0"/>
              <w:bidi w:val="0"/>
              <w:adjustRightInd w:val="0"/>
              <w:snapToGrid w:val="0"/>
              <w:spacing w:before="0" w:after="0" w:line="240" w:lineRule="auto"/>
              <w:ind w:left="0" w:right="0" w:firstLine="0"/>
              <w:jc w:val="center"/>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毒性气体泄漏紧急处置装置</w:t>
            </w:r>
          </w:p>
        </w:tc>
        <w:tc>
          <w:tcPr>
            <w:tcW w:w="4471" w:type="dxa"/>
            <w:noWrap w:val="0"/>
            <w:vAlign w:val="center"/>
          </w:tcPr>
          <w:p w14:paraId="61F5E92E">
            <w:pPr>
              <w:keepNext w:val="0"/>
              <w:keepLines w:val="0"/>
              <w:shd w:val="clear"/>
              <w:autoSpaceDE w:val="0"/>
              <w:autoSpaceDN w:val="0"/>
              <w:bidi w:val="0"/>
              <w:adjustRightInd w:val="0"/>
              <w:snapToGrid w:val="0"/>
              <w:spacing w:before="0" w:after="0" w:line="240" w:lineRule="auto"/>
              <w:ind w:left="0" w:right="38" w:rightChars="16" w:firstLine="210" w:firstLineChars="100"/>
              <w:jc w:val="both"/>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不涉及</w:t>
            </w:r>
          </w:p>
        </w:tc>
      </w:tr>
      <w:tr w14:paraId="14F147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1058" w:type="dxa"/>
            <w:vMerge w:val="continue"/>
            <w:noWrap w:val="0"/>
            <w:vAlign w:val="top"/>
          </w:tcPr>
          <w:p w14:paraId="4889EF5C">
            <w:pPr>
              <w:keepNext w:val="0"/>
              <w:keepLines w:val="0"/>
              <w:shd w:val="clear"/>
              <w:autoSpaceDE w:val="0"/>
              <w:autoSpaceDN w:val="0"/>
              <w:bidi w:val="0"/>
              <w:adjustRightInd w:val="0"/>
              <w:snapToGrid w:val="0"/>
              <w:spacing w:before="0" w:after="0" w:line="240" w:lineRule="auto"/>
              <w:ind w:left="0" w:right="-10" w:firstLine="520"/>
              <w:jc w:val="center"/>
              <w:rPr>
                <w:rFonts w:hint="eastAsia" w:ascii="仿宋_GB2312" w:hAnsi="仿宋_GB2312" w:eastAsia="仿宋_GB2312" w:cs="仿宋_GB2312"/>
                <w:color w:val="auto"/>
                <w:spacing w:val="0"/>
                <w:w w:val="100"/>
                <w:kern w:val="2"/>
                <w:position w:val="0"/>
                <w:sz w:val="21"/>
                <w:szCs w:val="21"/>
                <w:shd w:val="clear"/>
                <w:lang w:eastAsia="zh-CN" w:bidi="ar-SA"/>
              </w:rPr>
            </w:pPr>
          </w:p>
        </w:tc>
        <w:tc>
          <w:tcPr>
            <w:tcW w:w="2694" w:type="dxa"/>
            <w:noWrap w:val="0"/>
            <w:vAlign w:val="center"/>
          </w:tcPr>
          <w:p w14:paraId="1A4AA25A">
            <w:pPr>
              <w:keepNext w:val="0"/>
              <w:keepLines w:val="0"/>
              <w:shd w:val="clear"/>
              <w:autoSpaceDE w:val="0"/>
              <w:autoSpaceDN w:val="0"/>
              <w:bidi w:val="0"/>
              <w:adjustRightInd w:val="0"/>
              <w:snapToGrid w:val="0"/>
              <w:spacing w:before="0" w:after="0" w:line="240" w:lineRule="auto"/>
              <w:ind w:left="0" w:right="0" w:firstLine="0"/>
              <w:jc w:val="center"/>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毒性气体泄漏监控预警措施</w:t>
            </w:r>
          </w:p>
        </w:tc>
        <w:tc>
          <w:tcPr>
            <w:tcW w:w="4471" w:type="dxa"/>
            <w:noWrap w:val="0"/>
            <w:vAlign w:val="center"/>
          </w:tcPr>
          <w:p w14:paraId="7569ADC5">
            <w:pPr>
              <w:keepNext w:val="0"/>
              <w:keepLines w:val="0"/>
              <w:shd w:val="clear"/>
              <w:autoSpaceDE w:val="0"/>
              <w:autoSpaceDN w:val="0"/>
              <w:bidi w:val="0"/>
              <w:adjustRightInd w:val="0"/>
              <w:snapToGrid w:val="0"/>
              <w:spacing w:before="0" w:after="0" w:line="240" w:lineRule="auto"/>
              <w:ind w:left="0" w:right="38" w:rightChars="16" w:firstLine="210" w:firstLineChars="100"/>
              <w:jc w:val="both"/>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不涉及</w:t>
            </w:r>
          </w:p>
        </w:tc>
      </w:tr>
      <w:tr w14:paraId="77D16F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1058" w:type="dxa"/>
            <w:vMerge w:val="continue"/>
            <w:noWrap w:val="0"/>
            <w:vAlign w:val="top"/>
          </w:tcPr>
          <w:p w14:paraId="653B8F9B">
            <w:pPr>
              <w:keepNext w:val="0"/>
              <w:keepLines w:val="0"/>
              <w:shd w:val="clear"/>
              <w:autoSpaceDE w:val="0"/>
              <w:autoSpaceDN w:val="0"/>
              <w:bidi w:val="0"/>
              <w:adjustRightInd w:val="0"/>
              <w:snapToGrid w:val="0"/>
              <w:spacing w:before="0" w:after="0" w:line="240" w:lineRule="auto"/>
              <w:ind w:left="0" w:right="-10" w:firstLine="520"/>
              <w:jc w:val="center"/>
              <w:rPr>
                <w:rFonts w:hint="eastAsia" w:ascii="仿宋_GB2312" w:hAnsi="仿宋_GB2312" w:eastAsia="仿宋_GB2312" w:cs="仿宋_GB2312"/>
                <w:color w:val="auto"/>
                <w:spacing w:val="0"/>
                <w:w w:val="100"/>
                <w:kern w:val="2"/>
                <w:position w:val="0"/>
                <w:sz w:val="21"/>
                <w:szCs w:val="21"/>
                <w:shd w:val="clear"/>
                <w:lang w:eastAsia="zh-CN" w:bidi="ar-SA"/>
              </w:rPr>
            </w:pPr>
          </w:p>
        </w:tc>
        <w:tc>
          <w:tcPr>
            <w:tcW w:w="2694" w:type="dxa"/>
            <w:noWrap w:val="0"/>
            <w:vAlign w:val="center"/>
          </w:tcPr>
          <w:p w14:paraId="428ED6F8">
            <w:pPr>
              <w:keepNext w:val="0"/>
              <w:keepLines w:val="0"/>
              <w:shd w:val="clear"/>
              <w:autoSpaceDE w:val="0"/>
              <w:autoSpaceDN w:val="0"/>
              <w:bidi w:val="0"/>
              <w:adjustRightInd w:val="0"/>
              <w:snapToGrid w:val="0"/>
              <w:spacing w:before="0" w:after="0" w:line="240" w:lineRule="auto"/>
              <w:ind w:left="0" w:right="-10" w:firstLine="0"/>
              <w:jc w:val="center"/>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环评及批复的其他风险防控措施落实情况</w:t>
            </w:r>
          </w:p>
        </w:tc>
        <w:tc>
          <w:tcPr>
            <w:tcW w:w="4471" w:type="dxa"/>
            <w:noWrap w:val="0"/>
            <w:vAlign w:val="center"/>
          </w:tcPr>
          <w:p w14:paraId="03445277">
            <w:pPr>
              <w:keepNext w:val="0"/>
              <w:keepLines w:val="0"/>
              <w:shd w:val="clear"/>
              <w:autoSpaceDE w:val="0"/>
              <w:autoSpaceDN w:val="0"/>
              <w:bidi w:val="0"/>
              <w:adjustRightInd w:val="0"/>
              <w:snapToGrid w:val="0"/>
              <w:spacing w:before="0" w:after="0" w:line="240" w:lineRule="auto"/>
              <w:ind w:left="0" w:right="38" w:rightChars="16" w:firstLine="210" w:firstLineChars="100"/>
              <w:jc w:val="both"/>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落实环评及批复文件要求</w:t>
            </w:r>
          </w:p>
        </w:tc>
      </w:tr>
      <w:tr w14:paraId="5D919A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1058" w:type="dxa"/>
            <w:vMerge w:val="restart"/>
            <w:noWrap w:val="0"/>
            <w:vAlign w:val="center"/>
          </w:tcPr>
          <w:p w14:paraId="239573C6">
            <w:pPr>
              <w:keepNext w:val="0"/>
              <w:keepLines w:val="0"/>
              <w:shd w:val="clear"/>
              <w:autoSpaceDE w:val="0"/>
              <w:autoSpaceDN w:val="0"/>
              <w:bidi w:val="0"/>
              <w:adjustRightInd w:val="0"/>
              <w:snapToGrid w:val="0"/>
              <w:spacing w:before="0" w:after="0" w:line="240" w:lineRule="auto"/>
              <w:ind w:left="0" w:right="-10" w:firstLine="520"/>
              <w:jc w:val="center"/>
              <w:rPr>
                <w:rFonts w:hint="eastAsia" w:ascii="仿宋_GB2312" w:hAnsi="仿宋_GB2312" w:eastAsia="仿宋_GB2312" w:cs="仿宋_GB2312"/>
                <w:color w:val="auto"/>
                <w:spacing w:val="0"/>
                <w:w w:val="100"/>
                <w:kern w:val="2"/>
                <w:position w:val="0"/>
                <w:sz w:val="21"/>
                <w:szCs w:val="21"/>
                <w:shd w:val="clear"/>
                <w:lang w:eastAsia="zh-CN" w:bidi="ar-SA"/>
              </w:rPr>
            </w:pPr>
          </w:p>
          <w:p w14:paraId="6419513B">
            <w:pPr>
              <w:keepNext w:val="0"/>
              <w:keepLines w:val="0"/>
              <w:shd w:val="clear"/>
              <w:autoSpaceDE w:val="0"/>
              <w:autoSpaceDN w:val="0"/>
              <w:bidi w:val="0"/>
              <w:adjustRightInd w:val="0"/>
              <w:snapToGrid w:val="0"/>
              <w:spacing w:before="0" w:after="0" w:line="240" w:lineRule="auto"/>
              <w:ind w:left="0" w:right="-10" w:firstLine="0"/>
              <w:jc w:val="both"/>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垃圾渗滤液调节池</w:t>
            </w:r>
          </w:p>
        </w:tc>
        <w:tc>
          <w:tcPr>
            <w:tcW w:w="2694" w:type="dxa"/>
            <w:noWrap w:val="0"/>
            <w:vAlign w:val="center"/>
          </w:tcPr>
          <w:p w14:paraId="283ED01B">
            <w:pPr>
              <w:keepNext w:val="0"/>
              <w:keepLines w:val="0"/>
              <w:shd w:val="clear"/>
              <w:autoSpaceDE w:val="0"/>
              <w:autoSpaceDN w:val="0"/>
              <w:bidi w:val="0"/>
              <w:adjustRightInd w:val="0"/>
              <w:snapToGrid w:val="0"/>
              <w:spacing w:before="0" w:after="0" w:line="240" w:lineRule="auto"/>
              <w:ind w:left="0" w:right="0" w:firstLine="0"/>
              <w:jc w:val="center"/>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截流措施</w:t>
            </w:r>
          </w:p>
        </w:tc>
        <w:tc>
          <w:tcPr>
            <w:tcW w:w="4471" w:type="dxa"/>
            <w:noWrap w:val="0"/>
            <w:vAlign w:val="center"/>
          </w:tcPr>
          <w:p w14:paraId="0A526424">
            <w:pPr>
              <w:keepNext w:val="0"/>
              <w:keepLines w:val="0"/>
              <w:shd w:val="clear"/>
              <w:autoSpaceDE w:val="0"/>
              <w:autoSpaceDN w:val="0"/>
              <w:bidi w:val="0"/>
              <w:adjustRightInd w:val="0"/>
              <w:snapToGrid w:val="0"/>
              <w:spacing w:before="0" w:after="0" w:line="240" w:lineRule="auto"/>
              <w:ind w:left="0" w:right="38" w:rightChars="16" w:firstLine="0"/>
              <w:jc w:val="both"/>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在室内，有围堰</w:t>
            </w:r>
          </w:p>
        </w:tc>
      </w:tr>
      <w:tr w14:paraId="5662AD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1058" w:type="dxa"/>
            <w:vMerge w:val="continue"/>
            <w:noWrap w:val="0"/>
            <w:vAlign w:val="top"/>
          </w:tcPr>
          <w:p w14:paraId="15ADDAA5">
            <w:pPr>
              <w:keepNext w:val="0"/>
              <w:keepLines w:val="0"/>
              <w:shd w:val="clear"/>
              <w:autoSpaceDE w:val="0"/>
              <w:autoSpaceDN w:val="0"/>
              <w:bidi w:val="0"/>
              <w:adjustRightInd w:val="0"/>
              <w:snapToGrid w:val="0"/>
              <w:spacing w:before="0" w:after="0" w:line="240" w:lineRule="auto"/>
              <w:ind w:left="0" w:right="-10" w:firstLine="520"/>
              <w:jc w:val="center"/>
              <w:rPr>
                <w:rFonts w:hint="eastAsia" w:ascii="仿宋_GB2312" w:hAnsi="仿宋_GB2312" w:eastAsia="仿宋_GB2312" w:cs="仿宋_GB2312"/>
                <w:color w:val="auto"/>
                <w:spacing w:val="0"/>
                <w:w w:val="100"/>
                <w:kern w:val="2"/>
                <w:position w:val="0"/>
                <w:sz w:val="21"/>
                <w:szCs w:val="21"/>
                <w:shd w:val="clear"/>
                <w:lang w:eastAsia="zh-CN" w:bidi="ar-SA"/>
              </w:rPr>
            </w:pPr>
          </w:p>
        </w:tc>
        <w:tc>
          <w:tcPr>
            <w:tcW w:w="2694" w:type="dxa"/>
            <w:noWrap w:val="0"/>
            <w:vAlign w:val="center"/>
          </w:tcPr>
          <w:p w14:paraId="1E6196D1">
            <w:pPr>
              <w:keepNext w:val="0"/>
              <w:keepLines w:val="0"/>
              <w:shd w:val="clear"/>
              <w:autoSpaceDE w:val="0"/>
              <w:autoSpaceDN w:val="0"/>
              <w:bidi w:val="0"/>
              <w:adjustRightInd w:val="0"/>
              <w:snapToGrid w:val="0"/>
              <w:spacing w:before="0" w:after="0" w:line="240" w:lineRule="auto"/>
              <w:ind w:left="0" w:right="-10" w:firstLine="0"/>
              <w:jc w:val="center"/>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事故排水收集措施</w:t>
            </w:r>
          </w:p>
        </w:tc>
        <w:tc>
          <w:tcPr>
            <w:tcW w:w="4471" w:type="dxa"/>
            <w:noWrap w:val="0"/>
            <w:vAlign w:val="center"/>
          </w:tcPr>
          <w:p w14:paraId="537DC2B0">
            <w:pPr>
              <w:keepNext w:val="0"/>
              <w:keepLines w:val="0"/>
              <w:shd w:val="clear"/>
              <w:autoSpaceDE w:val="0"/>
              <w:autoSpaceDN w:val="0"/>
              <w:bidi w:val="0"/>
              <w:adjustRightInd w:val="0"/>
              <w:snapToGrid w:val="0"/>
              <w:spacing w:before="0" w:after="0" w:line="240" w:lineRule="auto"/>
              <w:ind w:left="0" w:right="38" w:rightChars="16" w:firstLine="0"/>
              <w:jc w:val="both"/>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进入1000m³的事故池</w:t>
            </w:r>
          </w:p>
        </w:tc>
      </w:tr>
      <w:tr w14:paraId="0D7711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1058" w:type="dxa"/>
            <w:vMerge w:val="continue"/>
            <w:noWrap w:val="0"/>
            <w:vAlign w:val="top"/>
          </w:tcPr>
          <w:p w14:paraId="4CC9AEA2">
            <w:pPr>
              <w:keepNext w:val="0"/>
              <w:keepLines w:val="0"/>
              <w:shd w:val="clear"/>
              <w:autoSpaceDE w:val="0"/>
              <w:autoSpaceDN w:val="0"/>
              <w:bidi w:val="0"/>
              <w:adjustRightInd w:val="0"/>
              <w:snapToGrid w:val="0"/>
              <w:spacing w:before="0" w:after="0" w:line="240" w:lineRule="auto"/>
              <w:ind w:left="0" w:right="-10" w:firstLine="520"/>
              <w:jc w:val="center"/>
              <w:rPr>
                <w:rFonts w:hint="eastAsia" w:ascii="仿宋_GB2312" w:hAnsi="仿宋_GB2312" w:eastAsia="仿宋_GB2312" w:cs="仿宋_GB2312"/>
                <w:color w:val="auto"/>
                <w:spacing w:val="0"/>
                <w:w w:val="100"/>
                <w:kern w:val="2"/>
                <w:position w:val="0"/>
                <w:sz w:val="21"/>
                <w:szCs w:val="21"/>
                <w:shd w:val="clear"/>
                <w:lang w:eastAsia="zh-CN" w:bidi="ar-SA"/>
              </w:rPr>
            </w:pPr>
          </w:p>
        </w:tc>
        <w:tc>
          <w:tcPr>
            <w:tcW w:w="2694" w:type="dxa"/>
            <w:noWrap w:val="0"/>
            <w:vAlign w:val="center"/>
          </w:tcPr>
          <w:p w14:paraId="1B7118EF">
            <w:pPr>
              <w:keepNext w:val="0"/>
              <w:keepLines w:val="0"/>
              <w:shd w:val="clear"/>
              <w:autoSpaceDE w:val="0"/>
              <w:autoSpaceDN w:val="0"/>
              <w:bidi w:val="0"/>
              <w:adjustRightInd w:val="0"/>
              <w:snapToGrid w:val="0"/>
              <w:spacing w:before="0" w:after="0" w:line="240" w:lineRule="auto"/>
              <w:ind w:left="0" w:right="-10" w:firstLine="0"/>
              <w:jc w:val="center"/>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清净下水系统防控措施</w:t>
            </w:r>
          </w:p>
        </w:tc>
        <w:tc>
          <w:tcPr>
            <w:tcW w:w="4471" w:type="dxa"/>
            <w:noWrap w:val="0"/>
            <w:vAlign w:val="center"/>
          </w:tcPr>
          <w:p w14:paraId="5C650FD9">
            <w:pPr>
              <w:keepNext w:val="0"/>
              <w:keepLines w:val="0"/>
              <w:shd w:val="clear"/>
              <w:autoSpaceDE w:val="0"/>
              <w:autoSpaceDN w:val="0"/>
              <w:bidi w:val="0"/>
              <w:adjustRightInd w:val="0"/>
              <w:snapToGrid w:val="0"/>
              <w:spacing w:before="0" w:after="0" w:line="240" w:lineRule="auto"/>
              <w:ind w:left="0" w:right="38" w:rightChars="16" w:firstLine="210" w:firstLineChars="100"/>
              <w:jc w:val="both"/>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不涉及</w:t>
            </w:r>
          </w:p>
        </w:tc>
      </w:tr>
      <w:tr w14:paraId="1E69A9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1058" w:type="dxa"/>
            <w:vMerge w:val="continue"/>
            <w:noWrap w:val="0"/>
            <w:vAlign w:val="top"/>
          </w:tcPr>
          <w:p w14:paraId="5B17478B">
            <w:pPr>
              <w:keepNext w:val="0"/>
              <w:keepLines w:val="0"/>
              <w:shd w:val="clear"/>
              <w:autoSpaceDE w:val="0"/>
              <w:autoSpaceDN w:val="0"/>
              <w:bidi w:val="0"/>
              <w:adjustRightInd w:val="0"/>
              <w:snapToGrid w:val="0"/>
              <w:spacing w:before="0" w:after="0" w:line="240" w:lineRule="auto"/>
              <w:ind w:left="0" w:right="-10" w:firstLine="520"/>
              <w:jc w:val="center"/>
              <w:rPr>
                <w:rFonts w:hint="eastAsia" w:ascii="仿宋_GB2312" w:hAnsi="仿宋_GB2312" w:eastAsia="仿宋_GB2312" w:cs="仿宋_GB2312"/>
                <w:color w:val="auto"/>
                <w:spacing w:val="0"/>
                <w:w w:val="100"/>
                <w:kern w:val="2"/>
                <w:position w:val="0"/>
                <w:sz w:val="21"/>
                <w:szCs w:val="21"/>
                <w:shd w:val="clear"/>
                <w:lang w:eastAsia="zh-CN" w:bidi="ar-SA"/>
              </w:rPr>
            </w:pPr>
          </w:p>
        </w:tc>
        <w:tc>
          <w:tcPr>
            <w:tcW w:w="2694" w:type="dxa"/>
            <w:noWrap w:val="0"/>
            <w:vAlign w:val="center"/>
          </w:tcPr>
          <w:p w14:paraId="55DB8B9F">
            <w:pPr>
              <w:keepNext w:val="0"/>
              <w:keepLines w:val="0"/>
              <w:shd w:val="clear"/>
              <w:autoSpaceDE w:val="0"/>
              <w:autoSpaceDN w:val="0"/>
              <w:bidi w:val="0"/>
              <w:adjustRightInd w:val="0"/>
              <w:snapToGrid w:val="0"/>
              <w:spacing w:before="0" w:after="0" w:line="240" w:lineRule="auto"/>
              <w:ind w:left="0" w:right="-10" w:firstLine="0"/>
              <w:jc w:val="center"/>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雨水系统防控措施</w:t>
            </w:r>
          </w:p>
        </w:tc>
        <w:tc>
          <w:tcPr>
            <w:tcW w:w="4471" w:type="dxa"/>
            <w:noWrap w:val="0"/>
            <w:vAlign w:val="center"/>
          </w:tcPr>
          <w:p w14:paraId="2A9C8C94">
            <w:pPr>
              <w:keepNext w:val="0"/>
              <w:keepLines w:val="0"/>
              <w:shd w:val="clear"/>
              <w:autoSpaceDE w:val="0"/>
              <w:autoSpaceDN w:val="0"/>
              <w:bidi w:val="0"/>
              <w:adjustRightInd w:val="0"/>
              <w:snapToGrid w:val="0"/>
              <w:spacing w:before="0" w:after="0" w:line="240" w:lineRule="auto"/>
              <w:ind w:left="0" w:right="38" w:rightChars="16" w:firstLine="0"/>
              <w:jc w:val="both"/>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在室内，不涉及</w:t>
            </w:r>
          </w:p>
        </w:tc>
      </w:tr>
      <w:tr w14:paraId="754450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1058" w:type="dxa"/>
            <w:vMerge w:val="continue"/>
            <w:noWrap w:val="0"/>
            <w:vAlign w:val="top"/>
          </w:tcPr>
          <w:p w14:paraId="6715A05D">
            <w:pPr>
              <w:keepNext w:val="0"/>
              <w:keepLines w:val="0"/>
              <w:shd w:val="clear"/>
              <w:autoSpaceDE w:val="0"/>
              <w:autoSpaceDN w:val="0"/>
              <w:bidi w:val="0"/>
              <w:adjustRightInd w:val="0"/>
              <w:snapToGrid w:val="0"/>
              <w:spacing w:before="0" w:after="0" w:line="240" w:lineRule="auto"/>
              <w:ind w:left="0" w:right="-10" w:firstLine="520"/>
              <w:jc w:val="center"/>
              <w:rPr>
                <w:rFonts w:hint="eastAsia" w:ascii="仿宋_GB2312" w:hAnsi="仿宋_GB2312" w:eastAsia="仿宋_GB2312" w:cs="仿宋_GB2312"/>
                <w:color w:val="auto"/>
                <w:spacing w:val="0"/>
                <w:w w:val="100"/>
                <w:kern w:val="2"/>
                <w:position w:val="0"/>
                <w:sz w:val="21"/>
                <w:szCs w:val="21"/>
                <w:shd w:val="clear"/>
                <w:lang w:eastAsia="zh-CN" w:bidi="ar-SA"/>
              </w:rPr>
            </w:pPr>
          </w:p>
        </w:tc>
        <w:tc>
          <w:tcPr>
            <w:tcW w:w="2694" w:type="dxa"/>
            <w:noWrap w:val="0"/>
            <w:vAlign w:val="center"/>
          </w:tcPr>
          <w:p w14:paraId="46BC105B">
            <w:pPr>
              <w:keepNext w:val="0"/>
              <w:keepLines w:val="0"/>
              <w:shd w:val="clear"/>
              <w:autoSpaceDE w:val="0"/>
              <w:autoSpaceDN w:val="0"/>
              <w:bidi w:val="0"/>
              <w:adjustRightInd w:val="0"/>
              <w:snapToGrid w:val="0"/>
              <w:spacing w:before="0" w:after="0" w:line="240" w:lineRule="auto"/>
              <w:ind w:left="0" w:right="-10" w:firstLine="0"/>
              <w:jc w:val="center"/>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生产废水系统防控措施</w:t>
            </w:r>
          </w:p>
        </w:tc>
        <w:tc>
          <w:tcPr>
            <w:tcW w:w="4471" w:type="dxa"/>
            <w:noWrap w:val="0"/>
            <w:vAlign w:val="center"/>
          </w:tcPr>
          <w:p w14:paraId="2CAE9790">
            <w:pPr>
              <w:keepNext w:val="0"/>
              <w:keepLines w:val="0"/>
              <w:shd w:val="clear"/>
              <w:autoSpaceDE w:val="0"/>
              <w:autoSpaceDN w:val="0"/>
              <w:bidi w:val="0"/>
              <w:adjustRightInd w:val="0"/>
              <w:snapToGrid w:val="0"/>
              <w:spacing w:before="0" w:after="0" w:line="240" w:lineRule="auto"/>
              <w:ind w:left="0" w:right="38" w:rightChars="16" w:firstLine="0"/>
              <w:jc w:val="both"/>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进入废水处理站处理后回用于生产</w:t>
            </w:r>
          </w:p>
        </w:tc>
      </w:tr>
      <w:tr w14:paraId="5D9ACC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1058" w:type="dxa"/>
            <w:vMerge w:val="continue"/>
            <w:noWrap w:val="0"/>
            <w:vAlign w:val="top"/>
          </w:tcPr>
          <w:p w14:paraId="5B4B1E61">
            <w:pPr>
              <w:keepNext w:val="0"/>
              <w:keepLines w:val="0"/>
              <w:shd w:val="clear"/>
              <w:autoSpaceDE w:val="0"/>
              <w:autoSpaceDN w:val="0"/>
              <w:bidi w:val="0"/>
              <w:adjustRightInd w:val="0"/>
              <w:snapToGrid w:val="0"/>
              <w:spacing w:before="0" w:after="0" w:line="240" w:lineRule="auto"/>
              <w:ind w:left="0" w:right="-10" w:firstLine="520"/>
              <w:jc w:val="center"/>
              <w:rPr>
                <w:rFonts w:hint="eastAsia" w:ascii="仿宋_GB2312" w:hAnsi="仿宋_GB2312" w:eastAsia="仿宋_GB2312" w:cs="仿宋_GB2312"/>
                <w:color w:val="auto"/>
                <w:spacing w:val="0"/>
                <w:w w:val="100"/>
                <w:kern w:val="2"/>
                <w:position w:val="0"/>
                <w:sz w:val="21"/>
                <w:szCs w:val="21"/>
                <w:shd w:val="clear"/>
                <w:lang w:eastAsia="zh-CN" w:bidi="ar-SA"/>
              </w:rPr>
            </w:pPr>
          </w:p>
        </w:tc>
        <w:tc>
          <w:tcPr>
            <w:tcW w:w="2694" w:type="dxa"/>
            <w:noWrap w:val="0"/>
            <w:vAlign w:val="center"/>
          </w:tcPr>
          <w:p w14:paraId="008165C3">
            <w:pPr>
              <w:keepNext w:val="0"/>
              <w:keepLines w:val="0"/>
              <w:shd w:val="clear"/>
              <w:autoSpaceDE w:val="0"/>
              <w:autoSpaceDN w:val="0"/>
              <w:bidi w:val="0"/>
              <w:adjustRightInd w:val="0"/>
              <w:snapToGrid w:val="0"/>
              <w:spacing w:before="0" w:after="0" w:line="240" w:lineRule="auto"/>
              <w:ind w:left="0" w:right="-10" w:firstLine="0"/>
              <w:jc w:val="center"/>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毒性气体泄漏紧急处置装置</w:t>
            </w:r>
          </w:p>
        </w:tc>
        <w:tc>
          <w:tcPr>
            <w:tcW w:w="4471" w:type="dxa"/>
            <w:noWrap w:val="0"/>
            <w:vAlign w:val="center"/>
          </w:tcPr>
          <w:p w14:paraId="60967848">
            <w:pPr>
              <w:keepNext w:val="0"/>
              <w:keepLines w:val="0"/>
              <w:shd w:val="clear"/>
              <w:autoSpaceDE w:val="0"/>
              <w:autoSpaceDN w:val="0"/>
              <w:bidi w:val="0"/>
              <w:adjustRightInd w:val="0"/>
              <w:snapToGrid w:val="0"/>
              <w:spacing w:before="0" w:after="0" w:line="240" w:lineRule="auto"/>
              <w:ind w:left="0" w:right="38" w:rightChars="16" w:firstLine="0"/>
              <w:jc w:val="both"/>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不涉及</w:t>
            </w:r>
          </w:p>
        </w:tc>
      </w:tr>
      <w:tr w14:paraId="783195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1058" w:type="dxa"/>
            <w:vMerge w:val="continue"/>
            <w:noWrap w:val="0"/>
            <w:vAlign w:val="top"/>
          </w:tcPr>
          <w:p w14:paraId="4C81EF25">
            <w:pPr>
              <w:keepNext w:val="0"/>
              <w:keepLines w:val="0"/>
              <w:shd w:val="clear"/>
              <w:autoSpaceDE w:val="0"/>
              <w:autoSpaceDN w:val="0"/>
              <w:bidi w:val="0"/>
              <w:adjustRightInd w:val="0"/>
              <w:snapToGrid w:val="0"/>
              <w:spacing w:before="0" w:after="0" w:line="240" w:lineRule="auto"/>
              <w:ind w:left="0" w:right="-10" w:firstLine="520"/>
              <w:jc w:val="center"/>
              <w:rPr>
                <w:rFonts w:hint="eastAsia" w:ascii="仿宋_GB2312" w:hAnsi="仿宋_GB2312" w:eastAsia="仿宋_GB2312" w:cs="仿宋_GB2312"/>
                <w:color w:val="auto"/>
                <w:spacing w:val="0"/>
                <w:w w:val="100"/>
                <w:kern w:val="2"/>
                <w:position w:val="0"/>
                <w:sz w:val="21"/>
                <w:szCs w:val="21"/>
                <w:shd w:val="clear"/>
                <w:lang w:eastAsia="zh-CN" w:bidi="ar-SA"/>
              </w:rPr>
            </w:pPr>
          </w:p>
        </w:tc>
        <w:tc>
          <w:tcPr>
            <w:tcW w:w="2694" w:type="dxa"/>
            <w:noWrap w:val="0"/>
            <w:vAlign w:val="center"/>
          </w:tcPr>
          <w:p w14:paraId="1DDE8CEF">
            <w:pPr>
              <w:keepNext w:val="0"/>
              <w:keepLines w:val="0"/>
              <w:shd w:val="clear"/>
              <w:autoSpaceDE w:val="0"/>
              <w:autoSpaceDN w:val="0"/>
              <w:bidi w:val="0"/>
              <w:adjustRightInd w:val="0"/>
              <w:snapToGrid w:val="0"/>
              <w:spacing w:before="0" w:after="0" w:line="240" w:lineRule="auto"/>
              <w:ind w:left="0" w:right="-10" w:firstLine="0"/>
              <w:jc w:val="center"/>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毒性气体泄漏监控预警措施</w:t>
            </w:r>
          </w:p>
        </w:tc>
        <w:tc>
          <w:tcPr>
            <w:tcW w:w="4471" w:type="dxa"/>
            <w:noWrap w:val="0"/>
            <w:vAlign w:val="center"/>
          </w:tcPr>
          <w:p w14:paraId="3ED8C1BA">
            <w:pPr>
              <w:keepNext w:val="0"/>
              <w:keepLines w:val="0"/>
              <w:shd w:val="clear"/>
              <w:autoSpaceDE w:val="0"/>
              <w:autoSpaceDN w:val="0"/>
              <w:bidi w:val="0"/>
              <w:adjustRightInd w:val="0"/>
              <w:snapToGrid w:val="0"/>
              <w:spacing w:before="0" w:after="0" w:line="240" w:lineRule="auto"/>
              <w:ind w:left="0" w:right="38" w:rightChars="16" w:firstLine="0"/>
              <w:jc w:val="both"/>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不涉及</w:t>
            </w:r>
          </w:p>
        </w:tc>
      </w:tr>
      <w:tr w14:paraId="4288F9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1058" w:type="dxa"/>
            <w:vMerge w:val="continue"/>
            <w:noWrap w:val="0"/>
            <w:vAlign w:val="top"/>
          </w:tcPr>
          <w:p w14:paraId="6B99C155">
            <w:pPr>
              <w:keepNext w:val="0"/>
              <w:keepLines w:val="0"/>
              <w:shd w:val="clear"/>
              <w:autoSpaceDE w:val="0"/>
              <w:autoSpaceDN w:val="0"/>
              <w:bidi w:val="0"/>
              <w:adjustRightInd w:val="0"/>
              <w:snapToGrid w:val="0"/>
              <w:spacing w:before="0" w:after="0" w:line="240" w:lineRule="auto"/>
              <w:ind w:left="0" w:right="-10" w:firstLine="520"/>
              <w:jc w:val="center"/>
              <w:rPr>
                <w:rFonts w:hint="eastAsia" w:ascii="仿宋_GB2312" w:hAnsi="仿宋_GB2312" w:eastAsia="仿宋_GB2312" w:cs="仿宋_GB2312"/>
                <w:color w:val="auto"/>
                <w:spacing w:val="0"/>
                <w:w w:val="100"/>
                <w:kern w:val="2"/>
                <w:position w:val="0"/>
                <w:sz w:val="21"/>
                <w:szCs w:val="21"/>
                <w:shd w:val="clear"/>
                <w:lang w:eastAsia="zh-CN" w:bidi="ar-SA"/>
              </w:rPr>
            </w:pPr>
          </w:p>
        </w:tc>
        <w:tc>
          <w:tcPr>
            <w:tcW w:w="2694" w:type="dxa"/>
            <w:noWrap w:val="0"/>
            <w:vAlign w:val="center"/>
          </w:tcPr>
          <w:p w14:paraId="5AE0D161">
            <w:pPr>
              <w:keepNext w:val="0"/>
              <w:keepLines w:val="0"/>
              <w:shd w:val="clear"/>
              <w:autoSpaceDE w:val="0"/>
              <w:autoSpaceDN w:val="0"/>
              <w:bidi w:val="0"/>
              <w:adjustRightInd w:val="0"/>
              <w:snapToGrid w:val="0"/>
              <w:spacing w:before="0" w:after="0" w:line="240" w:lineRule="auto"/>
              <w:ind w:left="0" w:right="-10" w:firstLine="0"/>
              <w:jc w:val="center"/>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环评及批复的其他风险防控措施落实情况</w:t>
            </w:r>
          </w:p>
        </w:tc>
        <w:tc>
          <w:tcPr>
            <w:tcW w:w="4471" w:type="dxa"/>
            <w:noWrap w:val="0"/>
            <w:vAlign w:val="center"/>
          </w:tcPr>
          <w:p w14:paraId="28D973D2">
            <w:pPr>
              <w:keepNext w:val="0"/>
              <w:keepLines w:val="0"/>
              <w:shd w:val="clear"/>
              <w:autoSpaceDE w:val="0"/>
              <w:autoSpaceDN w:val="0"/>
              <w:bidi w:val="0"/>
              <w:adjustRightInd w:val="0"/>
              <w:snapToGrid w:val="0"/>
              <w:spacing w:before="0" w:after="0" w:line="240" w:lineRule="auto"/>
              <w:ind w:left="0" w:right="38" w:rightChars="16" w:firstLine="0"/>
              <w:jc w:val="both"/>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落实环评及批复文件要求</w:t>
            </w:r>
          </w:p>
        </w:tc>
      </w:tr>
      <w:tr w14:paraId="1421DA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1058" w:type="dxa"/>
            <w:vMerge w:val="restart"/>
            <w:noWrap w:val="0"/>
            <w:vAlign w:val="center"/>
          </w:tcPr>
          <w:p w14:paraId="462B3B86">
            <w:pPr>
              <w:keepNext w:val="0"/>
              <w:keepLines w:val="0"/>
              <w:shd w:val="clear"/>
              <w:autoSpaceDE w:val="0"/>
              <w:autoSpaceDN w:val="0"/>
              <w:bidi w:val="0"/>
              <w:adjustRightInd w:val="0"/>
              <w:snapToGrid w:val="0"/>
              <w:spacing w:before="0" w:after="0" w:line="240" w:lineRule="auto"/>
              <w:ind w:left="0" w:right="-10" w:firstLine="0"/>
              <w:jc w:val="both"/>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危废储存间</w:t>
            </w:r>
          </w:p>
        </w:tc>
        <w:tc>
          <w:tcPr>
            <w:tcW w:w="2694" w:type="dxa"/>
            <w:noWrap w:val="0"/>
            <w:vAlign w:val="center"/>
          </w:tcPr>
          <w:p w14:paraId="5FBC0EF1">
            <w:pPr>
              <w:keepNext w:val="0"/>
              <w:keepLines w:val="0"/>
              <w:shd w:val="clear"/>
              <w:autoSpaceDE w:val="0"/>
              <w:autoSpaceDN w:val="0"/>
              <w:bidi w:val="0"/>
              <w:adjustRightInd w:val="0"/>
              <w:snapToGrid w:val="0"/>
              <w:spacing w:before="0" w:after="0" w:line="240" w:lineRule="auto"/>
              <w:ind w:left="0" w:right="0" w:firstLine="0"/>
              <w:jc w:val="center"/>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截流措施</w:t>
            </w:r>
          </w:p>
        </w:tc>
        <w:tc>
          <w:tcPr>
            <w:tcW w:w="4471" w:type="dxa"/>
            <w:noWrap w:val="0"/>
            <w:vAlign w:val="center"/>
          </w:tcPr>
          <w:p w14:paraId="28AD97A1">
            <w:pPr>
              <w:keepNext w:val="0"/>
              <w:keepLines w:val="0"/>
              <w:shd w:val="clear"/>
              <w:autoSpaceDE w:val="0"/>
              <w:autoSpaceDN w:val="0"/>
              <w:bidi w:val="0"/>
              <w:adjustRightInd w:val="0"/>
              <w:snapToGrid w:val="0"/>
              <w:spacing w:before="0" w:after="0" w:line="240" w:lineRule="auto"/>
              <w:ind w:left="0" w:right="0" w:firstLine="0"/>
              <w:jc w:val="left"/>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在室内，做防渗处理</w:t>
            </w:r>
          </w:p>
        </w:tc>
      </w:tr>
      <w:tr w14:paraId="5D5EEE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1058" w:type="dxa"/>
            <w:vMerge w:val="continue"/>
            <w:noWrap w:val="0"/>
            <w:vAlign w:val="top"/>
          </w:tcPr>
          <w:p w14:paraId="6342596E">
            <w:pPr>
              <w:keepNext w:val="0"/>
              <w:keepLines w:val="0"/>
              <w:shd w:val="clear"/>
              <w:autoSpaceDE w:val="0"/>
              <w:autoSpaceDN w:val="0"/>
              <w:bidi w:val="0"/>
              <w:adjustRightInd w:val="0"/>
              <w:snapToGrid w:val="0"/>
              <w:spacing w:before="0" w:after="0" w:line="240" w:lineRule="auto"/>
              <w:ind w:left="0" w:right="-10" w:firstLine="520"/>
              <w:jc w:val="center"/>
              <w:rPr>
                <w:rFonts w:hint="eastAsia" w:ascii="仿宋_GB2312" w:hAnsi="仿宋_GB2312" w:eastAsia="仿宋_GB2312" w:cs="仿宋_GB2312"/>
                <w:color w:val="auto"/>
                <w:spacing w:val="0"/>
                <w:w w:val="100"/>
                <w:kern w:val="2"/>
                <w:position w:val="0"/>
                <w:sz w:val="21"/>
                <w:szCs w:val="21"/>
                <w:shd w:val="clear"/>
                <w:lang w:eastAsia="zh-CN" w:bidi="ar-SA"/>
              </w:rPr>
            </w:pPr>
          </w:p>
        </w:tc>
        <w:tc>
          <w:tcPr>
            <w:tcW w:w="2694" w:type="dxa"/>
            <w:noWrap w:val="0"/>
            <w:vAlign w:val="center"/>
          </w:tcPr>
          <w:p w14:paraId="0977B313">
            <w:pPr>
              <w:keepNext w:val="0"/>
              <w:keepLines w:val="0"/>
              <w:shd w:val="clear"/>
              <w:autoSpaceDE w:val="0"/>
              <w:autoSpaceDN w:val="0"/>
              <w:bidi w:val="0"/>
              <w:adjustRightInd w:val="0"/>
              <w:snapToGrid w:val="0"/>
              <w:spacing w:before="0" w:after="0" w:line="240" w:lineRule="auto"/>
              <w:ind w:left="0" w:right="0" w:firstLine="0"/>
              <w:jc w:val="center"/>
              <w:rPr>
                <w:rFonts w:hint="eastAsia" w:ascii="仿宋_GB2312" w:hAnsi="仿宋_GB2312" w:eastAsia="仿宋_GB2312" w:cs="仿宋_GB2312"/>
                <w:color w:val="auto"/>
                <w:spacing w:val="0"/>
                <w:w w:val="100"/>
                <w:kern w:val="2"/>
                <w:position w:val="0"/>
                <w:sz w:val="21"/>
                <w:szCs w:val="21"/>
                <w:shd w:val="clear"/>
                <w:vertAlign w:val="superscript"/>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事故排水收集措施</w:t>
            </w:r>
          </w:p>
        </w:tc>
        <w:tc>
          <w:tcPr>
            <w:tcW w:w="4471" w:type="dxa"/>
            <w:noWrap w:val="0"/>
            <w:vAlign w:val="center"/>
          </w:tcPr>
          <w:p w14:paraId="3C4EE23C">
            <w:pPr>
              <w:keepNext w:val="0"/>
              <w:keepLines w:val="0"/>
              <w:shd w:val="clear"/>
              <w:autoSpaceDE w:val="0"/>
              <w:autoSpaceDN w:val="0"/>
              <w:bidi w:val="0"/>
              <w:adjustRightInd w:val="0"/>
              <w:snapToGrid w:val="0"/>
              <w:spacing w:before="0" w:after="0" w:line="240" w:lineRule="auto"/>
              <w:ind w:left="0" w:right="0" w:firstLine="0"/>
              <w:jc w:val="left"/>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进入1000m³的事故池</w:t>
            </w:r>
          </w:p>
        </w:tc>
      </w:tr>
      <w:tr w14:paraId="19BCC4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1058" w:type="dxa"/>
            <w:vMerge w:val="continue"/>
            <w:noWrap w:val="0"/>
            <w:vAlign w:val="top"/>
          </w:tcPr>
          <w:p w14:paraId="3601B4FF">
            <w:pPr>
              <w:keepNext w:val="0"/>
              <w:keepLines w:val="0"/>
              <w:shd w:val="clear"/>
              <w:autoSpaceDE w:val="0"/>
              <w:autoSpaceDN w:val="0"/>
              <w:bidi w:val="0"/>
              <w:adjustRightInd w:val="0"/>
              <w:snapToGrid w:val="0"/>
              <w:spacing w:before="0" w:after="0" w:line="240" w:lineRule="auto"/>
              <w:ind w:left="0" w:right="-10" w:firstLine="520"/>
              <w:jc w:val="center"/>
              <w:rPr>
                <w:rFonts w:hint="eastAsia" w:ascii="仿宋_GB2312" w:hAnsi="仿宋_GB2312" w:eastAsia="仿宋_GB2312" w:cs="仿宋_GB2312"/>
                <w:color w:val="auto"/>
                <w:spacing w:val="0"/>
                <w:w w:val="100"/>
                <w:kern w:val="2"/>
                <w:position w:val="0"/>
                <w:sz w:val="21"/>
                <w:szCs w:val="21"/>
                <w:shd w:val="clear"/>
                <w:lang w:eastAsia="zh-CN" w:bidi="ar-SA"/>
              </w:rPr>
            </w:pPr>
          </w:p>
        </w:tc>
        <w:tc>
          <w:tcPr>
            <w:tcW w:w="2694" w:type="dxa"/>
            <w:noWrap w:val="0"/>
            <w:vAlign w:val="center"/>
          </w:tcPr>
          <w:p w14:paraId="67D4BBFB">
            <w:pPr>
              <w:keepNext w:val="0"/>
              <w:keepLines w:val="0"/>
              <w:shd w:val="clear"/>
              <w:autoSpaceDE w:val="0"/>
              <w:autoSpaceDN w:val="0"/>
              <w:bidi w:val="0"/>
              <w:adjustRightInd w:val="0"/>
              <w:snapToGrid w:val="0"/>
              <w:spacing w:before="0" w:after="0" w:line="240" w:lineRule="auto"/>
              <w:ind w:left="0" w:right="0" w:firstLine="0"/>
              <w:jc w:val="center"/>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清净下水系统防控措施</w:t>
            </w:r>
          </w:p>
        </w:tc>
        <w:tc>
          <w:tcPr>
            <w:tcW w:w="4471" w:type="dxa"/>
            <w:noWrap w:val="0"/>
            <w:vAlign w:val="center"/>
          </w:tcPr>
          <w:p w14:paraId="4BEA3072">
            <w:pPr>
              <w:keepNext w:val="0"/>
              <w:keepLines w:val="0"/>
              <w:shd w:val="clear"/>
              <w:autoSpaceDE w:val="0"/>
              <w:autoSpaceDN w:val="0"/>
              <w:bidi w:val="0"/>
              <w:adjustRightInd w:val="0"/>
              <w:snapToGrid w:val="0"/>
              <w:spacing w:before="0" w:after="0" w:line="240" w:lineRule="auto"/>
              <w:ind w:left="0" w:right="0" w:firstLine="0"/>
              <w:jc w:val="left"/>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不涉及</w:t>
            </w:r>
          </w:p>
        </w:tc>
      </w:tr>
      <w:tr w14:paraId="0DC526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1058" w:type="dxa"/>
            <w:vMerge w:val="continue"/>
            <w:noWrap w:val="0"/>
            <w:vAlign w:val="top"/>
          </w:tcPr>
          <w:p w14:paraId="42C6AE87">
            <w:pPr>
              <w:keepNext w:val="0"/>
              <w:keepLines w:val="0"/>
              <w:shd w:val="clear"/>
              <w:autoSpaceDE w:val="0"/>
              <w:autoSpaceDN w:val="0"/>
              <w:bidi w:val="0"/>
              <w:adjustRightInd w:val="0"/>
              <w:snapToGrid w:val="0"/>
              <w:spacing w:before="0" w:after="0" w:line="240" w:lineRule="auto"/>
              <w:ind w:left="0" w:right="-10" w:firstLine="520"/>
              <w:jc w:val="center"/>
              <w:rPr>
                <w:rFonts w:hint="eastAsia" w:ascii="仿宋_GB2312" w:hAnsi="仿宋_GB2312" w:eastAsia="仿宋_GB2312" w:cs="仿宋_GB2312"/>
                <w:color w:val="auto"/>
                <w:spacing w:val="0"/>
                <w:w w:val="100"/>
                <w:kern w:val="2"/>
                <w:position w:val="0"/>
                <w:sz w:val="21"/>
                <w:szCs w:val="21"/>
                <w:shd w:val="clear"/>
                <w:lang w:eastAsia="zh-CN" w:bidi="ar-SA"/>
              </w:rPr>
            </w:pPr>
          </w:p>
        </w:tc>
        <w:tc>
          <w:tcPr>
            <w:tcW w:w="2694" w:type="dxa"/>
            <w:noWrap w:val="0"/>
            <w:vAlign w:val="center"/>
          </w:tcPr>
          <w:p w14:paraId="73F1280E">
            <w:pPr>
              <w:keepNext w:val="0"/>
              <w:keepLines w:val="0"/>
              <w:shd w:val="clear"/>
              <w:autoSpaceDE w:val="0"/>
              <w:autoSpaceDN w:val="0"/>
              <w:bidi w:val="0"/>
              <w:adjustRightInd w:val="0"/>
              <w:snapToGrid w:val="0"/>
              <w:spacing w:before="0" w:after="0" w:line="240" w:lineRule="auto"/>
              <w:ind w:left="0" w:right="0" w:firstLine="0"/>
              <w:jc w:val="center"/>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雨水系统防控措施</w:t>
            </w:r>
          </w:p>
        </w:tc>
        <w:tc>
          <w:tcPr>
            <w:tcW w:w="4471" w:type="dxa"/>
            <w:noWrap w:val="0"/>
            <w:vAlign w:val="center"/>
          </w:tcPr>
          <w:p w14:paraId="6A08D4ED">
            <w:pPr>
              <w:keepNext w:val="0"/>
              <w:keepLines w:val="0"/>
              <w:shd w:val="clear"/>
              <w:autoSpaceDE w:val="0"/>
              <w:autoSpaceDN w:val="0"/>
              <w:bidi w:val="0"/>
              <w:adjustRightInd w:val="0"/>
              <w:snapToGrid w:val="0"/>
              <w:spacing w:before="0" w:after="0" w:line="240" w:lineRule="auto"/>
              <w:ind w:left="0" w:right="0" w:firstLine="0"/>
              <w:jc w:val="left"/>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在室内，不涉及</w:t>
            </w:r>
          </w:p>
        </w:tc>
      </w:tr>
      <w:tr w14:paraId="3D1C31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1058" w:type="dxa"/>
            <w:vMerge w:val="continue"/>
            <w:noWrap w:val="0"/>
            <w:vAlign w:val="top"/>
          </w:tcPr>
          <w:p w14:paraId="2A5D02A7">
            <w:pPr>
              <w:keepNext w:val="0"/>
              <w:keepLines w:val="0"/>
              <w:shd w:val="clear"/>
              <w:autoSpaceDE w:val="0"/>
              <w:autoSpaceDN w:val="0"/>
              <w:bidi w:val="0"/>
              <w:adjustRightInd w:val="0"/>
              <w:snapToGrid w:val="0"/>
              <w:spacing w:before="0" w:after="0" w:line="240" w:lineRule="auto"/>
              <w:ind w:left="0" w:right="-10" w:firstLine="520"/>
              <w:jc w:val="center"/>
              <w:rPr>
                <w:rFonts w:hint="eastAsia" w:ascii="仿宋_GB2312" w:hAnsi="仿宋_GB2312" w:eastAsia="仿宋_GB2312" w:cs="仿宋_GB2312"/>
                <w:color w:val="auto"/>
                <w:spacing w:val="0"/>
                <w:w w:val="100"/>
                <w:kern w:val="2"/>
                <w:position w:val="0"/>
                <w:sz w:val="21"/>
                <w:szCs w:val="21"/>
                <w:shd w:val="clear"/>
                <w:lang w:eastAsia="zh-CN" w:bidi="ar-SA"/>
              </w:rPr>
            </w:pPr>
          </w:p>
        </w:tc>
        <w:tc>
          <w:tcPr>
            <w:tcW w:w="2694" w:type="dxa"/>
            <w:noWrap w:val="0"/>
            <w:vAlign w:val="center"/>
          </w:tcPr>
          <w:p w14:paraId="3806ACC9">
            <w:pPr>
              <w:keepNext w:val="0"/>
              <w:keepLines w:val="0"/>
              <w:shd w:val="clear"/>
              <w:autoSpaceDE w:val="0"/>
              <w:autoSpaceDN w:val="0"/>
              <w:bidi w:val="0"/>
              <w:adjustRightInd w:val="0"/>
              <w:snapToGrid w:val="0"/>
              <w:spacing w:before="0" w:after="0" w:line="240" w:lineRule="auto"/>
              <w:ind w:left="0" w:right="0" w:firstLine="0"/>
              <w:jc w:val="center"/>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生产废水系统防控措施</w:t>
            </w:r>
          </w:p>
        </w:tc>
        <w:tc>
          <w:tcPr>
            <w:tcW w:w="4471" w:type="dxa"/>
            <w:noWrap w:val="0"/>
            <w:vAlign w:val="center"/>
          </w:tcPr>
          <w:p w14:paraId="693AD718">
            <w:pPr>
              <w:keepNext w:val="0"/>
              <w:keepLines w:val="0"/>
              <w:shd w:val="clear"/>
              <w:autoSpaceDE w:val="0"/>
              <w:autoSpaceDN w:val="0"/>
              <w:bidi w:val="0"/>
              <w:adjustRightInd w:val="0"/>
              <w:snapToGrid w:val="0"/>
              <w:spacing w:before="0" w:after="0" w:line="240" w:lineRule="auto"/>
              <w:ind w:left="0" w:right="0" w:firstLine="0"/>
              <w:jc w:val="left"/>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不涉及</w:t>
            </w:r>
          </w:p>
        </w:tc>
      </w:tr>
      <w:tr w14:paraId="202306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1058" w:type="dxa"/>
            <w:vMerge w:val="continue"/>
            <w:noWrap w:val="0"/>
            <w:vAlign w:val="top"/>
          </w:tcPr>
          <w:p w14:paraId="10F16A8B">
            <w:pPr>
              <w:keepNext w:val="0"/>
              <w:keepLines w:val="0"/>
              <w:shd w:val="clear"/>
              <w:autoSpaceDE w:val="0"/>
              <w:autoSpaceDN w:val="0"/>
              <w:bidi w:val="0"/>
              <w:adjustRightInd w:val="0"/>
              <w:snapToGrid w:val="0"/>
              <w:spacing w:before="0" w:after="0" w:line="240" w:lineRule="auto"/>
              <w:ind w:left="0" w:right="-10" w:firstLine="520"/>
              <w:jc w:val="center"/>
              <w:rPr>
                <w:rFonts w:hint="eastAsia" w:ascii="仿宋_GB2312" w:hAnsi="仿宋_GB2312" w:eastAsia="仿宋_GB2312" w:cs="仿宋_GB2312"/>
                <w:color w:val="auto"/>
                <w:spacing w:val="0"/>
                <w:w w:val="100"/>
                <w:kern w:val="2"/>
                <w:position w:val="0"/>
                <w:sz w:val="21"/>
                <w:szCs w:val="21"/>
                <w:shd w:val="clear"/>
                <w:lang w:eastAsia="zh-CN" w:bidi="ar-SA"/>
              </w:rPr>
            </w:pPr>
          </w:p>
        </w:tc>
        <w:tc>
          <w:tcPr>
            <w:tcW w:w="2694" w:type="dxa"/>
            <w:noWrap w:val="0"/>
            <w:vAlign w:val="center"/>
          </w:tcPr>
          <w:p w14:paraId="03270A35">
            <w:pPr>
              <w:keepNext w:val="0"/>
              <w:keepLines w:val="0"/>
              <w:shd w:val="clear"/>
              <w:autoSpaceDE w:val="0"/>
              <w:autoSpaceDN w:val="0"/>
              <w:bidi w:val="0"/>
              <w:adjustRightInd w:val="0"/>
              <w:snapToGrid w:val="0"/>
              <w:spacing w:before="0" w:after="0" w:line="240" w:lineRule="auto"/>
              <w:ind w:left="0" w:right="0" w:firstLine="0"/>
              <w:jc w:val="center"/>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毒性气体泄漏紧急处置装置</w:t>
            </w:r>
          </w:p>
        </w:tc>
        <w:tc>
          <w:tcPr>
            <w:tcW w:w="4471" w:type="dxa"/>
            <w:noWrap w:val="0"/>
            <w:vAlign w:val="center"/>
          </w:tcPr>
          <w:p w14:paraId="294A71D6">
            <w:pPr>
              <w:keepNext w:val="0"/>
              <w:keepLines w:val="0"/>
              <w:shd w:val="clear"/>
              <w:autoSpaceDE w:val="0"/>
              <w:autoSpaceDN w:val="0"/>
              <w:bidi w:val="0"/>
              <w:adjustRightInd w:val="0"/>
              <w:snapToGrid w:val="0"/>
              <w:spacing w:before="0" w:after="0" w:line="240" w:lineRule="auto"/>
              <w:ind w:right="38" w:rightChars="16"/>
              <w:jc w:val="both"/>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不涉及</w:t>
            </w:r>
          </w:p>
        </w:tc>
      </w:tr>
      <w:tr w14:paraId="66701E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1058" w:type="dxa"/>
            <w:vMerge w:val="continue"/>
            <w:noWrap w:val="0"/>
            <w:vAlign w:val="top"/>
          </w:tcPr>
          <w:p w14:paraId="1F8A5289">
            <w:pPr>
              <w:keepNext w:val="0"/>
              <w:keepLines w:val="0"/>
              <w:shd w:val="clear"/>
              <w:autoSpaceDE w:val="0"/>
              <w:autoSpaceDN w:val="0"/>
              <w:bidi w:val="0"/>
              <w:adjustRightInd w:val="0"/>
              <w:snapToGrid w:val="0"/>
              <w:spacing w:before="0" w:after="0" w:line="240" w:lineRule="auto"/>
              <w:ind w:left="0" w:right="-10" w:firstLine="520"/>
              <w:jc w:val="center"/>
              <w:rPr>
                <w:rFonts w:hint="eastAsia" w:ascii="仿宋_GB2312" w:hAnsi="仿宋_GB2312" w:eastAsia="仿宋_GB2312" w:cs="仿宋_GB2312"/>
                <w:color w:val="auto"/>
                <w:spacing w:val="0"/>
                <w:w w:val="100"/>
                <w:kern w:val="2"/>
                <w:position w:val="0"/>
                <w:sz w:val="21"/>
                <w:szCs w:val="21"/>
                <w:shd w:val="clear"/>
                <w:lang w:eastAsia="zh-CN" w:bidi="ar-SA"/>
              </w:rPr>
            </w:pPr>
          </w:p>
        </w:tc>
        <w:tc>
          <w:tcPr>
            <w:tcW w:w="2694" w:type="dxa"/>
            <w:noWrap w:val="0"/>
            <w:vAlign w:val="center"/>
          </w:tcPr>
          <w:p w14:paraId="65FDC788">
            <w:pPr>
              <w:keepNext w:val="0"/>
              <w:keepLines w:val="0"/>
              <w:shd w:val="clear"/>
              <w:autoSpaceDE w:val="0"/>
              <w:autoSpaceDN w:val="0"/>
              <w:bidi w:val="0"/>
              <w:adjustRightInd w:val="0"/>
              <w:snapToGrid w:val="0"/>
              <w:spacing w:before="0" w:after="0" w:line="240" w:lineRule="auto"/>
              <w:ind w:left="0" w:right="0" w:firstLine="0"/>
              <w:jc w:val="center"/>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毒性气体泄漏监控预警措施</w:t>
            </w:r>
          </w:p>
        </w:tc>
        <w:tc>
          <w:tcPr>
            <w:tcW w:w="4471" w:type="dxa"/>
            <w:noWrap w:val="0"/>
            <w:vAlign w:val="center"/>
          </w:tcPr>
          <w:p w14:paraId="1ABCBDBD">
            <w:pPr>
              <w:keepNext w:val="0"/>
              <w:keepLines w:val="0"/>
              <w:shd w:val="clear"/>
              <w:autoSpaceDE w:val="0"/>
              <w:autoSpaceDN w:val="0"/>
              <w:bidi w:val="0"/>
              <w:adjustRightInd w:val="0"/>
              <w:snapToGrid w:val="0"/>
              <w:spacing w:before="0" w:after="0" w:line="240" w:lineRule="auto"/>
              <w:ind w:right="38" w:rightChars="16"/>
              <w:jc w:val="both"/>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不涉及</w:t>
            </w:r>
          </w:p>
        </w:tc>
      </w:tr>
      <w:tr w14:paraId="4420B9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1058" w:type="dxa"/>
            <w:vMerge w:val="continue"/>
            <w:noWrap w:val="0"/>
            <w:vAlign w:val="top"/>
          </w:tcPr>
          <w:p w14:paraId="16139A4E">
            <w:pPr>
              <w:keepNext w:val="0"/>
              <w:keepLines w:val="0"/>
              <w:shd w:val="clear"/>
              <w:autoSpaceDE w:val="0"/>
              <w:autoSpaceDN w:val="0"/>
              <w:bidi w:val="0"/>
              <w:adjustRightInd w:val="0"/>
              <w:snapToGrid w:val="0"/>
              <w:spacing w:before="0" w:after="0" w:line="240" w:lineRule="auto"/>
              <w:ind w:left="0" w:right="-10" w:firstLine="520"/>
              <w:jc w:val="center"/>
              <w:rPr>
                <w:rFonts w:hint="eastAsia" w:ascii="仿宋_GB2312" w:hAnsi="仿宋_GB2312" w:eastAsia="仿宋_GB2312" w:cs="仿宋_GB2312"/>
                <w:color w:val="auto"/>
                <w:spacing w:val="0"/>
                <w:w w:val="100"/>
                <w:kern w:val="2"/>
                <w:position w:val="0"/>
                <w:sz w:val="21"/>
                <w:szCs w:val="21"/>
                <w:shd w:val="clear"/>
                <w:lang w:eastAsia="zh-CN" w:bidi="ar-SA"/>
              </w:rPr>
            </w:pPr>
          </w:p>
        </w:tc>
        <w:tc>
          <w:tcPr>
            <w:tcW w:w="2694" w:type="dxa"/>
            <w:noWrap w:val="0"/>
            <w:vAlign w:val="center"/>
          </w:tcPr>
          <w:p w14:paraId="5FF677AD">
            <w:pPr>
              <w:keepNext w:val="0"/>
              <w:keepLines w:val="0"/>
              <w:shd w:val="clear"/>
              <w:autoSpaceDE w:val="0"/>
              <w:autoSpaceDN w:val="0"/>
              <w:bidi w:val="0"/>
              <w:adjustRightInd w:val="0"/>
              <w:snapToGrid w:val="0"/>
              <w:spacing w:before="0" w:after="0" w:line="240" w:lineRule="auto"/>
              <w:ind w:left="0" w:right="-10" w:firstLine="0"/>
              <w:jc w:val="center"/>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环评及批复的其他风险防控措施落实情况</w:t>
            </w:r>
          </w:p>
        </w:tc>
        <w:tc>
          <w:tcPr>
            <w:tcW w:w="4471" w:type="dxa"/>
            <w:noWrap w:val="0"/>
            <w:vAlign w:val="center"/>
          </w:tcPr>
          <w:p w14:paraId="032040A1">
            <w:pPr>
              <w:keepNext w:val="0"/>
              <w:keepLines w:val="0"/>
              <w:shd w:val="clear"/>
              <w:autoSpaceDE w:val="0"/>
              <w:autoSpaceDN w:val="0"/>
              <w:bidi w:val="0"/>
              <w:adjustRightInd w:val="0"/>
              <w:snapToGrid w:val="0"/>
              <w:spacing w:before="0" w:after="0" w:line="240" w:lineRule="auto"/>
              <w:ind w:left="0" w:right="38" w:rightChars="16" w:firstLine="0"/>
              <w:jc w:val="both"/>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落实环评及批复文件要求</w:t>
            </w:r>
          </w:p>
        </w:tc>
      </w:tr>
    </w:tbl>
    <w:p w14:paraId="2F598DB1">
      <w:pPr>
        <w:pStyle w:val="29"/>
        <w:bidi w:val="0"/>
        <w:rPr>
          <w:rFonts w:hint="eastAsia" w:ascii="仿宋_GB2312" w:hAnsi="仿宋_GB2312" w:eastAsia="仿宋_GB2312" w:cs="仿宋_GB2312"/>
          <w:lang w:val="en-US" w:eastAsia="zh-CN"/>
        </w:rPr>
      </w:pPr>
      <w:bookmarkStart w:id="136" w:name="_Toc14475"/>
      <w:r>
        <w:rPr>
          <w:rFonts w:hint="eastAsia" w:ascii="仿宋_GB2312" w:hAnsi="仿宋_GB2312" w:eastAsia="仿宋_GB2312" w:cs="仿宋_GB2312"/>
          <w:lang w:val="en-US" w:eastAsia="zh-CN"/>
        </w:rPr>
        <w:t>2.5.3防渗漏建设信息</w:t>
      </w:r>
      <w:bookmarkEnd w:id="136"/>
    </w:p>
    <w:p w14:paraId="0072CB36">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防渗漏建设信息具体见下表。</w:t>
      </w:r>
    </w:p>
    <w:tbl>
      <w:tblPr>
        <w:tblStyle w:val="9"/>
        <w:tblW w:w="484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893"/>
        <w:gridCol w:w="3692"/>
        <w:gridCol w:w="3461"/>
      </w:tblGrid>
      <w:tr w14:paraId="748BAD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36" w:type="dxa"/>
            <w:noWrap w:val="0"/>
            <w:vAlign w:val="center"/>
          </w:tcPr>
          <w:p w14:paraId="418EA5CA">
            <w:pPr>
              <w:keepNext w:val="0"/>
              <w:keepLines w:val="0"/>
              <w:shd w:val="clear"/>
              <w:bidi w:val="0"/>
              <w:snapToGrid w:val="0"/>
              <w:spacing w:before="0" w:after="0" w:line="240" w:lineRule="auto"/>
              <w:ind w:left="0" w:right="0" w:firstLine="0"/>
              <w:jc w:val="center"/>
              <w:rPr>
                <w:rFonts w:hint="eastAsia" w:ascii="仿宋_GB2312" w:hAnsi="仿宋_GB2312" w:eastAsia="仿宋_GB2312" w:cs="仿宋_GB2312"/>
                <w:snapToGrid w:val="0"/>
                <w:color w:val="auto"/>
                <w:spacing w:val="0"/>
                <w:w w:val="100"/>
                <w:kern w:val="0"/>
                <w:position w:val="0"/>
                <w:sz w:val="21"/>
                <w:szCs w:val="21"/>
                <w:shd w:val="clear"/>
                <w:lang w:eastAsia="zh-CN" w:bidi="ar-SA"/>
              </w:rPr>
            </w:pPr>
            <w:r>
              <w:rPr>
                <w:rFonts w:hint="eastAsia" w:ascii="仿宋_GB2312" w:hAnsi="仿宋_GB2312" w:eastAsia="仿宋_GB2312" w:cs="仿宋_GB2312"/>
                <w:snapToGrid w:val="0"/>
                <w:color w:val="auto"/>
                <w:spacing w:val="0"/>
                <w:w w:val="100"/>
                <w:kern w:val="0"/>
                <w:position w:val="0"/>
                <w:sz w:val="21"/>
                <w:szCs w:val="21"/>
                <w:shd w:val="clear"/>
                <w:lang w:eastAsia="zh-CN" w:bidi="ar-SA"/>
              </w:rPr>
              <w:t>序号</w:t>
            </w:r>
          </w:p>
        </w:tc>
        <w:tc>
          <w:tcPr>
            <w:tcW w:w="847" w:type="dxa"/>
            <w:noWrap w:val="0"/>
            <w:vAlign w:val="center"/>
          </w:tcPr>
          <w:p w14:paraId="0519A2B6">
            <w:pPr>
              <w:keepNext w:val="0"/>
              <w:keepLines w:val="0"/>
              <w:shd w:val="clear"/>
              <w:bidi w:val="0"/>
              <w:snapToGrid w:val="0"/>
              <w:spacing w:before="0" w:after="0" w:line="240" w:lineRule="auto"/>
              <w:ind w:left="0" w:right="0" w:firstLine="0"/>
              <w:jc w:val="center"/>
              <w:rPr>
                <w:rFonts w:hint="eastAsia" w:ascii="仿宋_GB2312" w:hAnsi="仿宋_GB2312" w:eastAsia="仿宋_GB2312" w:cs="仿宋_GB2312"/>
                <w:snapToGrid w:val="0"/>
                <w:color w:val="auto"/>
                <w:spacing w:val="0"/>
                <w:w w:val="100"/>
                <w:kern w:val="0"/>
                <w:position w:val="0"/>
                <w:sz w:val="21"/>
                <w:szCs w:val="21"/>
                <w:shd w:val="clear"/>
                <w:lang w:eastAsia="zh-CN" w:bidi="ar-SA"/>
              </w:rPr>
            </w:pPr>
            <w:r>
              <w:rPr>
                <w:rFonts w:hint="eastAsia" w:ascii="仿宋_GB2312" w:hAnsi="仿宋_GB2312" w:eastAsia="仿宋_GB2312" w:cs="仿宋_GB2312"/>
                <w:snapToGrid w:val="0"/>
                <w:color w:val="auto"/>
                <w:spacing w:val="0"/>
                <w:w w:val="100"/>
                <w:kern w:val="0"/>
                <w:position w:val="0"/>
                <w:sz w:val="21"/>
                <w:szCs w:val="21"/>
                <w:shd w:val="clear"/>
                <w:lang w:eastAsia="zh-CN" w:bidi="ar-SA"/>
              </w:rPr>
              <w:t>污染源</w:t>
            </w:r>
          </w:p>
        </w:tc>
        <w:tc>
          <w:tcPr>
            <w:tcW w:w="3501" w:type="dxa"/>
            <w:noWrap w:val="0"/>
            <w:vAlign w:val="center"/>
          </w:tcPr>
          <w:p w14:paraId="379E1F4E">
            <w:pPr>
              <w:keepNext w:val="0"/>
              <w:keepLines w:val="0"/>
              <w:shd w:val="clear"/>
              <w:bidi w:val="0"/>
              <w:snapToGrid w:val="0"/>
              <w:spacing w:before="0" w:after="0" w:line="240" w:lineRule="auto"/>
              <w:ind w:left="0" w:right="0" w:firstLine="0"/>
              <w:jc w:val="center"/>
              <w:rPr>
                <w:rFonts w:hint="eastAsia" w:ascii="仿宋_GB2312" w:hAnsi="仿宋_GB2312" w:eastAsia="仿宋_GB2312" w:cs="仿宋_GB2312"/>
                <w:snapToGrid w:val="0"/>
                <w:color w:val="auto"/>
                <w:spacing w:val="0"/>
                <w:w w:val="100"/>
                <w:kern w:val="0"/>
                <w:position w:val="0"/>
                <w:sz w:val="21"/>
                <w:szCs w:val="21"/>
                <w:shd w:val="clear"/>
                <w:lang w:eastAsia="zh-CN" w:bidi="ar-SA"/>
              </w:rPr>
            </w:pPr>
            <w:r>
              <w:rPr>
                <w:rFonts w:hint="eastAsia" w:ascii="仿宋_GB2312" w:hAnsi="仿宋_GB2312" w:eastAsia="仿宋_GB2312" w:cs="仿宋_GB2312"/>
                <w:snapToGrid w:val="0"/>
                <w:color w:val="auto"/>
                <w:spacing w:val="0"/>
                <w:w w:val="100"/>
                <w:kern w:val="0"/>
                <w:position w:val="0"/>
                <w:sz w:val="21"/>
                <w:szCs w:val="21"/>
                <w:shd w:val="clear"/>
                <w:lang w:eastAsia="zh-CN" w:bidi="ar-SA"/>
              </w:rPr>
              <w:t>环评报告中污染防治措施</w:t>
            </w:r>
          </w:p>
        </w:tc>
        <w:tc>
          <w:tcPr>
            <w:tcW w:w="3282" w:type="dxa"/>
            <w:noWrap w:val="0"/>
            <w:vAlign w:val="center"/>
          </w:tcPr>
          <w:p w14:paraId="4773D5E8">
            <w:pPr>
              <w:keepNext w:val="0"/>
              <w:keepLines w:val="0"/>
              <w:shd w:val="clear"/>
              <w:bidi w:val="0"/>
              <w:snapToGrid w:val="0"/>
              <w:spacing w:before="0" w:after="0" w:line="240" w:lineRule="auto"/>
              <w:ind w:left="0" w:right="0" w:firstLine="0"/>
              <w:jc w:val="center"/>
              <w:rPr>
                <w:rFonts w:hint="eastAsia" w:ascii="仿宋_GB2312" w:hAnsi="仿宋_GB2312" w:eastAsia="仿宋_GB2312" w:cs="仿宋_GB2312"/>
                <w:snapToGrid w:val="0"/>
                <w:color w:val="auto"/>
                <w:spacing w:val="0"/>
                <w:w w:val="100"/>
                <w:kern w:val="0"/>
                <w:position w:val="0"/>
                <w:sz w:val="21"/>
                <w:szCs w:val="21"/>
                <w:shd w:val="clear"/>
                <w:lang w:eastAsia="zh-CN" w:bidi="ar-SA"/>
              </w:rPr>
            </w:pPr>
            <w:r>
              <w:rPr>
                <w:rFonts w:hint="eastAsia" w:ascii="仿宋_GB2312" w:hAnsi="仿宋_GB2312" w:eastAsia="仿宋_GB2312" w:cs="仿宋_GB2312"/>
                <w:snapToGrid w:val="0"/>
                <w:color w:val="auto"/>
                <w:spacing w:val="0"/>
                <w:w w:val="100"/>
                <w:kern w:val="0"/>
                <w:position w:val="0"/>
                <w:sz w:val="21"/>
                <w:szCs w:val="21"/>
                <w:shd w:val="clear"/>
                <w:lang w:eastAsia="zh-CN" w:bidi="ar-SA"/>
              </w:rPr>
              <w:t>海创环保</w:t>
            </w:r>
            <w:r>
              <w:rPr>
                <w:rFonts w:hint="eastAsia" w:ascii="仿宋_GB2312" w:hAnsi="仿宋_GB2312" w:eastAsia="仿宋_GB2312" w:cs="仿宋_GB2312"/>
                <w:snapToGrid w:val="0"/>
                <w:color w:val="auto"/>
                <w:spacing w:val="0"/>
                <w:w w:val="100"/>
                <w:kern w:val="0"/>
                <w:position w:val="0"/>
                <w:sz w:val="21"/>
                <w:szCs w:val="21"/>
                <w:shd w:val="clear"/>
                <w:lang w:val="en-US" w:eastAsia="zh-CN" w:bidi="ar-SA"/>
              </w:rPr>
              <w:t>公司</w:t>
            </w:r>
            <w:r>
              <w:rPr>
                <w:rFonts w:hint="eastAsia" w:ascii="仿宋_GB2312" w:hAnsi="仿宋_GB2312" w:eastAsia="仿宋_GB2312" w:cs="仿宋_GB2312"/>
                <w:snapToGrid w:val="0"/>
                <w:color w:val="auto"/>
                <w:spacing w:val="0"/>
                <w:w w:val="100"/>
                <w:kern w:val="0"/>
                <w:position w:val="0"/>
                <w:sz w:val="21"/>
                <w:szCs w:val="21"/>
                <w:shd w:val="clear"/>
                <w:lang w:eastAsia="zh-CN" w:bidi="ar-SA"/>
              </w:rPr>
              <w:t>厂区已采取措施</w:t>
            </w:r>
          </w:p>
        </w:tc>
      </w:tr>
      <w:tr w14:paraId="1087CE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36" w:type="dxa"/>
            <w:noWrap w:val="0"/>
            <w:vAlign w:val="center"/>
          </w:tcPr>
          <w:p w14:paraId="69DC7248">
            <w:pPr>
              <w:keepNext w:val="0"/>
              <w:keepLines w:val="0"/>
              <w:shd w:val="clear"/>
              <w:bidi w:val="0"/>
              <w:snapToGrid w:val="0"/>
              <w:spacing w:before="0" w:after="0" w:line="240" w:lineRule="auto"/>
              <w:ind w:left="0" w:right="0" w:firstLine="0"/>
              <w:jc w:val="center"/>
              <w:rPr>
                <w:rFonts w:hint="eastAsia" w:ascii="仿宋_GB2312" w:hAnsi="仿宋_GB2312" w:eastAsia="仿宋_GB2312" w:cs="仿宋_GB2312"/>
                <w:snapToGrid w:val="0"/>
                <w:color w:val="auto"/>
                <w:spacing w:val="0"/>
                <w:w w:val="100"/>
                <w:kern w:val="0"/>
                <w:position w:val="0"/>
                <w:sz w:val="21"/>
                <w:szCs w:val="21"/>
                <w:shd w:val="clear"/>
                <w:lang w:eastAsia="zh-CN" w:bidi="ar-SA"/>
              </w:rPr>
            </w:pPr>
            <w:r>
              <w:rPr>
                <w:rFonts w:hint="eastAsia" w:ascii="仿宋_GB2312" w:hAnsi="仿宋_GB2312" w:eastAsia="仿宋_GB2312" w:cs="仿宋_GB2312"/>
                <w:snapToGrid w:val="0"/>
                <w:color w:val="auto"/>
                <w:spacing w:val="0"/>
                <w:w w:val="100"/>
                <w:kern w:val="0"/>
                <w:position w:val="0"/>
                <w:sz w:val="21"/>
                <w:szCs w:val="21"/>
                <w:shd w:val="clear"/>
                <w:lang w:eastAsia="zh-CN" w:bidi="ar-SA"/>
              </w:rPr>
              <w:t>1</w:t>
            </w:r>
          </w:p>
        </w:tc>
        <w:tc>
          <w:tcPr>
            <w:tcW w:w="847" w:type="dxa"/>
            <w:noWrap w:val="0"/>
            <w:vAlign w:val="center"/>
          </w:tcPr>
          <w:p w14:paraId="75BAE6ED">
            <w:pPr>
              <w:keepNext w:val="0"/>
              <w:keepLines w:val="0"/>
              <w:shd w:val="clear"/>
              <w:bidi w:val="0"/>
              <w:snapToGrid w:val="0"/>
              <w:spacing w:before="0" w:after="0" w:line="240" w:lineRule="auto"/>
              <w:ind w:left="0" w:right="0" w:firstLine="0"/>
              <w:jc w:val="center"/>
              <w:rPr>
                <w:rFonts w:hint="eastAsia" w:ascii="仿宋_GB2312" w:hAnsi="仿宋_GB2312" w:eastAsia="仿宋_GB2312" w:cs="仿宋_GB2312"/>
                <w:snapToGrid w:val="0"/>
                <w:color w:val="auto"/>
                <w:spacing w:val="0"/>
                <w:w w:val="100"/>
                <w:kern w:val="0"/>
                <w:position w:val="0"/>
                <w:sz w:val="21"/>
                <w:szCs w:val="21"/>
                <w:shd w:val="clear"/>
                <w:lang w:eastAsia="zh-CN" w:bidi="ar-SA"/>
              </w:rPr>
            </w:pPr>
            <w:r>
              <w:rPr>
                <w:rFonts w:hint="eastAsia" w:ascii="仿宋_GB2312" w:hAnsi="仿宋_GB2312" w:eastAsia="仿宋_GB2312" w:cs="仿宋_GB2312"/>
                <w:snapToGrid w:val="0"/>
                <w:color w:val="auto"/>
                <w:spacing w:val="0"/>
                <w:w w:val="100"/>
                <w:kern w:val="0"/>
                <w:position w:val="0"/>
                <w:sz w:val="21"/>
                <w:szCs w:val="21"/>
                <w:shd w:val="clear"/>
                <w:lang w:eastAsia="zh-CN" w:bidi="ar-SA"/>
              </w:rPr>
              <w:t>污水</w:t>
            </w:r>
          </w:p>
        </w:tc>
        <w:tc>
          <w:tcPr>
            <w:tcW w:w="3501" w:type="dxa"/>
            <w:noWrap w:val="0"/>
            <w:vAlign w:val="center"/>
          </w:tcPr>
          <w:p w14:paraId="05CC0565">
            <w:pPr>
              <w:keepNext w:val="0"/>
              <w:keepLines w:val="0"/>
              <w:shd w:val="clear"/>
              <w:bidi w:val="0"/>
              <w:snapToGrid w:val="0"/>
              <w:spacing w:before="0" w:after="0" w:line="240" w:lineRule="auto"/>
              <w:ind w:left="0" w:right="0" w:firstLine="0"/>
              <w:jc w:val="left"/>
              <w:rPr>
                <w:rFonts w:hint="eastAsia" w:ascii="仿宋_GB2312" w:hAnsi="仿宋_GB2312" w:eastAsia="仿宋_GB2312" w:cs="仿宋_GB2312"/>
                <w:snapToGrid w:val="0"/>
                <w:color w:val="auto"/>
                <w:spacing w:val="0"/>
                <w:w w:val="100"/>
                <w:kern w:val="0"/>
                <w:position w:val="0"/>
                <w:sz w:val="21"/>
                <w:szCs w:val="21"/>
                <w:shd w:val="clear"/>
                <w:lang w:eastAsia="zh-CN" w:bidi="ar-SA"/>
              </w:rPr>
            </w:pPr>
            <w:r>
              <w:rPr>
                <w:rFonts w:hint="eastAsia" w:ascii="仿宋_GB2312" w:hAnsi="仿宋_GB2312" w:eastAsia="仿宋_GB2312" w:cs="仿宋_GB2312"/>
                <w:snapToGrid w:val="0"/>
                <w:color w:val="auto"/>
                <w:spacing w:val="0"/>
                <w:w w:val="100"/>
                <w:kern w:val="0"/>
                <w:position w:val="0"/>
                <w:sz w:val="21"/>
                <w:szCs w:val="21"/>
                <w:shd w:val="clear"/>
                <w:lang w:eastAsia="zh-CN" w:bidi="ar-SA"/>
              </w:rPr>
              <w:t>渗滤液、车间地坪和道路冲洗水运输车辆冲洗水经“调节池→UASB→MBR→R。”的工艺，处理达到《城市污水再生利用工业用水水质》（GB/Tl9923-2005）中洗涤用水标准后回用于炉渣冷却、冲洗用水及石灰浆制备用水，浓水回喷焚烧或用于石灰浆制备，不外排；生活污水及化验室废水经“MBR＋消毒”工艺处理达《城市污水再生利用绿地灌溉水质》（GB/T25499-2010）标准后回用于绿化降尘用水，不外排；锅炉排污水、循环水系统排水及化学水系统产生的浓水属于清净下水，部分回用于炉渣冷却、绿化降尘等，其余经雨水管排放</w:t>
            </w:r>
          </w:p>
        </w:tc>
        <w:tc>
          <w:tcPr>
            <w:tcW w:w="3282" w:type="dxa"/>
            <w:noWrap w:val="0"/>
            <w:vAlign w:val="center"/>
          </w:tcPr>
          <w:p w14:paraId="0E1EC2D2">
            <w:pPr>
              <w:keepNext w:val="0"/>
              <w:keepLines w:val="0"/>
              <w:shd w:val="clear"/>
              <w:bidi w:val="0"/>
              <w:snapToGrid w:val="0"/>
              <w:spacing w:before="0" w:after="0" w:line="240" w:lineRule="auto"/>
              <w:ind w:left="0" w:right="0" w:firstLine="0"/>
              <w:jc w:val="left"/>
              <w:rPr>
                <w:rFonts w:hint="eastAsia" w:ascii="仿宋_GB2312" w:hAnsi="仿宋_GB2312" w:eastAsia="仿宋_GB2312" w:cs="仿宋_GB2312"/>
                <w:snapToGrid w:val="0"/>
                <w:color w:val="auto"/>
                <w:spacing w:val="0"/>
                <w:w w:val="100"/>
                <w:kern w:val="0"/>
                <w:position w:val="0"/>
                <w:sz w:val="21"/>
                <w:szCs w:val="21"/>
                <w:shd w:val="clear"/>
                <w:lang w:eastAsia="zh-CN" w:bidi="ar-SA"/>
              </w:rPr>
            </w:pPr>
            <w:r>
              <w:rPr>
                <w:rFonts w:hint="eastAsia" w:ascii="仿宋_GB2312" w:hAnsi="仿宋_GB2312" w:eastAsia="仿宋_GB2312" w:cs="仿宋_GB2312"/>
                <w:snapToGrid w:val="0"/>
                <w:color w:val="auto"/>
                <w:spacing w:val="0"/>
                <w:w w:val="100"/>
                <w:kern w:val="0"/>
                <w:position w:val="0"/>
                <w:sz w:val="21"/>
                <w:szCs w:val="21"/>
                <w:shd w:val="clear"/>
                <w:lang w:eastAsia="zh-CN" w:bidi="ar-SA"/>
              </w:rPr>
              <w:t>渗滤液、车间地坪和道路冲洗水运输车辆冲洗水经“调节池→UASB→MBR→R。”的工艺处理后回用于炉渣冷却、冲洗用水及石灰浆制备用水，浓水回喷焚烧或用于石灰浆制备，不外排；生活污水及化验室废水经“MBR＋消毒”工艺处理后回用于绿化降尘用水，不外排；锅炉排污水、循环水系统排水及化学水系统产生的浓水属于清净下水，部分回用于炉渣冷却、绿化降尘等，其余经雨水管排放</w:t>
            </w:r>
          </w:p>
        </w:tc>
      </w:tr>
      <w:tr w14:paraId="34C92E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36" w:type="dxa"/>
            <w:noWrap w:val="0"/>
            <w:vAlign w:val="center"/>
          </w:tcPr>
          <w:p w14:paraId="60EB58FB">
            <w:pPr>
              <w:keepNext w:val="0"/>
              <w:keepLines w:val="0"/>
              <w:shd w:val="clear"/>
              <w:bidi w:val="0"/>
              <w:snapToGrid w:val="0"/>
              <w:spacing w:before="0" w:after="0" w:line="240" w:lineRule="auto"/>
              <w:ind w:left="0" w:right="0" w:firstLine="0"/>
              <w:jc w:val="center"/>
              <w:rPr>
                <w:rFonts w:hint="eastAsia" w:ascii="仿宋_GB2312" w:hAnsi="仿宋_GB2312" w:eastAsia="仿宋_GB2312" w:cs="仿宋_GB2312"/>
                <w:snapToGrid w:val="0"/>
                <w:color w:val="auto"/>
                <w:spacing w:val="0"/>
                <w:w w:val="100"/>
                <w:kern w:val="0"/>
                <w:position w:val="0"/>
                <w:sz w:val="21"/>
                <w:szCs w:val="21"/>
                <w:shd w:val="clear"/>
                <w:lang w:eastAsia="zh-CN" w:bidi="ar-SA"/>
              </w:rPr>
            </w:pPr>
            <w:r>
              <w:rPr>
                <w:rFonts w:hint="eastAsia" w:ascii="仿宋_GB2312" w:hAnsi="仿宋_GB2312" w:eastAsia="仿宋_GB2312" w:cs="仿宋_GB2312"/>
                <w:snapToGrid w:val="0"/>
                <w:color w:val="auto"/>
                <w:spacing w:val="0"/>
                <w:w w:val="100"/>
                <w:kern w:val="0"/>
                <w:position w:val="0"/>
                <w:sz w:val="21"/>
                <w:szCs w:val="21"/>
                <w:shd w:val="clear"/>
                <w:lang w:eastAsia="zh-CN" w:bidi="ar-SA"/>
              </w:rPr>
              <w:t>2</w:t>
            </w:r>
          </w:p>
        </w:tc>
        <w:tc>
          <w:tcPr>
            <w:tcW w:w="847" w:type="dxa"/>
            <w:noWrap w:val="0"/>
            <w:vAlign w:val="center"/>
          </w:tcPr>
          <w:p w14:paraId="6A1DFA37">
            <w:pPr>
              <w:keepNext w:val="0"/>
              <w:keepLines w:val="0"/>
              <w:shd w:val="clear"/>
              <w:bidi w:val="0"/>
              <w:snapToGrid w:val="0"/>
              <w:spacing w:before="0" w:after="0" w:line="240" w:lineRule="auto"/>
              <w:ind w:left="0" w:right="0" w:firstLine="0"/>
              <w:jc w:val="center"/>
              <w:rPr>
                <w:rFonts w:hint="eastAsia" w:ascii="仿宋_GB2312" w:hAnsi="仿宋_GB2312" w:eastAsia="仿宋_GB2312" w:cs="仿宋_GB2312"/>
                <w:snapToGrid w:val="0"/>
                <w:color w:val="auto"/>
                <w:spacing w:val="0"/>
                <w:w w:val="100"/>
                <w:kern w:val="0"/>
                <w:position w:val="0"/>
                <w:sz w:val="21"/>
                <w:szCs w:val="21"/>
                <w:shd w:val="clear"/>
                <w:lang w:eastAsia="zh-CN" w:bidi="ar-SA"/>
              </w:rPr>
            </w:pPr>
            <w:r>
              <w:rPr>
                <w:rFonts w:hint="eastAsia" w:ascii="仿宋_GB2312" w:hAnsi="仿宋_GB2312" w:eastAsia="仿宋_GB2312" w:cs="仿宋_GB2312"/>
                <w:snapToGrid w:val="0"/>
                <w:color w:val="auto"/>
                <w:spacing w:val="0"/>
                <w:w w:val="100"/>
                <w:kern w:val="0"/>
                <w:position w:val="0"/>
                <w:sz w:val="21"/>
                <w:szCs w:val="21"/>
                <w:shd w:val="clear"/>
                <w:lang w:eastAsia="zh-CN" w:bidi="ar-SA"/>
              </w:rPr>
              <w:t>防渗</w:t>
            </w:r>
          </w:p>
        </w:tc>
        <w:tc>
          <w:tcPr>
            <w:tcW w:w="3501" w:type="dxa"/>
            <w:noWrap w:val="0"/>
            <w:vAlign w:val="center"/>
          </w:tcPr>
          <w:p w14:paraId="215415DF">
            <w:pPr>
              <w:keepNext w:val="0"/>
              <w:keepLines w:val="0"/>
              <w:shd w:val="clear"/>
              <w:bidi w:val="0"/>
              <w:snapToGrid w:val="0"/>
              <w:spacing w:before="0" w:after="0" w:line="240" w:lineRule="auto"/>
              <w:ind w:left="0" w:right="0" w:firstLine="0"/>
              <w:jc w:val="left"/>
              <w:rPr>
                <w:rFonts w:hint="eastAsia" w:ascii="仿宋_GB2312" w:hAnsi="仿宋_GB2312" w:eastAsia="仿宋_GB2312" w:cs="仿宋_GB2312"/>
                <w:snapToGrid w:val="0"/>
                <w:color w:val="auto"/>
                <w:spacing w:val="0"/>
                <w:w w:val="100"/>
                <w:kern w:val="0"/>
                <w:position w:val="0"/>
                <w:sz w:val="21"/>
                <w:szCs w:val="21"/>
                <w:shd w:val="clear"/>
                <w:lang w:eastAsia="zh-CN" w:bidi="ar-SA"/>
              </w:rPr>
            </w:pPr>
            <w:r>
              <w:rPr>
                <w:rFonts w:hint="eastAsia" w:ascii="仿宋_GB2312" w:hAnsi="仿宋_GB2312" w:eastAsia="仿宋_GB2312" w:cs="仿宋_GB2312"/>
                <w:snapToGrid w:val="0"/>
                <w:color w:val="auto"/>
                <w:spacing w:val="0"/>
                <w:w w:val="100"/>
                <w:kern w:val="0"/>
                <w:position w:val="0"/>
                <w:sz w:val="21"/>
                <w:szCs w:val="21"/>
                <w:shd w:val="clear"/>
                <w:lang w:eastAsia="zh-CN" w:bidi="ar-SA"/>
              </w:rPr>
              <w:t>垃圾贮坑、渗滤液处置装置、飞灰仓、危废储存间、柴油储罐、氨水储罐等重点污染防治区防渗层的防渗性能不低于6.0m厚渗透系数1×10</w:t>
            </w:r>
            <w:r>
              <w:rPr>
                <w:rFonts w:hint="eastAsia" w:ascii="仿宋_GB2312" w:hAnsi="仿宋_GB2312" w:eastAsia="仿宋_GB2312" w:cs="仿宋_GB2312"/>
                <w:snapToGrid w:val="0"/>
                <w:color w:val="auto"/>
                <w:spacing w:val="0"/>
                <w:w w:val="100"/>
                <w:kern w:val="0"/>
                <w:position w:val="0"/>
                <w:sz w:val="21"/>
                <w:szCs w:val="21"/>
                <w:shd w:val="clear"/>
                <w:vertAlign w:val="superscript"/>
                <w:lang w:eastAsia="zh-CN" w:bidi="ar-SA"/>
              </w:rPr>
              <w:t>-7</w:t>
            </w:r>
            <w:r>
              <w:rPr>
                <w:rFonts w:hint="eastAsia" w:ascii="仿宋_GB2312" w:hAnsi="仿宋_GB2312" w:eastAsia="仿宋_GB2312" w:cs="仿宋_GB2312"/>
                <w:snapToGrid w:val="0"/>
                <w:color w:val="auto"/>
                <w:spacing w:val="0"/>
                <w:w w:val="100"/>
                <w:kern w:val="0"/>
                <w:position w:val="0"/>
                <w:sz w:val="21"/>
                <w:szCs w:val="21"/>
                <w:shd w:val="clear"/>
                <w:lang w:eastAsia="zh-CN" w:bidi="ar-SA"/>
              </w:rPr>
              <w:t>cm/s的等效黏土层的防渗性能。一般防渗区参照《一般工业固体废物贮存、处置场污染控制标准》GB18599-2001）中II类场的要求设计防渗方案。一般污染防治区防渗层的防渗性能不应低于1.5m厚渗透系数1×10</w:t>
            </w:r>
            <w:r>
              <w:rPr>
                <w:rFonts w:hint="eastAsia" w:ascii="仿宋_GB2312" w:hAnsi="仿宋_GB2312" w:eastAsia="仿宋_GB2312" w:cs="仿宋_GB2312"/>
                <w:snapToGrid w:val="0"/>
                <w:color w:val="auto"/>
                <w:spacing w:val="0"/>
                <w:w w:val="100"/>
                <w:kern w:val="0"/>
                <w:position w:val="0"/>
                <w:sz w:val="21"/>
                <w:szCs w:val="21"/>
                <w:shd w:val="clear"/>
                <w:vertAlign w:val="superscript"/>
                <w:lang w:eastAsia="zh-CN" w:bidi="ar-SA"/>
              </w:rPr>
              <w:t>-7</w:t>
            </w:r>
            <w:r>
              <w:rPr>
                <w:rFonts w:hint="eastAsia" w:ascii="仿宋_GB2312" w:hAnsi="仿宋_GB2312" w:eastAsia="仿宋_GB2312" w:cs="仿宋_GB2312"/>
                <w:snapToGrid w:val="0"/>
                <w:color w:val="auto"/>
                <w:spacing w:val="0"/>
                <w:w w:val="100"/>
                <w:kern w:val="0"/>
                <w:position w:val="0"/>
                <w:sz w:val="21"/>
                <w:szCs w:val="21"/>
                <w:shd w:val="clear"/>
                <w:lang w:eastAsia="zh-CN" w:bidi="ar-SA"/>
              </w:rPr>
              <w:t>cm/s的等效黏土层的防渗性能。设于l.5m厚渗透系数1×10</w:t>
            </w:r>
            <w:r>
              <w:rPr>
                <w:rFonts w:hint="eastAsia" w:ascii="仿宋_GB2312" w:hAnsi="仿宋_GB2312" w:eastAsia="仿宋_GB2312" w:cs="仿宋_GB2312"/>
                <w:snapToGrid w:val="0"/>
                <w:color w:val="auto"/>
                <w:spacing w:val="0"/>
                <w:w w:val="100"/>
                <w:kern w:val="0"/>
                <w:position w:val="0"/>
                <w:sz w:val="21"/>
                <w:szCs w:val="21"/>
                <w:shd w:val="clear"/>
                <w:vertAlign w:val="superscript"/>
                <w:lang w:eastAsia="zh-CN" w:bidi="ar-SA"/>
              </w:rPr>
              <w:t>-7</w:t>
            </w:r>
            <w:r>
              <w:rPr>
                <w:rFonts w:hint="eastAsia" w:ascii="仿宋_GB2312" w:hAnsi="仿宋_GB2312" w:eastAsia="仿宋_GB2312" w:cs="仿宋_GB2312"/>
                <w:snapToGrid w:val="0"/>
                <w:color w:val="auto"/>
                <w:spacing w:val="0"/>
                <w:w w:val="100"/>
                <w:kern w:val="0"/>
                <w:position w:val="0"/>
                <w:sz w:val="21"/>
                <w:szCs w:val="21"/>
                <w:shd w:val="clear"/>
                <w:lang w:eastAsia="zh-CN" w:bidi="ar-SA"/>
              </w:rPr>
              <w:t>cm/s的等效秸土层的防渗性能。设置地下水监控井，建立地下水监测环境管理体系。</w:t>
            </w:r>
          </w:p>
        </w:tc>
        <w:tc>
          <w:tcPr>
            <w:tcW w:w="3282" w:type="dxa"/>
            <w:noWrap w:val="0"/>
            <w:vAlign w:val="center"/>
          </w:tcPr>
          <w:p w14:paraId="4F940894">
            <w:pPr>
              <w:keepNext w:val="0"/>
              <w:keepLines w:val="0"/>
              <w:shd w:val="clear"/>
              <w:bidi w:val="0"/>
              <w:snapToGrid w:val="0"/>
              <w:spacing w:before="0" w:after="0" w:line="240" w:lineRule="auto"/>
              <w:ind w:left="0" w:right="0" w:firstLine="0"/>
              <w:jc w:val="left"/>
              <w:rPr>
                <w:rFonts w:hint="eastAsia" w:ascii="仿宋_GB2312" w:hAnsi="仿宋_GB2312" w:eastAsia="仿宋_GB2312" w:cs="仿宋_GB2312"/>
                <w:snapToGrid w:val="0"/>
                <w:color w:val="auto"/>
                <w:spacing w:val="0"/>
                <w:w w:val="100"/>
                <w:kern w:val="0"/>
                <w:position w:val="0"/>
                <w:sz w:val="21"/>
                <w:szCs w:val="21"/>
                <w:shd w:val="clear"/>
                <w:lang w:eastAsia="zh-CN" w:bidi="ar-SA"/>
              </w:rPr>
            </w:pPr>
            <w:r>
              <w:rPr>
                <w:rFonts w:hint="eastAsia" w:ascii="仿宋_GB2312" w:hAnsi="仿宋_GB2312" w:eastAsia="仿宋_GB2312" w:cs="仿宋_GB2312"/>
                <w:snapToGrid w:val="0"/>
                <w:color w:val="auto"/>
                <w:spacing w:val="0"/>
                <w:w w:val="100"/>
                <w:kern w:val="0"/>
                <w:position w:val="0"/>
                <w:sz w:val="21"/>
                <w:szCs w:val="21"/>
                <w:shd w:val="clear"/>
                <w:lang w:eastAsia="zh-CN" w:bidi="ar-SA"/>
              </w:rPr>
              <w:t>垃圾贮坑、渗滤液处置装置、飞灰仓、危废储存间、柴油储罐、氨水储罐等重点污染防治区防渗层的防渗性能不低于6.0m厚渗透系数1×10-7cm/s的等效黏土层的防渗性能。一般污染防治区防渗层的防渗性能不应低于1.5m厚渗透系数1×10-7cm/s的等效黏土层的防渗性能。设于l.5m厚渗透系数1×10-7cm/s的等效秸土层的防渗性能。设置地下水监控井，建立地下水监测环境管理体系。</w:t>
            </w:r>
          </w:p>
        </w:tc>
      </w:tr>
      <w:tr w14:paraId="76F407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36" w:type="dxa"/>
            <w:noWrap w:val="0"/>
            <w:vAlign w:val="center"/>
          </w:tcPr>
          <w:p w14:paraId="42F6C3CC">
            <w:pPr>
              <w:keepNext w:val="0"/>
              <w:keepLines w:val="0"/>
              <w:shd w:val="clear"/>
              <w:bidi w:val="0"/>
              <w:snapToGrid w:val="0"/>
              <w:spacing w:before="0" w:after="0" w:line="240" w:lineRule="auto"/>
              <w:ind w:left="0" w:right="0" w:firstLine="0"/>
              <w:jc w:val="center"/>
              <w:rPr>
                <w:rFonts w:hint="eastAsia" w:ascii="仿宋_GB2312" w:hAnsi="仿宋_GB2312" w:eastAsia="仿宋_GB2312" w:cs="仿宋_GB2312"/>
                <w:snapToGrid w:val="0"/>
                <w:color w:val="auto"/>
                <w:spacing w:val="0"/>
                <w:w w:val="100"/>
                <w:kern w:val="0"/>
                <w:position w:val="0"/>
                <w:sz w:val="21"/>
                <w:szCs w:val="21"/>
                <w:shd w:val="clear"/>
                <w:lang w:eastAsia="zh-CN" w:bidi="ar-SA"/>
              </w:rPr>
            </w:pPr>
            <w:r>
              <w:rPr>
                <w:rFonts w:hint="eastAsia" w:ascii="仿宋_GB2312" w:hAnsi="仿宋_GB2312" w:eastAsia="仿宋_GB2312" w:cs="仿宋_GB2312"/>
                <w:snapToGrid w:val="0"/>
                <w:color w:val="auto"/>
                <w:spacing w:val="0"/>
                <w:w w:val="100"/>
                <w:kern w:val="0"/>
                <w:position w:val="0"/>
                <w:sz w:val="21"/>
                <w:szCs w:val="21"/>
                <w:shd w:val="clear"/>
                <w:lang w:val="en-US" w:eastAsia="zh-CN" w:bidi="ar-SA"/>
              </w:rPr>
              <w:t>3</w:t>
            </w:r>
          </w:p>
        </w:tc>
        <w:tc>
          <w:tcPr>
            <w:tcW w:w="847" w:type="dxa"/>
            <w:noWrap w:val="0"/>
            <w:vAlign w:val="center"/>
          </w:tcPr>
          <w:p w14:paraId="4B935096">
            <w:pPr>
              <w:keepNext w:val="0"/>
              <w:keepLines w:val="0"/>
              <w:shd w:val="clear"/>
              <w:bidi w:val="0"/>
              <w:snapToGrid w:val="0"/>
              <w:spacing w:before="0" w:after="0" w:line="240" w:lineRule="auto"/>
              <w:ind w:left="0" w:right="0" w:firstLine="0"/>
              <w:jc w:val="center"/>
              <w:rPr>
                <w:rFonts w:hint="eastAsia" w:ascii="仿宋_GB2312" w:hAnsi="仿宋_GB2312" w:eastAsia="仿宋_GB2312" w:cs="仿宋_GB2312"/>
                <w:snapToGrid w:val="0"/>
                <w:color w:val="auto"/>
                <w:spacing w:val="0"/>
                <w:w w:val="100"/>
                <w:kern w:val="0"/>
                <w:position w:val="0"/>
                <w:sz w:val="21"/>
                <w:szCs w:val="21"/>
                <w:shd w:val="clear"/>
                <w:lang w:eastAsia="zh-CN" w:bidi="ar-SA"/>
              </w:rPr>
            </w:pPr>
            <w:r>
              <w:rPr>
                <w:rFonts w:hint="eastAsia" w:ascii="仿宋_GB2312" w:hAnsi="仿宋_GB2312" w:eastAsia="仿宋_GB2312" w:cs="仿宋_GB2312"/>
                <w:snapToGrid w:val="0"/>
                <w:color w:val="auto"/>
                <w:spacing w:val="0"/>
                <w:w w:val="100"/>
                <w:kern w:val="0"/>
                <w:position w:val="0"/>
                <w:sz w:val="21"/>
                <w:szCs w:val="21"/>
                <w:shd w:val="clear"/>
                <w:lang w:eastAsia="zh-CN" w:bidi="ar-SA"/>
              </w:rPr>
              <w:t>废气</w:t>
            </w:r>
          </w:p>
        </w:tc>
        <w:tc>
          <w:tcPr>
            <w:tcW w:w="3501" w:type="dxa"/>
            <w:noWrap w:val="0"/>
            <w:vAlign w:val="center"/>
          </w:tcPr>
          <w:p w14:paraId="3A5F9DB8">
            <w:pPr>
              <w:keepNext w:val="0"/>
              <w:keepLines w:val="0"/>
              <w:shd w:val="clear"/>
              <w:bidi w:val="0"/>
              <w:snapToGrid w:val="0"/>
              <w:spacing w:before="0" w:after="0" w:line="240" w:lineRule="auto"/>
              <w:ind w:left="0" w:right="0" w:firstLine="0"/>
              <w:jc w:val="left"/>
              <w:rPr>
                <w:rFonts w:hint="eastAsia" w:ascii="仿宋_GB2312" w:hAnsi="仿宋_GB2312" w:eastAsia="仿宋_GB2312" w:cs="仿宋_GB2312"/>
                <w:snapToGrid w:val="0"/>
                <w:color w:val="auto"/>
                <w:spacing w:val="0"/>
                <w:w w:val="100"/>
                <w:kern w:val="0"/>
                <w:position w:val="0"/>
                <w:sz w:val="21"/>
                <w:szCs w:val="21"/>
                <w:shd w:val="clear"/>
                <w:lang w:eastAsia="zh-CN" w:bidi="ar-SA"/>
              </w:rPr>
            </w:pPr>
            <w:r>
              <w:rPr>
                <w:rFonts w:hint="eastAsia" w:ascii="仿宋_GB2312" w:hAnsi="仿宋_GB2312" w:eastAsia="仿宋_GB2312" w:cs="仿宋_GB2312"/>
                <w:snapToGrid w:val="0"/>
                <w:color w:val="auto"/>
                <w:spacing w:val="0"/>
                <w:w w:val="100"/>
                <w:kern w:val="0"/>
                <w:position w:val="0"/>
                <w:sz w:val="21"/>
                <w:szCs w:val="21"/>
                <w:shd w:val="clear"/>
                <w:lang w:eastAsia="zh-CN" w:bidi="ar-SA"/>
              </w:rPr>
              <w:t>垃圾焚烧炉烟气经“SNCR脱硫＋（半干法和干法）脱酸＋活性炭喷射吸附＋布袋除尘器”进行净化处理达《生活垃圾焚烧污染控制标准》（GBl8485-2014）后经100米高烟囱排放。垃圾贮坑、卸料大厅及污水处理站调节池、中间水池、厌氧反应池、硝化池、反硝化池、污泥浓缩池、污泥脱水间等构建物采取密闭负压措施，卸料大厅设置电动卷帘门和空气幕墙，收集的臭气送入焚烧炉燃烧处理，停炉时送活性炭除臭装置处理后经28.5米高排气筒排放。活性炭仓、石灰仓、飞灰仓均配备仓顶布袋除尘器。污水处理站UASB系统产生的沼气通过管道送入5.5米火炬燃烧器处理排放。综合《关于印发〈生活垃圾焚烧发电建设项目环境准入条件（试行）〉的通知》（环办环评〔2018〕20号）等要求，厂界外设置300米的环境防护距离，环境防护距离范围内不应规划建设居民区、学校、医院、行政办公和科研等敏感目标。</w:t>
            </w:r>
          </w:p>
        </w:tc>
        <w:tc>
          <w:tcPr>
            <w:tcW w:w="3282" w:type="dxa"/>
            <w:noWrap w:val="0"/>
            <w:vAlign w:val="center"/>
          </w:tcPr>
          <w:p w14:paraId="6A6CA7F9">
            <w:pPr>
              <w:keepNext w:val="0"/>
              <w:keepLines w:val="0"/>
              <w:shd w:val="clear"/>
              <w:bidi w:val="0"/>
              <w:snapToGrid w:val="0"/>
              <w:spacing w:before="0" w:after="0" w:line="240" w:lineRule="auto"/>
              <w:ind w:left="0" w:right="0" w:firstLine="0"/>
              <w:jc w:val="left"/>
              <w:rPr>
                <w:rFonts w:hint="eastAsia" w:ascii="仿宋_GB2312" w:hAnsi="仿宋_GB2312" w:eastAsia="仿宋_GB2312" w:cs="仿宋_GB2312"/>
                <w:snapToGrid w:val="0"/>
                <w:color w:val="auto"/>
                <w:spacing w:val="0"/>
                <w:w w:val="100"/>
                <w:kern w:val="0"/>
                <w:position w:val="0"/>
                <w:sz w:val="21"/>
                <w:szCs w:val="21"/>
                <w:shd w:val="clear"/>
                <w:lang w:eastAsia="zh-CN" w:bidi="ar-SA"/>
              </w:rPr>
            </w:pPr>
            <w:r>
              <w:rPr>
                <w:rFonts w:hint="eastAsia" w:ascii="仿宋_GB2312" w:hAnsi="仿宋_GB2312" w:eastAsia="仿宋_GB2312" w:cs="仿宋_GB2312"/>
                <w:snapToGrid w:val="0"/>
                <w:color w:val="auto"/>
                <w:spacing w:val="0"/>
                <w:w w:val="100"/>
                <w:kern w:val="0"/>
                <w:position w:val="0"/>
                <w:sz w:val="21"/>
                <w:szCs w:val="21"/>
                <w:shd w:val="clear"/>
                <w:lang w:eastAsia="zh-CN" w:bidi="ar-SA"/>
              </w:rPr>
              <w:t>垃圾焚烧炉烟气经“SNCR脱硫＋（半干法和干法）脱酸＋活性炭喷射吸附＋布袋除尘器”进行净化处理达《生活垃圾焚烧污染控制标准》（GBl8485-2014）后经100米高烟囱排放。垃圾贮坑、卸料大厅及污水处理站调节池、中间水池、厌氧反应池、硝化池、反硝化池、污泥浓缩池、污泥脱水间等构建物采取密闭负压措施，卸料大厅设置电动卷帘门和空气幕墙，收集的臭气送入焚烧炉燃烧处理，停炉时送活性炭除臭装置处理后经28.5米高排气筒排放。活性炭仓、石灰仓、飞灰仓均配备仓顶布袋除尘器。污水处理站UASB系统产生的沼气通过管道送入5.5米火炬燃烧器处理排放。厂界外设置300米的环境防护距离，环境防护距离范围内</w:t>
            </w:r>
            <w:r>
              <w:rPr>
                <w:rFonts w:hint="eastAsia" w:ascii="仿宋_GB2312" w:hAnsi="仿宋_GB2312" w:eastAsia="仿宋_GB2312" w:cs="仿宋_GB2312"/>
                <w:snapToGrid w:val="0"/>
                <w:color w:val="auto"/>
                <w:spacing w:val="0"/>
                <w:w w:val="100"/>
                <w:kern w:val="0"/>
                <w:position w:val="0"/>
                <w:sz w:val="21"/>
                <w:szCs w:val="21"/>
                <w:shd w:val="clear"/>
                <w:lang w:val="en-US" w:eastAsia="zh-CN" w:bidi="ar-SA"/>
              </w:rPr>
              <w:t>未</w:t>
            </w:r>
            <w:r>
              <w:rPr>
                <w:rFonts w:hint="eastAsia" w:ascii="仿宋_GB2312" w:hAnsi="仿宋_GB2312" w:eastAsia="仿宋_GB2312" w:cs="仿宋_GB2312"/>
                <w:snapToGrid w:val="0"/>
                <w:color w:val="auto"/>
                <w:spacing w:val="0"/>
                <w:w w:val="100"/>
                <w:kern w:val="0"/>
                <w:position w:val="0"/>
                <w:sz w:val="21"/>
                <w:szCs w:val="21"/>
                <w:shd w:val="clear"/>
                <w:lang w:eastAsia="zh-CN" w:bidi="ar-SA"/>
              </w:rPr>
              <w:t>规划建设居民区、学校、医院、行政办公和科研等敏感目标。</w:t>
            </w:r>
          </w:p>
        </w:tc>
      </w:tr>
      <w:tr w14:paraId="4D1C1B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36" w:type="dxa"/>
            <w:noWrap w:val="0"/>
            <w:vAlign w:val="center"/>
          </w:tcPr>
          <w:p w14:paraId="7F468223">
            <w:pPr>
              <w:keepNext w:val="0"/>
              <w:keepLines w:val="0"/>
              <w:shd w:val="clear"/>
              <w:bidi w:val="0"/>
              <w:snapToGrid w:val="0"/>
              <w:spacing w:before="0" w:after="0" w:line="240" w:lineRule="auto"/>
              <w:ind w:left="0" w:right="0" w:firstLine="0"/>
              <w:jc w:val="center"/>
              <w:rPr>
                <w:rFonts w:hint="eastAsia" w:ascii="仿宋_GB2312" w:hAnsi="仿宋_GB2312" w:eastAsia="仿宋_GB2312" w:cs="仿宋_GB2312"/>
                <w:snapToGrid w:val="0"/>
                <w:color w:val="auto"/>
                <w:spacing w:val="0"/>
                <w:w w:val="100"/>
                <w:kern w:val="0"/>
                <w:position w:val="0"/>
                <w:sz w:val="21"/>
                <w:szCs w:val="21"/>
                <w:shd w:val="clear"/>
                <w:lang w:val="en-US" w:eastAsia="zh-CN" w:bidi="ar-SA"/>
              </w:rPr>
            </w:pPr>
            <w:r>
              <w:rPr>
                <w:rFonts w:hint="eastAsia" w:ascii="仿宋_GB2312" w:hAnsi="仿宋_GB2312" w:eastAsia="仿宋_GB2312" w:cs="仿宋_GB2312"/>
                <w:snapToGrid w:val="0"/>
                <w:color w:val="auto"/>
                <w:spacing w:val="0"/>
                <w:w w:val="100"/>
                <w:kern w:val="0"/>
                <w:position w:val="0"/>
                <w:sz w:val="21"/>
                <w:szCs w:val="21"/>
                <w:shd w:val="clear"/>
                <w:lang w:val="en-US" w:eastAsia="zh-CN" w:bidi="ar-SA"/>
              </w:rPr>
              <w:t>4</w:t>
            </w:r>
          </w:p>
        </w:tc>
        <w:tc>
          <w:tcPr>
            <w:tcW w:w="847" w:type="dxa"/>
            <w:noWrap w:val="0"/>
            <w:vAlign w:val="center"/>
          </w:tcPr>
          <w:p w14:paraId="37707229">
            <w:pPr>
              <w:keepNext w:val="0"/>
              <w:keepLines w:val="0"/>
              <w:shd w:val="clear"/>
              <w:bidi w:val="0"/>
              <w:snapToGrid w:val="0"/>
              <w:spacing w:before="0" w:after="0" w:line="240" w:lineRule="auto"/>
              <w:ind w:left="0" w:right="0" w:firstLine="0"/>
              <w:jc w:val="center"/>
              <w:rPr>
                <w:rFonts w:hint="eastAsia" w:ascii="仿宋_GB2312" w:hAnsi="仿宋_GB2312" w:eastAsia="仿宋_GB2312" w:cs="仿宋_GB2312"/>
                <w:snapToGrid w:val="0"/>
                <w:color w:val="auto"/>
                <w:spacing w:val="0"/>
                <w:w w:val="100"/>
                <w:kern w:val="0"/>
                <w:position w:val="0"/>
                <w:sz w:val="21"/>
                <w:szCs w:val="21"/>
                <w:shd w:val="clear"/>
                <w:lang w:eastAsia="zh-CN" w:bidi="ar-SA"/>
              </w:rPr>
            </w:pPr>
            <w:r>
              <w:rPr>
                <w:rFonts w:hint="eastAsia" w:ascii="仿宋_GB2312" w:hAnsi="仿宋_GB2312" w:eastAsia="仿宋_GB2312" w:cs="仿宋_GB2312"/>
                <w:snapToGrid w:val="0"/>
                <w:color w:val="auto"/>
                <w:spacing w:val="0"/>
                <w:w w:val="100"/>
                <w:kern w:val="0"/>
                <w:position w:val="0"/>
                <w:sz w:val="21"/>
                <w:szCs w:val="21"/>
                <w:shd w:val="clear"/>
                <w:lang w:eastAsia="zh-CN" w:bidi="ar-SA"/>
              </w:rPr>
              <w:t>固废</w:t>
            </w:r>
          </w:p>
        </w:tc>
        <w:tc>
          <w:tcPr>
            <w:tcW w:w="3501" w:type="dxa"/>
            <w:noWrap w:val="0"/>
            <w:vAlign w:val="center"/>
          </w:tcPr>
          <w:p w14:paraId="66C9D94C">
            <w:pPr>
              <w:keepNext w:val="0"/>
              <w:keepLines w:val="0"/>
              <w:shd w:val="clear"/>
              <w:bidi w:val="0"/>
              <w:snapToGrid w:val="0"/>
              <w:spacing w:before="0" w:after="0" w:line="240" w:lineRule="auto"/>
              <w:ind w:left="0" w:right="0" w:firstLine="0"/>
              <w:jc w:val="left"/>
              <w:rPr>
                <w:rFonts w:hint="eastAsia" w:ascii="仿宋_GB2312" w:hAnsi="仿宋_GB2312" w:eastAsia="仿宋_GB2312" w:cs="仿宋_GB2312"/>
                <w:snapToGrid w:val="0"/>
                <w:color w:val="auto"/>
                <w:spacing w:val="0"/>
                <w:w w:val="100"/>
                <w:kern w:val="0"/>
                <w:position w:val="0"/>
                <w:sz w:val="21"/>
                <w:szCs w:val="21"/>
                <w:shd w:val="clear"/>
                <w:lang w:eastAsia="zh-CN" w:bidi="ar-SA"/>
              </w:rPr>
            </w:pPr>
            <w:r>
              <w:rPr>
                <w:rFonts w:hint="eastAsia" w:ascii="仿宋_GB2312" w:hAnsi="仿宋_GB2312" w:eastAsia="仿宋_GB2312" w:cs="仿宋_GB2312"/>
                <w:snapToGrid w:val="0"/>
                <w:color w:val="auto"/>
                <w:spacing w:val="0"/>
                <w:w w:val="100"/>
                <w:kern w:val="0"/>
                <w:position w:val="0"/>
                <w:sz w:val="21"/>
                <w:szCs w:val="21"/>
                <w:shd w:val="clear"/>
                <w:lang w:eastAsia="zh-CN" w:bidi="ar-SA"/>
              </w:rPr>
              <w:t>炉渣属一般固体废物，送水泥厂综合利用。飞灰、化水站产生的废滤料和废树脂、空压站产生的废滤料和含油废水、汽机问产生的废机油、布袋除尘器产生的废布袋等危险废物交有危废处置资质的单位处置。根据《国家危险废物名录（2016年）》附录危险废物豁免管理清单，飞灰在满足《水泥窑协同处置固体废物污染控制标准》（GB30485-2013）下，可进入水泥窑协同处置，处置过程不按危险废物管理。污水处理污泥、活性炭除臭装置产生的废活性炭和生活垃圾送焚烧炉处置。危险废物厂内暂存应符合《危险废物贮存污染控制标准》（GBl8597-2001)要求，转移按照《危险废物转移联单管理办法》（国家环保总局第5号令）执行转移联单制度。</w:t>
            </w:r>
          </w:p>
        </w:tc>
        <w:tc>
          <w:tcPr>
            <w:tcW w:w="3282" w:type="dxa"/>
            <w:noWrap w:val="0"/>
            <w:vAlign w:val="center"/>
          </w:tcPr>
          <w:p w14:paraId="6B45E08B">
            <w:pPr>
              <w:keepNext w:val="0"/>
              <w:keepLines w:val="0"/>
              <w:shd w:val="clear"/>
              <w:bidi w:val="0"/>
              <w:snapToGrid w:val="0"/>
              <w:spacing w:before="0" w:after="0" w:line="240" w:lineRule="auto"/>
              <w:ind w:left="0" w:right="0" w:firstLine="0"/>
              <w:jc w:val="left"/>
              <w:rPr>
                <w:rFonts w:hint="eastAsia" w:ascii="仿宋_GB2312" w:hAnsi="仿宋_GB2312" w:eastAsia="仿宋_GB2312" w:cs="仿宋_GB2312"/>
                <w:snapToGrid w:val="0"/>
                <w:color w:val="auto"/>
                <w:spacing w:val="0"/>
                <w:w w:val="100"/>
                <w:kern w:val="0"/>
                <w:position w:val="0"/>
                <w:sz w:val="21"/>
                <w:szCs w:val="21"/>
                <w:shd w:val="clear"/>
                <w:lang w:eastAsia="zh-CN" w:bidi="ar-SA"/>
              </w:rPr>
            </w:pPr>
            <w:r>
              <w:rPr>
                <w:rFonts w:hint="eastAsia" w:ascii="仿宋_GB2312" w:hAnsi="仿宋_GB2312" w:eastAsia="仿宋_GB2312" w:cs="仿宋_GB2312"/>
                <w:snapToGrid w:val="0"/>
                <w:color w:val="auto"/>
                <w:spacing w:val="0"/>
                <w:w w:val="100"/>
                <w:kern w:val="0"/>
                <w:position w:val="0"/>
                <w:sz w:val="21"/>
                <w:szCs w:val="21"/>
                <w:shd w:val="clear"/>
                <w:lang w:eastAsia="zh-CN" w:bidi="ar-SA"/>
              </w:rPr>
              <w:t>炉渣属一般固体废物，送水泥厂综合利用。飞灰、化水站产生的废滤料和废树脂、空压站产生的废滤料和含油废水、汽机问产生的废机油、布袋除尘器产生的废布袋等危险废物交有危废处置资质的单位处置。污水处理污泥、活性炭除臭装置产生的废活性炭和生活垃圾送焚烧炉处置。危险废物厂内暂存应符合《危险废物贮存污染控制标准》（GBl8597-2001)要求，转移按照《危险废物转移联单管理办法》（国家环保总局第5号令）执行转移联单制度。</w:t>
            </w:r>
          </w:p>
        </w:tc>
      </w:tr>
    </w:tbl>
    <w:p w14:paraId="410CA366">
      <w:pPr>
        <w:pStyle w:val="25"/>
        <w:bidi w:val="0"/>
        <w:rPr>
          <w:rFonts w:hint="eastAsia" w:ascii="仿宋_GB2312" w:hAnsi="仿宋_GB2312" w:eastAsia="仿宋_GB2312" w:cs="仿宋_GB2312"/>
        </w:rPr>
      </w:pPr>
      <w:bookmarkStart w:id="137" w:name="bookmark167"/>
      <w:bookmarkStart w:id="138" w:name="bookmark170"/>
      <w:bookmarkStart w:id="139" w:name="bookmark168"/>
      <w:bookmarkStart w:id="140" w:name="_Toc17509"/>
      <w:r>
        <w:rPr>
          <w:rFonts w:hint="eastAsia" w:ascii="仿宋_GB2312" w:hAnsi="仿宋_GB2312" w:eastAsia="仿宋_GB2312" w:cs="仿宋_GB2312"/>
          <w:lang w:val="en-US" w:eastAsia="en-US"/>
        </w:rPr>
        <w:t>2.</w:t>
      </w:r>
      <w:r>
        <w:rPr>
          <w:rFonts w:hint="eastAsia" w:ascii="仿宋_GB2312" w:hAnsi="仿宋_GB2312" w:eastAsia="仿宋_GB2312" w:cs="仿宋_GB2312"/>
        </w:rPr>
        <w:t>6污染防治措施</w:t>
      </w:r>
      <w:bookmarkEnd w:id="137"/>
      <w:bookmarkEnd w:id="138"/>
      <w:bookmarkEnd w:id="139"/>
      <w:bookmarkEnd w:id="140"/>
    </w:p>
    <w:p w14:paraId="64FC1345">
      <w:pPr>
        <w:pStyle w:val="29"/>
        <w:bidi w:val="0"/>
        <w:rPr>
          <w:rFonts w:hint="eastAsia" w:ascii="仿宋_GB2312" w:hAnsi="仿宋_GB2312" w:eastAsia="仿宋_GB2312" w:cs="仿宋_GB2312"/>
        </w:rPr>
      </w:pPr>
      <w:bookmarkStart w:id="141" w:name="bookmark172"/>
      <w:bookmarkStart w:id="142" w:name="bookmark171"/>
      <w:bookmarkStart w:id="143" w:name="_Toc20071"/>
      <w:bookmarkStart w:id="144" w:name="bookmark174"/>
      <w:r>
        <w:rPr>
          <w:rFonts w:hint="eastAsia" w:ascii="仿宋_GB2312" w:hAnsi="仿宋_GB2312" w:eastAsia="仿宋_GB2312" w:cs="仿宋_GB2312"/>
          <w:lang w:val="en-US" w:eastAsia="en-US"/>
        </w:rPr>
        <w:t>2.6.</w:t>
      </w:r>
      <w:r>
        <w:rPr>
          <w:rFonts w:hint="eastAsia" w:ascii="仿宋_GB2312" w:hAnsi="仿宋_GB2312" w:eastAsia="仿宋_GB2312" w:cs="仿宋_GB2312"/>
        </w:rPr>
        <w:t>1水污染防治措施</w:t>
      </w:r>
      <w:bookmarkEnd w:id="141"/>
      <w:bookmarkEnd w:id="142"/>
      <w:bookmarkEnd w:id="143"/>
      <w:bookmarkEnd w:id="144"/>
    </w:p>
    <w:p w14:paraId="4EE00F47">
      <w:pPr>
        <w:pStyle w:val="27"/>
        <w:bidi w:val="0"/>
        <w:rPr>
          <w:rFonts w:hint="eastAsia" w:ascii="仿宋_GB2312" w:hAnsi="仿宋_GB2312" w:eastAsia="仿宋_GB2312" w:cs="仿宋_GB2312"/>
        </w:rPr>
      </w:pPr>
      <w:r>
        <w:rPr>
          <w:rFonts w:hint="eastAsia" w:ascii="仿宋_GB2312" w:hAnsi="仿宋_GB2312" w:eastAsia="仿宋_GB2312" w:cs="仿宋_GB2312"/>
        </w:rPr>
        <w:t>（1）项目</w:t>
      </w:r>
      <w:r>
        <w:rPr>
          <w:rFonts w:hint="eastAsia" w:ascii="仿宋_GB2312" w:hAnsi="仿宋_GB2312" w:eastAsia="仿宋_GB2312" w:cs="仿宋_GB2312"/>
          <w:lang w:val="en-US" w:eastAsia="zh-CN"/>
        </w:rPr>
        <w:t>水污染</w:t>
      </w:r>
      <w:r>
        <w:rPr>
          <w:rFonts w:hint="eastAsia" w:ascii="仿宋_GB2312" w:hAnsi="仿宋_GB2312" w:eastAsia="仿宋_GB2312" w:cs="仿宋_GB2312"/>
        </w:rPr>
        <w:t>总体防治方案</w:t>
      </w:r>
    </w:p>
    <w:p w14:paraId="458D7A7C">
      <w:pPr>
        <w:pStyle w:val="27"/>
        <w:bidi w:val="0"/>
        <w:rPr>
          <w:rFonts w:hint="eastAsia" w:ascii="仿宋_GB2312" w:hAnsi="仿宋_GB2312" w:eastAsia="仿宋_GB2312" w:cs="仿宋_GB2312"/>
        </w:rPr>
      </w:pPr>
      <w:r>
        <w:rPr>
          <w:rFonts w:hint="eastAsia" w:ascii="仿宋_GB2312" w:hAnsi="仿宋_GB2312" w:eastAsia="仿宋_GB2312" w:cs="仿宋_GB2312"/>
        </w:rPr>
        <w:t>①生活污水、化验室废水经生活污水一体化装置（格栅+调节池+MBR组合池+消毒）处理达《城市污水再生利用绿地灌溉水质》（GB/T25499-2010）标准后，回用于绿化降尘用水，不外排。</w:t>
      </w:r>
    </w:p>
    <w:p w14:paraId="40F5E028">
      <w:pPr>
        <w:pStyle w:val="27"/>
        <w:bidi w:val="0"/>
        <w:rPr>
          <w:rFonts w:hint="eastAsia" w:ascii="仿宋_GB2312" w:hAnsi="仿宋_GB2312" w:eastAsia="仿宋_GB2312" w:cs="仿宋_GB2312"/>
        </w:rPr>
      </w:pPr>
      <w:r>
        <w:rPr>
          <w:rFonts w:hint="eastAsia" w:ascii="仿宋_GB2312" w:hAnsi="仿宋_GB2312" w:eastAsia="仿宋_GB2312" w:cs="仿宋_GB2312"/>
        </w:rPr>
        <w:t>②生产废水应优先考虑循环再利用。垃圾渗滤液、卸料大厅及地面冲洗水、运输车辆冲洗水、道路冲洗水及初期雨水，全部进入污水处理站处理达《城市污水再生利用工业用水水质》（GB/T19923-2005）标准中洗涤用水要求后，回用于炉渣冷却、冲洗用水及石灰浆制备用水，渗滤液浓缩液回喷焚烧炉或回用于石灰浆制备用水，不外排。</w:t>
      </w:r>
    </w:p>
    <w:p w14:paraId="109EA2E0">
      <w:pPr>
        <w:pStyle w:val="27"/>
        <w:bidi w:val="0"/>
        <w:rPr>
          <w:rFonts w:hint="eastAsia" w:ascii="仿宋_GB2312" w:hAnsi="仿宋_GB2312" w:eastAsia="仿宋_GB2312" w:cs="仿宋_GB2312"/>
        </w:rPr>
      </w:pPr>
      <w:r>
        <w:rPr>
          <w:rFonts w:hint="eastAsia" w:ascii="仿宋_GB2312" w:hAnsi="仿宋_GB2312" w:eastAsia="仿宋_GB2312" w:cs="仿宋_GB2312"/>
        </w:rPr>
        <w:t>③循环水系统排污水、除盐水制备系统浓水、锅炉定排水属于清净下水，部分补充回用于炉渣冷却、绿化降尘用水，其余不能回用部分进入厂内雨水管网，排入厂外小河沟。</w:t>
      </w:r>
    </w:p>
    <w:p w14:paraId="0DC2343C">
      <w:pPr>
        <w:pStyle w:val="27"/>
        <w:bidi w:val="0"/>
        <w:rPr>
          <w:rFonts w:hint="eastAsia" w:ascii="仿宋_GB2312" w:hAnsi="仿宋_GB2312" w:eastAsia="仿宋_GB2312" w:cs="仿宋_GB2312"/>
        </w:rPr>
      </w:pPr>
      <w:r>
        <w:rPr>
          <w:rFonts w:hint="eastAsia" w:ascii="仿宋_GB2312" w:hAnsi="仿宋_GB2312" w:eastAsia="仿宋_GB2312" w:cs="仿宋_GB2312"/>
        </w:rPr>
        <w:t>（2）高浓度废水</w:t>
      </w:r>
    </w:p>
    <w:p w14:paraId="7931C8C8">
      <w:pPr>
        <w:pStyle w:val="27"/>
        <w:bidi w:val="0"/>
        <w:rPr>
          <w:rFonts w:hint="eastAsia" w:ascii="仿宋_GB2312" w:hAnsi="仿宋_GB2312" w:eastAsia="仿宋_GB2312" w:cs="仿宋_GB2312"/>
        </w:rPr>
      </w:pPr>
      <w:r>
        <w:rPr>
          <w:rFonts w:hint="eastAsia" w:ascii="仿宋_GB2312" w:hAnsi="仿宋_GB2312" w:eastAsia="仿宋_GB2312" w:cs="仿宋_GB2312"/>
        </w:rPr>
        <w:t>垃圾渗滤液、卸料大厅地面冲洗水、运输车辆冲洗水、道路（主要为厂内垃圾车辆运输道路）冲洗水及初期雨水都属于高浓度废水，其成分复杂，经污水处理站处理后回用。</w:t>
      </w:r>
    </w:p>
    <w:p w14:paraId="40BE6495">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①预处理+调节池</w:t>
      </w:r>
    </w:p>
    <w:p w14:paraId="79C85A0C">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预处理设施主要包括格栅、沉淀池，经格栅去除大的漂浮物和杂质后，进入沉淀池，通过投加絮凝剂沉淀去除废水中的SS及部分有机物，沉淀后的清液排入调节池，沉淀污泥自流排入污泥池。</w:t>
      </w:r>
    </w:p>
    <w:p w14:paraId="5F5E0913">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②UASB反应器</w:t>
      </w:r>
    </w:p>
    <w:p w14:paraId="2BF338DF">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UASB反应器主要功能是降解高浓度COD、BOD，降低后续的生化负荷，提高可生化性，使后续生化处理单元运行更稳定。</w:t>
      </w:r>
    </w:p>
    <w:p w14:paraId="0ED465BC">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③MBR系统工艺</w:t>
      </w:r>
    </w:p>
    <w:p w14:paraId="7318FB77">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MBR系统由A/O工艺系统、超滤系统、超滤清液池和辅助系统（冷却系统和消泡系统）等构成。UASB出水自流进入A/O池组，渗滤液依次流经反硝化池及硝化池，通过硝化液回流，在交替缺氧、好氧条件下，渗滤液中的剩余有机物、氨氮、硝态氮得到降解去除。生化系统的泥水混合物通过超滤系统分离后，清液进入膜系统深度处理，浓缩污泥（硝化液）部分回流至A/O系统，部分排入污泥池。</w:t>
      </w:r>
    </w:p>
    <w:p w14:paraId="6222D9CC">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④反渗透（DTRO）系统</w:t>
      </w:r>
    </w:p>
    <w:p w14:paraId="51516D8D">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高浓度废水采用RO能进一步脱除渗滤液中的有机物、重金属及高价离子。超滤出水进入后续的深度处理系统，膜深度处理系统采用DTRO工艺，DTRO系统产水率可达80%，DTRO清液出水至清液池达标回用；浓缩液至DTRO浓液池。</w:t>
      </w:r>
    </w:p>
    <w:p w14:paraId="76259F85">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⑤浓缩液处理</w:t>
      </w:r>
    </w:p>
    <w:p w14:paraId="7956741E">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项目浓缩液以回喷焚烧炉为主，以回用于石灰浆制备为辅，当垃圾热值较低，浓液回喷可能会影响炉膛温度时，采取浓液回用于石灰浆制备。</w:t>
      </w:r>
    </w:p>
    <w:p w14:paraId="51C0DBA7">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⑥污泥处理</w:t>
      </w:r>
    </w:p>
    <w:p w14:paraId="613F0533">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A/O系统产生的剩余污泥与来自厌氧处理产生的污泥排入污泥浓缩池，污泥浓缩池的浓缩污泥通过污泥螺杆泵提升进入离心脱水机，进料过程中投加适量的絮凝剂以提高固液分离效果。浓缩池上清夜回流至调节池，压滤脱水后的污泥送焚烧炉焚烧处置。</w:t>
      </w:r>
    </w:p>
    <w:p w14:paraId="75B4DBEF">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（3）生活污水</w:t>
      </w:r>
    </w:p>
    <w:p w14:paraId="6885DF34">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①一级处理：格栅+调节均化</w:t>
      </w:r>
    </w:p>
    <w:p w14:paraId="2AF77E5F">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生活污水及化验室废水混合后排入，首先经格栅除渣后，进入沉砂调节池，进一步除去较小颗粒杂质，污水经水质、水量调节预处理后，经泵提升进入二级处理设施。</w:t>
      </w:r>
    </w:p>
    <w:p w14:paraId="1F4A4748">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②二级处理：生化处理</w:t>
      </w:r>
    </w:p>
    <w:p w14:paraId="2F177F74">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污水进入缺氧池，同时进入的还有膜池的回流污泥，缺氧池首要功能是脱氮，反硝化菌利用污水中的有机物作为碳源，将膜池回流污泥中带入的大量NO3-和NO2-还原为N2并释放到空气中，BOD浓度继续下降，NO3-浓度也大幅下降，池内设潜水搅拌器。</w:t>
      </w:r>
    </w:p>
    <w:p w14:paraId="490A935D">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在曝气状态下大量繁殖的活性污泥中微生物以及硝化菌群、磷细菌降解或吸附水中含碳、氨氮、磷有机污染物，以达到净化水质目的，池内设置管式橡胶微孔曝气器，具有良好的氧转移率</w:t>
      </w:r>
    </w:p>
    <w:p w14:paraId="118EA980">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③三级处理：膜处理</w:t>
      </w:r>
    </w:p>
    <w:p w14:paraId="03D16FD0">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膜池设置MBR膜组件系统及配套出水、反洗、清洗、吹扫等系统。MBR膜区内的吹扫（曝气）有两个用途，一是用于膜组件周围的气水震荡，保持膜表面清洁，二是为提供生物降解所需要的氧气，通过膜的高效截留作用，全部细菌及悬浮物均被截流在曝气池中，可以有效截流硝化菌，使硝化反应顺利进行，有效去除氨氮；同时可以截留难于降解的大分子有机物，延长其在反应器中的停留时间，使其得到最大限度的降解。剩余污泥通过膜区剩余污泥泵定期排出，可控制系统内活性污泥的浓度及污泥龄。</w:t>
      </w:r>
    </w:p>
    <w:p w14:paraId="57F954B5">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④消毒</w:t>
      </w:r>
    </w:p>
    <w:p w14:paraId="005B18A8">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经膜过滤的出水尚有一部分病毒不能被去除，出水再经消毒即可达标回用。</w:t>
      </w:r>
    </w:p>
    <w:p w14:paraId="08570F48">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（4）雨水</w:t>
      </w:r>
    </w:p>
    <w:p w14:paraId="28C1A6D7">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厂区初期雨水先进入事故水池暂存，再利用污水处理站分批次送入污水处理站调节池与其它污水一并进行处理，处理后回用于厂内地面冲洗、炉渣冷却、石灰浆制备用水等，后期雨水排放考虑通过接入厂内雨水管网后，经厂外小河沟排入锁口河。</w:t>
      </w:r>
    </w:p>
    <w:p w14:paraId="38FB926E">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（5）水处理设施及输送管网防渗措施</w:t>
      </w:r>
    </w:p>
    <w:p w14:paraId="54A3636B">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生产车间地面及处理设施、废水调节池、事故池、厂内废水输送管道、管道保护沟均进行了防渗防腐处理，渗滤液输送管道等厂内污水管道埋地敷设，且采用了防腐、防渗材料，并设置管道保护沟，保护沟做了防渗处理。</w:t>
      </w:r>
    </w:p>
    <w:p w14:paraId="1EE1770B">
      <w:pPr>
        <w:pStyle w:val="29"/>
        <w:bidi w:val="0"/>
        <w:rPr>
          <w:rFonts w:hint="eastAsia" w:ascii="仿宋_GB2312" w:hAnsi="仿宋_GB2312" w:eastAsia="仿宋_GB2312" w:cs="仿宋_GB2312"/>
        </w:rPr>
      </w:pPr>
      <w:bookmarkStart w:id="145" w:name="bookmark175"/>
      <w:bookmarkStart w:id="146" w:name="bookmark176"/>
      <w:bookmarkStart w:id="147" w:name="_Toc30560"/>
      <w:bookmarkStart w:id="148" w:name="bookmark178"/>
      <w:r>
        <w:rPr>
          <w:rFonts w:hint="eastAsia" w:ascii="仿宋_GB2312" w:hAnsi="仿宋_GB2312" w:eastAsia="仿宋_GB2312" w:cs="仿宋_GB2312"/>
          <w:lang w:val="en-US" w:eastAsia="en-US"/>
        </w:rPr>
        <w:t>2.6.</w:t>
      </w:r>
      <w:r>
        <w:rPr>
          <w:rFonts w:hint="eastAsia" w:ascii="仿宋_GB2312" w:hAnsi="仿宋_GB2312" w:eastAsia="仿宋_GB2312" w:cs="仿宋_GB2312"/>
        </w:rPr>
        <w:t>2大气污染防治措施</w:t>
      </w:r>
      <w:bookmarkEnd w:id="145"/>
      <w:bookmarkEnd w:id="146"/>
      <w:bookmarkEnd w:id="147"/>
      <w:bookmarkEnd w:id="148"/>
    </w:p>
    <w:p w14:paraId="592A4FF0">
      <w:pPr>
        <w:pStyle w:val="27"/>
        <w:bidi w:val="0"/>
        <w:rPr>
          <w:rFonts w:hint="eastAsia" w:ascii="仿宋_GB2312" w:hAnsi="仿宋_GB2312" w:eastAsia="仿宋_GB2312" w:cs="仿宋_GB2312"/>
        </w:rPr>
      </w:pPr>
      <w:r>
        <w:rPr>
          <w:rFonts w:hint="eastAsia" w:ascii="仿宋_GB2312" w:hAnsi="仿宋_GB2312" w:eastAsia="仿宋_GB2312" w:cs="仿宋_GB2312"/>
        </w:rPr>
        <w:t>（1）除臭系统</w:t>
      </w:r>
    </w:p>
    <w:p w14:paraId="1C6BA773">
      <w:pPr>
        <w:pStyle w:val="27"/>
        <w:bidi w:val="0"/>
        <w:rPr>
          <w:rFonts w:hint="eastAsia" w:ascii="仿宋_GB2312" w:hAnsi="仿宋_GB2312" w:eastAsia="仿宋_GB2312" w:cs="仿宋_GB2312"/>
        </w:rPr>
      </w:pPr>
      <w:r>
        <w:rPr>
          <w:rFonts w:hint="eastAsia" w:ascii="仿宋_GB2312" w:hAnsi="仿宋_GB2312" w:eastAsia="仿宋_GB2312" w:cs="仿宋_GB2312"/>
        </w:rPr>
        <w:t>全厂臭气主要产生于①垃圾贮坑、②卸料大厅、③污水处理站。全厂产臭车间或构筑物均为封闭设计，同时用风机抽气对封闭空间进行换气，将恶臭气体集中收集并分段处置。</w:t>
      </w:r>
    </w:p>
    <w:p w14:paraId="067A5299">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rPr>
        <w:t>本项目臭气治理措施如下</w:t>
      </w:r>
      <w:r>
        <w:rPr>
          <w:rFonts w:hint="eastAsia" w:ascii="仿宋_GB2312" w:hAnsi="仿宋_GB2312" w:eastAsia="仿宋_GB2312" w:cs="仿宋_GB2312"/>
          <w:lang w:eastAsia="zh-CN"/>
        </w:rPr>
        <w:t>：</w:t>
      </w:r>
    </w:p>
    <w:p w14:paraId="06FC9117">
      <w:pPr>
        <w:pStyle w:val="27"/>
        <w:bidi w:val="0"/>
        <w:ind w:left="0" w:leftChars="0"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不同工况下臭气治理控制措施一览表</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8"/>
        <w:gridCol w:w="2439"/>
        <w:gridCol w:w="5361"/>
      </w:tblGrid>
      <w:tr w14:paraId="42B17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661" w:type="pct"/>
            <w:vAlign w:val="center"/>
          </w:tcPr>
          <w:p w14:paraId="1A50EDFA">
            <w:pPr>
              <w:keepNext w:val="0"/>
              <w:keepLines w:val="0"/>
              <w:shd w:val="clear"/>
              <w:bidi w:val="0"/>
              <w:spacing w:before="0" w:after="0" w:line="240" w:lineRule="auto"/>
              <w:ind w:left="0" w:right="0" w:firstLine="0" w:firstLineChars="0"/>
              <w:jc w:val="center"/>
              <w:rPr>
                <w:rFonts w:hint="eastAsia" w:ascii="仿宋_GB2312" w:hAnsi="仿宋_GB2312" w:eastAsia="仿宋_GB2312" w:cs="仿宋_GB2312"/>
                <w:spacing w:val="0"/>
                <w:w w:val="100"/>
                <w:kern w:val="2"/>
                <w:position w:val="0"/>
                <w:sz w:val="21"/>
                <w:szCs w:val="21"/>
                <w:shd w:val="clear"/>
                <w:lang w:eastAsia="zh-CN" w:bidi="ar-SA"/>
              </w:rPr>
            </w:pPr>
            <w:r>
              <w:rPr>
                <w:rFonts w:hint="eastAsia" w:ascii="仿宋_GB2312" w:hAnsi="仿宋_GB2312" w:eastAsia="仿宋_GB2312" w:cs="仿宋_GB2312"/>
                <w:spacing w:val="0"/>
                <w:w w:val="100"/>
                <w:kern w:val="2"/>
                <w:position w:val="0"/>
                <w:sz w:val="21"/>
                <w:szCs w:val="21"/>
                <w:shd w:val="clear"/>
                <w:lang w:eastAsia="zh-CN" w:bidi="ar-SA"/>
              </w:rPr>
              <w:t>运行工况</w:t>
            </w:r>
          </w:p>
        </w:tc>
        <w:tc>
          <w:tcPr>
            <w:tcW w:w="1357" w:type="pct"/>
            <w:vAlign w:val="center"/>
          </w:tcPr>
          <w:p w14:paraId="1F870601">
            <w:pPr>
              <w:keepNext w:val="0"/>
              <w:keepLines w:val="0"/>
              <w:shd w:val="clear"/>
              <w:bidi w:val="0"/>
              <w:spacing w:before="0" w:after="0" w:line="240" w:lineRule="auto"/>
              <w:ind w:left="0" w:right="0" w:firstLine="0" w:firstLineChars="0"/>
              <w:jc w:val="center"/>
              <w:rPr>
                <w:rFonts w:hint="eastAsia" w:ascii="仿宋_GB2312" w:hAnsi="仿宋_GB2312" w:eastAsia="仿宋_GB2312" w:cs="仿宋_GB2312"/>
                <w:spacing w:val="0"/>
                <w:w w:val="100"/>
                <w:kern w:val="2"/>
                <w:position w:val="0"/>
                <w:sz w:val="21"/>
                <w:szCs w:val="21"/>
                <w:shd w:val="clear"/>
                <w:lang w:eastAsia="zh-CN" w:bidi="ar-SA"/>
              </w:rPr>
            </w:pPr>
            <w:r>
              <w:rPr>
                <w:rFonts w:hint="eastAsia" w:ascii="仿宋_GB2312" w:hAnsi="仿宋_GB2312" w:eastAsia="仿宋_GB2312" w:cs="仿宋_GB2312"/>
                <w:spacing w:val="0"/>
                <w:w w:val="100"/>
                <w:kern w:val="2"/>
                <w:position w:val="0"/>
                <w:sz w:val="21"/>
                <w:szCs w:val="21"/>
                <w:shd w:val="clear"/>
                <w:lang w:eastAsia="zh-CN" w:bidi="ar-SA"/>
              </w:rPr>
              <w:t>所需一次风量</w:t>
            </w:r>
          </w:p>
        </w:tc>
        <w:tc>
          <w:tcPr>
            <w:tcW w:w="2982" w:type="pct"/>
            <w:vAlign w:val="center"/>
          </w:tcPr>
          <w:p w14:paraId="3E8CDD21">
            <w:pPr>
              <w:keepNext w:val="0"/>
              <w:keepLines w:val="0"/>
              <w:shd w:val="clear"/>
              <w:bidi w:val="0"/>
              <w:spacing w:before="0" w:after="0" w:line="240" w:lineRule="auto"/>
              <w:ind w:left="0" w:right="0" w:firstLine="0" w:firstLineChars="0"/>
              <w:jc w:val="center"/>
              <w:rPr>
                <w:rFonts w:hint="eastAsia" w:ascii="仿宋_GB2312" w:hAnsi="仿宋_GB2312" w:eastAsia="仿宋_GB2312" w:cs="仿宋_GB2312"/>
                <w:spacing w:val="0"/>
                <w:w w:val="100"/>
                <w:kern w:val="2"/>
                <w:position w:val="0"/>
                <w:sz w:val="21"/>
                <w:szCs w:val="21"/>
                <w:shd w:val="clear"/>
                <w:lang w:eastAsia="zh-CN" w:bidi="ar-SA"/>
              </w:rPr>
            </w:pPr>
            <w:r>
              <w:rPr>
                <w:rFonts w:hint="eastAsia" w:ascii="仿宋_GB2312" w:hAnsi="仿宋_GB2312" w:eastAsia="仿宋_GB2312" w:cs="仿宋_GB2312"/>
                <w:spacing w:val="0"/>
                <w:w w:val="100"/>
                <w:kern w:val="2"/>
                <w:position w:val="0"/>
                <w:sz w:val="21"/>
                <w:szCs w:val="21"/>
                <w:shd w:val="clear"/>
                <w:lang w:eastAsia="zh-CN" w:bidi="ar-SA"/>
              </w:rPr>
              <w:t>控制措施</w:t>
            </w:r>
          </w:p>
        </w:tc>
      </w:tr>
      <w:tr w14:paraId="2BA80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661" w:type="pct"/>
            <w:vAlign w:val="center"/>
          </w:tcPr>
          <w:p w14:paraId="42CA0ABD">
            <w:pPr>
              <w:keepNext w:val="0"/>
              <w:keepLines w:val="0"/>
              <w:shd w:val="clear"/>
              <w:bidi w:val="0"/>
              <w:spacing w:before="0" w:after="0" w:line="240" w:lineRule="auto"/>
              <w:ind w:left="0" w:right="0" w:firstLine="0" w:firstLineChars="0"/>
              <w:jc w:val="center"/>
              <w:rPr>
                <w:rFonts w:hint="eastAsia" w:ascii="仿宋_GB2312" w:hAnsi="仿宋_GB2312" w:eastAsia="仿宋_GB2312" w:cs="仿宋_GB2312"/>
                <w:spacing w:val="0"/>
                <w:w w:val="100"/>
                <w:kern w:val="2"/>
                <w:position w:val="0"/>
                <w:sz w:val="21"/>
                <w:szCs w:val="21"/>
                <w:shd w:val="clear"/>
                <w:lang w:eastAsia="zh-CN" w:bidi="ar-SA"/>
              </w:rPr>
            </w:pPr>
            <w:r>
              <w:rPr>
                <w:rFonts w:hint="eastAsia" w:ascii="仿宋_GB2312" w:hAnsi="仿宋_GB2312" w:eastAsia="仿宋_GB2312" w:cs="仿宋_GB2312"/>
                <w:spacing w:val="0"/>
                <w:w w:val="100"/>
                <w:kern w:val="2"/>
                <w:position w:val="0"/>
                <w:sz w:val="21"/>
                <w:szCs w:val="21"/>
                <w:shd w:val="clear"/>
                <w:lang w:eastAsia="zh-CN" w:bidi="ar-SA"/>
              </w:rPr>
              <w:t>焚烧炉正常运行时</w:t>
            </w:r>
          </w:p>
        </w:tc>
        <w:tc>
          <w:tcPr>
            <w:tcW w:w="1357" w:type="pct"/>
            <w:vAlign w:val="center"/>
          </w:tcPr>
          <w:p w14:paraId="2DC1F490">
            <w:pPr>
              <w:keepNext w:val="0"/>
              <w:keepLines w:val="0"/>
              <w:shd w:val="clear"/>
              <w:bidi w:val="0"/>
              <w:spacing w:before="0" w:after="0" w:line="240" w:lineRule="auto"/>
              <w:ind w:left="0" w:right="0" w:firstLine="0" w:firstLineChars="0"/>
              <w:jc w:val="center"/>
              <w:rPr>
                <w:rFonts w:hint="eastAsia" w:ascii="仿宋_GB2312" w:hAnsi="仿宋_GB2312" w:eastAsia="仿宋_GB2312" w:cs="仿宋_GB2312"/>
                <w:spacing w:val="0"/>
                <w:w w:val="100"/>
                <w:kern w:val="2"/>
                <w:position w:val="0"/>
                <w:sz w:val="21"/>
                <w:szCs w:val="21"/>
                <w:shd w:val="clear"/>
                <w:lang w:eastAsia="zh-CN" w:bidi="ar-SA"/>
              </w:rPr>
            </w:pPr>
            <w:r>
              <w:rPr>
                <w:rFonts w:hint="eastAsia" w:ascii="仿宋_GB2312" w:hAnsi="仿宋_GB2312" w:eastAsia="仿宋_GB2312" w:cs="仿宋_GB2312"/>
                <w:spacing w:val="0"/>
                <w:w w:val="100"/>
                <w:kern w:val="2"/>
                <w:position w:val="0"/>
                <w:sz w:val="21"/>
                <w:szCs w:val="21"/>
                <w:shd w:val="clear"/>
                <w:lang w:eastAsia="zh-CN" w:bidi="ar-SA"/>
              </w:rPr>
              <w:t>焚烧炉需45600Nm</w:t>
            </w:r>
            <w:r>
              <w:rPr>
                <w:rFonts w:hint="eastAsia" w:ascii="仿宋_GB2312" w:hAnsi="仿宋_GB2312" w:eastAsia="仿宋_GB2312" w:cs="仿宋_GB2312"/>
                <w:spacing w:val="0"/>
                <w:w w:val="100"/>
                <w:kern w:val="2"/>
                <w:position w:val="0"/>
                <w:sz w:val="21"/>
                <w:szCs w:val="21"/>
                <w:shd w:val="clear"/>
                <w:vertAlign w:val="superscript"/>
                <w:lang w:eastAsia="zh-CN" w:bidi="ar-SA"/>
              </w:rPr>
              <w:t>3</w:t>
            </w:r>
            <w:r>
              <w:rPr>
                <w:rFonts w:hint="eastAsia" w:ascii="仿宋_GB2312" w:hAnsi="仿宋_GB2312" w:eastAsia="仿宋_GB2312" w:cs="仿宋_GB2312"/>
                <w:spacing w:val="0"/>
                <w:w w:val="100"/>
                <w:kern w:val="2"/>
                <w:position w:val="0"/>
                <w:sz w:val="21"/>
                <w:szCs w:val="21"/>
                <w:shd w:val="clear"/>
                <w:lang w:eastAsia="zh-CN" w:bidi="ar-SA"/>
              </w:rPr>
              <w:t>/h</w:t>
            </w:r>
          </w:p>
          <w:p w14:paraId="593F68F0">
            <w:pPr>
              <w:keepNext w:val="0"/>
              <w:keepLines w:val="0"/>
              <w:shd w:val="clear"/>
              <w:bidi w:val="0"/>
              <w:spacing w:before="0" w:after="0" w:line="240" w:lineRule="auto"/>
              <w:ind w:left="0" w:right="0" w:firstLine="0" w:firstLineChars="0"/>
              <w:jc w:val="center"/>
              <w:rPr>
                <w:rFonts w:hint="eastAsia" w:ascii="仿宋_GB2312" w:hAnsi="仿宋_GB2312" w:eastAsia="仿宋_GB2312" w:cs="仿宋_GB2312"/>
                <w:spacing w:val="0"/>
                <w:w w:val="100"/>
                <w:kern w:val="2"/>
                <w:position w:val="0"/>
                <w:sz w:val="21"/>
                <w:szCs w:val="21"/>
                <w:shd w:val="clear"/>
                <w:lang w:eastAsia="zh-CN" w:bidi="ar-SA"/>
              </w:rPr>
            </w:pPr>
            <w:r>
              <w:rPr>
                <w:rFonts w:hint="eastAsia" w:ascii="仿宋_GB2312" w:hAnsi="仿宋_GB2312" w:eastAsia="仿宋_GB2312" w:cs="仿宋_GB2312"/>
                <w:spacing w:val="0"/>
                <w:w w:val="100"/>
                <w:kern w:val="2"/>
                <w:position w:val="0"/>
                <w:sz w:val="21"/>
                <w:szCs w:val="21"/>
                <w:shd w:val="clear"/>
                <w:lang w:eastAsia="zh-CN" w:bidi="ar-SA"/>
              </w:rPr>
              <w:t>（＞25241m</w:t>
            </w:r>
            <w:r>
              <w:rPr>
                <w:rFonts w:hint="eastAsia" w:ascii="仿宋_GB2312" w:hAnsi="仿宋_GB2312" w:eastAsia="仿宋_GB2312" w:cs="仿宋_GB2312"/>
                <w:spacing w:val="0"/>
                <w:w w:val="100"/>
                <w:kern w:val="2"/>
                <w:position w:val="0"/>
                <w:sz w:val="21"/>
                <w:szCs w:val="21"/>
                <w:shd w:val="clear"/>
                <w:vertAlign w:val="superscript"/>
                <w:lang w:eastAsia="zh-CN" w:bidi="ar-SA"/>
              </w:rPr>
              <w:t>3</w:t>
            </w:r>
            <w:r>
              <w:rPr>
                <w:rFonts w:hint="eastAsia" w:ascii="仿宋_GB2312" w:hAnsi="仿宋_GB2312" w:eastAsia="仿宋_GB2312" w:cs="仿宋_GB2312"/>
                <w:spacing w:val="0"/>
                <w:w w:val="100"/>
                <w:kern w:val="2"/>
                <w:position w:val="0"/>
                <w:sz w:val="21"/>
                <w:szCs w:val="21"/>
                <w:shd w:val="clear"/>
                <w:lang w:eastAsia="zh-CN" w:bidi="ar-SA"/>
              </w:rPr>
              <w:t>/h满足臭气风量）</w:t>
            </w:r>
          </w:p>
        </w:tc>
        <w:tc>
          <w:tcPr>
            <w:tcW w:w="2982" w:type="pct"/>
            <w:vAlign w:val="center"/>
          </w:tcPr>
          <w:p w14:paraId="35C45994">
            <w:pPr>
              <w:keepNext w:val="0"/>
              <w:keepLines w:val="0"/>
              <w:shd w:val="clear"/>
              <w:bidi w:val="0"/>
              <w:spacing w:before="0" w:after="0" w:line="240" w:lineRule="auto"/>
              <w:ind w:left="0" w:right="0" w:firstLine="0" w:firstLineChars="0"/>
              <w:jc w:val="left"/>
              <w:rPr>
                <w:rFonts w:hint="eastAsia" w:ascii="仿宋_GB2312" w:hAnsi="仿宋_GB2312" w:eastAsia="仿宋_GB2312" w:cs="仿宋_GB2312"/>
                <w:spacing w:val="0"/>
                <w:w w:val="100"/>
                <w:kern w:val="2"/>
                <w:position w:val="0"/>
                <w:sz w:val="21"/>
                <w:szCs w:val="21"/>
                <w:shd w:val="clear"/>
                <w:lang w:eastAsia="zh-CN" w:bidi="ar-SA"/>
              </w:rPr>
            </w:pPr>
            <w:r>
              <w:rPr>
                <w:rFonts w:hint="eastAsia" w:ascii="仿宋_GB2312" w:hAnsi="仿宋_GB2312" w:eastAsia="仿宋_GB2312" w:cs="仿宋_GB2312"/>
                <w:spacing w:val="0"/>
                <w:w w:val="100"/>
                <w:kern w:val="2"/>
                <w:position w:val="0"/>
                <w:sz w:val="21"/>
                <w:szCs w:val="21"/>
                <w:shd w:val="clear"/>
                <w:lang w:eastAsia="zh-CN" w:bidi="ar-SA"/>
              </w:rPr>
              <w:t>焚烧炉正常运行时，垃圾贮坑、卸料大厅及污水站产臭构筑物产生的臭气全部作一次风，送入焚烧炉高温燃烧处理。</w:t>
            </w:r>
          </w:p>
        </w:tc>
      </w:tr>
      <w:tr w14:paraId="24CE5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7" w:hRule="atLeast"/>
          <w:jc w:val="center"/>
        </w:trPr>
        <w:tc>
          <w:tcPr>
            <w:tcW w:w="661" w:type="pct"/>
            <w:vAlign w:val="center"/>
          </w:tcPr>
          <w:p w14:paraId="5DD9173F">
            <w:pPr>
              <w:keepNext w:val="0"/>
              <w:keepLines w:val="0"/>
              <w:shd w:val="clear"/>
              <w:bidi w:val="0"/>
              <w:spacing w:before="0" w:after="0" w:line="240" w:lineRule="auto"/>
              <w:ind w:left="0" w:right="0" w:firstLine="0" w:firstLineChars="0"/>
              <w:jc w:val="center"/>
              <w:rPr>
                <w:rFonts w:hint="eastAsia" w:ascii="仿宋_GB2312" w:hAnsi="仿宋_GB2312" w:eastAsia="仿宋_GB2312" w:cs="仿宋_GB2312"/>
                <w:spacing w:val="0"/>
                <w:w w:val="100"/>
                <w:kern w:val="2"/>
                <w:position w:val="0"/>
                <w:sz w:val="21"/>
                <w:szCs w:val="21"/>
                <w:shd w:val="clear"/>
                <w:lang w:eastAsia="zh-CN" w:bidi="ar-SA"/>
              </w:rPr>
            </w:pPr>
            <w:r>
              <w:rPr>
                <w:rFonts w:hint="eastAsia" w:ascii="仿宋_GB2312" w:hAnsi="仿宋_GB2312" w:eastAsia="仿宋_GB2312" w:cs="仿宋_GB2312"/>
                <w:spacing w:val="0"/>
                <w:w w:val="100"/>
                <w:kern w:val="2"/>
                <w:position w:val="0"/>
                <w:sz w:val="21"/>
                <w:szCs w:val="21"/>
                <w:shd w:val="clear"/>
                <w:lang w:eastAsia="zh-CN" w:bidi="ar-SA"/>
              </w:rPr>
              <w:t>焚烧炉停炉检修时</w:t>
            </w:r>
          </w:p>
        </w:tc>
        <w:tc>
          <w:tcPr>
            <w:tcW w:w="1357" w:type="pct"/>
            <w:vAlign w:val="center"/>
          </w:tcPr>
          <w:p w14:paraId="193D2E25">
            <w:pPr>
              <w:keepNext w:val="0"/>
              <w:keepLines w:val="0"/>
              <w:shd w:val="clear"/>
              <w:bidi w:val="0"/>
              <w:spacing w:before="0" w:after="0" w:line="240" w:lineRule="auto"/>
              <w:ind w:left="0" w:right="0" w:firstLine="0" w:firstLineChars="0"/>
              <w:jc w:val="center"/>
              <w:rPr>
                <w:rFonts w:hint="eastAsia" w:ascii="仿宋_GB2312" w:hAnsi="仿宋_GB2312" w:eastAsia="仿宋_GB2312" w:cs="仿宋_GB2312"/>
                <w:spacing w:val="0"/>
                <w:w w:val="100"/>
                <w:kern w:val="2"/>
                <w:position w:val="0"/>
                <w:sz w:val="21"/>
                <w:szCs w:val="21"/>
                <w:shd w:val="clear"/>
                <w:lang w:eastAsia="zh-CN" w:bidi="ar-SA"/>
              </w:rPr>
            </w:pPr>
            <w:r>
              <w:rPr>
                <w:rFonts w:hint="eastAsia" w:ascii="仿宋_GB2312" w:hAnsi="仿宋_GB2312" w:eastAsia="仿宋_GB2312" w:cs="仿宋_GB2312"/>
                <w:spacing w:val="0"/>
                <w:w w:val="100"/>
                <w:kern w:val="2"/>
                <w:position w:val="0"/>
                <w:sz w:val="21"/>
                <w:szCs w:val="21"/>
                <w:shd w:val="clear"/>
                <w:lang w:eastAsia="zh-CN" w:bidi="ar-SA"/>
              </w:rPr>
              <w:t>焚烧炉需</w:t>
            </w:r>
          </w:p>
          <w:p w14:paraId="31ED72C5">
            <w:pPr>
              <w:keepNext w:val="0"/>
              <w:keepLines w:val="0"/>
              <w:shd w:val="clear"/>
              <w:bidi w:val="0"/>
              <w:spacing w:before="0" w:after="0" w:line="240" w:lineRule="auto"/>
              <w:ind w:left="0" w:right="0" w:firstLine="0" w:firstLineChars="0"/>
              <w:jc w:val="center"/>
              <w:rPr>
                <w:rFonts w:hint="eastAsia" w:ascii="仿宋_GB2312" w:hAnsi="仿宋_GB2312" w:eastAsia="仿宋_GB2312" w:cs="仿宋_GB2312"/>
                <w:spacing w:val="0"/>
                <w:w w:val="100"/>
                <w:kern w:val="2"/>
                <w:position w:val="0"/>
                <w:sz w:val="21"/>
                <w:szCs w:val="21"/>
                <w:shd w:val="clear"/>
                <w:lang w:eastAsia="zh-CN" w:bidi="ar-SA"/>
              </w:rPr>
            </w:pPr>
            <w:r>
              <w:rPr>
                <w:rFonts w:hint="eastAsia" w:ascii="仿宋_GB2312" w:hAnsi="仿宋_GB2312" w:eastAsia="仿宋_GB2312" w:cs="仿宋_GB2312"/>
                <w:spacing w:val="0"/>
                <w:w w:val="100"/>
                <w:kern w:val="2"/>
                <w:position w:val="0"/>
                <w:sz w:val="21"/>
                <w:szCs w:val="21"/>
                <w:shd w:val="clear"/>
                <w:lang w:eastAsia="zh-CN" w:bidi="ar-SA"/>
              </w:rPr>
              <w:t>0Nm</w:t>
            </w:r>
            <w:r>
              <w:rPr>
                <w:rFonts w:hint="eastAsia" w:ascii="仿宋_GB2312" w:hAnsi="仿宋_GB2312" w:eastAsia="仿宋_GB2312" w:cs="仿宋_GB2312"/>
                <w:spacing w:val="0"/>
                <w:w w:val="100"/>
                <w:kern w:val="2"/>
                <w:position w:val="0"/>
                <w:sz w:val="21"/>
                <w:szCs w:val="21"/>
                <w:shd w:val="clear"/>
                <w:vertAlign w:val="superscript"/>
                <w:lang w:eastAsia="zh-CN" w:bidi="ar-SA"/>
              </w:rPr>
              <w:t>3</w:t>
            </w:r>
            <w:r>
              <w:rPr>
                <w:rFonts w:hint="eastAsia" w:ascii="仿宋_GB2312" w:hAnsi="仿宋_GB2312" w:eastAsia="仿宋_GB2312" w:cs="仿宋_GB2312"/>
                <w:spacing w:val="0"/>
                <w:w w:val="100"/>
                <w:kern w:val="2"/>
                <w:position w:val="0"/>
                <w:sz w:val="21"/>
                <w:szCs w:val="21"/>
                <w:shd w:val="clear"/>
                <w:lang w:eastAsia="zh-CN" w:bidi="ar-SA"/>
              </w:rPr>
              <w:t>/h</w:t>
            </w:r>
          </w:p>
        </w:tc>
        <w:tc>
          <w:tcPr>
            <w:tcW w:w="2982" w:type="pct"/>
            <w:vAlign w:val="center"/>
          </w:tcPr>
          <w:p w14:paraId="1079B625">
            <w:pPr>
              <w:keepNext w:val="0"/>
              <w:keepLines w:val="0"/>
              <w:shd w:val="clear"/>
              <w:bidi w:val="0"/>
              <w:spacing w:before="0" w:after="0" w:line="240" w:lineRule="auto"/>
              <w:ind w:left="0" w:right="0" w:firstLine="0" w:firstLineChars="0"/>
              <w:jc w:val="left"/>
              <w:rPr>
                <w:rFonts w:hint="eastAsia" w:ascii="仿宋_GB2312" w:hAnsi="仿宋_GB2312" w:eastAsia="仿宋_GB2312" w:cs="仿宋_GB2312"/>
                <w:spacing w:val="0"/>
                <w:w w:val="100"/>
                <w:kern w:val="2"/>
                <w:position w:val="0"/>
                <w:sz w:val="21"/>
                <w:szCs w:val="21"/>
                <w:shd w:val="clear"/>
                <w:lang w:eastAsia="zh-CN" w:bidi="ar-SA"/>
              </w:rPr>
            </w:pPr>
            <w:r>
              <w:rPr>
                <w:rFonts w:hint="eastAsia" w:ascii="仿宋_GB2312" w:hAnsi="仿宋_GB2312" w:eastAsia="仿宋_GB2312" w:cs="仿宋_GB2312"/>
                <w:spacing w:val="0"/>
                <w:w w:val="100"/>
                <w:kern w:val="2"/>
                <w:position w:val="0"/>
                <w:sz w:val="21"/>
                <w:szCs w:val="21"/>
                <w:shd w:val="clear"/>
                <w:lang w:eastAsia="zh-CN" w:bidi="ar-SA"/>
              </w:rPr>
              <w:t>1）停止接收垃圾入厂，关闭所有垃圾卸料门和卸料厅进出口大门，保持构筑物良好的密闭性；</w:t>
            </w:r>
          </w:p>
          <w:p w14:paraId="752DE6B6">
            <w:pPr>
              <w:keepNext w:val="0"/>
              <w:keepLines w:val="0"/>
              <w:shd w:val="clear"/>
              <w:bidi w:val="0"/>
              <w:spacing w:before="0" w:after="0" w:line="240" w:lineRule="auto"/>
              <w:ind w:left="0" w:right="0" w:firstLine="0" w:firstLineChars="0"/>
              <w:jc w:val="left"/>
              <w:rPr>
                <w:rFonts w:hint="eastAsia" w:ascii="仿宋_GB2312" w:hAnsi="仿宋_GB2312" w:eastAsia="仿宋_GB2312" w:cs="仿宋_GB2312"/>
                <w:spacing w:val="0"/>
                <w:w w:val="100"/>
                <w:kern w:val="2"/>
                <w:position w:val="0"/>
                <w:sz w:val="21"/>
                <w:szCs w:val="21"/>
                <w:shd w:val="clear"/>
                <w:lang w:eastAsia="zh-CN" w:bidi="ar-SA"/>
              </w:rPr>
            </w:pPr>
            <w:r>
              <w:rPr>
                <w:rFonts w:hint="eastAsia" w:ascii="仿宋_GB2312" w:hAnsi="仿宋_GB2312" w:eastAsia="仿宋_GB2312" w:cs="仿宋_GB2312"/>
                <w:spacing w:val="0"/>
                <w:w w:val="100"/>
                <w:kern w:val="2"/>
                <w:position w:val="0"/>
                <w:sz w:val="21"/>
                <w:szCs w:val="21"/>
                <w:shd w:val="clear"/>
                <w:lang w:eastAsia="zh-CN" w:bidi="ar-SA"/>
              </w:rPr>
              <w:t>2）启动除臭风机，将垃圾贮坑、卸料大厅及污水站产臭构筑物产生的臭气抽至活性炭除臭装置（处理能力35000m</w:t>
            </w:r>
            <w:r>
              <w:rPr>
                <w:rFonts w:hint="eastAsia" w:ascii="仿宋_GB2312" w:hAnsi="仿宋_GB2312" w:eastAsia="仿宋_GB2312" w:cs="仿宋_GB2312"/>
                <w:spacing w:val="0"/>
                <w:w w:val="100"/>
                <w:kern w:val="2"/>
                <w:position w:val="0"/>
                <w:sz w:val="21"/>
                <w:szCs w:val="21"/>
                <w:shd w:val="clear"/>
                <w:vertAlign w:val="superscript"/>
                <w:lang w:eastAsia="zh-CN" w:bidi="ar-SA"/>
              </w:rPr>
              <w:t>3</w:t>
            </w:r>
            <w:r>
              <w:rPr>
                <w:rFonts w:hint="eastAsia" w:ascii="仿宋_GB2312" w:hAnsi="仿宋_GB2312" w:eastAsia="仿宋_GB2312" w:cs="仿宋_GB2312"/>
                <w:spacing w:val="0"/>
                <w:w w:val="100"/>
                <w:kern w:val="2"/>
                <w:position w:val="0"/>
                <w:sz w:val="21"/>
                <w:szCs w:val="21"/>
                <w:shd w:val="clear"/>
                <w:lang w:eastAsia="zh-CN" w:bidi="ar-SA"/>
              </w:rPr>
              <w:t>/h）处理达标后外排。</w:t>
            </w:r>
          </w:p>
        </w:tc>
      </w:tr>
    </w:tbl>
    <w:p w14:paraId="5F0BD5B6">
      <w:pPr>
        <w:pStyle w:val="2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rPr>
      </w:pPr>
    </w:p>
    <w:p w14:paraId="11F01C3F">
      <w:pPr>
        <w:pStyle w:val="2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rPr>
      </w:pPr>
      <w:r>
        <w:rPr>
          <w:rFonts w:ascii="Times New Roman" w:hAnsi="Times New Roman" w:eastAsia="仿宋" w:cs="Times New Roman"/>
          <w:spacing w:val="0"/>
          <w:w w:val="100"/>
          <w:kern w:val="2"/>
          <w:position w:val="0"/>
          <w:szCs w:val="22"/>
          <w:shd w:val="clear"/>
          <w:lang w:eastAsia="zh-CN" w:bidi="ar-SA"/>
        </w:rPr>
        <mc:AlternateContent>
          <mc:Choice Requires="wpg">
            <w:drawing>
              <wp:inline distT="0" distB="0" distL="0" distR="0">
                <wp:extent cx="5229860" cy="1415415"/>
                <wp:effectExtent l="4445" t="4445" r="4445" b="8890"/>
                <wp:docPr id="6" name="组合 6"/>
                <wp:cNvGraphicFramePr/>
                <a:graphic xmlns:a="http://schemas.openxmlformats.org/drawingml/2006/main">
                  <a:graphicData uri="http://schemas.microsoft.com/office/word/2010/wordprocessingGroup">
                    <wpg:wgp>
                      <wpg:cNvGrpSpPr/>
                      <wpg:grpSpPr>
                        <a:xfrm>
                          <a:off x="0" y="0"/>
                          <a:ext cx="5230270" cy="1415415"/>
                          <a:chOff x="1895" y="3427"/>
                          <a:chExt cx="7885" cy="2229"/>
                        </a:xfrm>
                      </wpg:grpSpPr>
                      <wps:wsp>
                        <wps:cNvPr id="9" name="矩形 8952"/>
                        <wps:cNvSpPr>
                          <a:spLocks noChangeArrowheads="1"/>
                        </wps:cNvSpPr>
                        <wps:spPr bwMode="auto">
                          <a:xfrm>
                            <a:off x="3151" y="3496"/>
                            <a:ext cx="1606" cy="346"/>
                          </a:xfrm>
                          <a:prstGeom prst="rect">
                            <a:avLst/>
                          </a:prstGeom>
                          <a:solidFill>
                            <a:srgbClr val="FFFFFF"/>
                          </a:solidFill>
                          <a:ln w="9525">
                            <a:solidFill>
                              <a:srgbClr val="FFFFFF"/>
                            </a:solidFill>
                            <a:miter lim="800000"/>
                          </a:ln>
                        </wps:spPr>
                        <wps:txbx>
                          <w:txbxContent>
                            <w:p w14:paraId="0A5DCBF0">
                              <w:pPr>
                                <w:keepNext w:val="0"/>
                                <w:keepLines w:val="0"/>
                                <w:shd w:val="clear"/>
                                <w:bidi w:val="0"/>
                                <w:spacing w:before="0" w:after="0" w:line="240" w:lineRule="auto"/>
                                <w:ind w:left="0" w:right="0" w:firstLine="420" w:firstLineChars="200"/>
                                <w:jc w:val="left"/>
                                <w:rPr>
                                  <w:rFonts w:ascii="Times New Roman" w:hAnsi="Times New Roman" w:eastAsia="仿宋" w:cs="Times New Roman"/>
                                  <w:spacing w:val="0"/>
                                  <w:w w:val="100"/>
                                  <w:kern w:val="2"/>
                                  <w:position w:val="0"/>
                                  <w:sz w:val="21"/>
                                  <w:szCs w:val="21"/>
                                  <w:shd w:val="clear"/>
                                  <w:lang w:eastAsia="zh-CN" w:bidi="ar-SA"/>
                                </w:rPr>
                              </w:pPr>
                              <w:r>
                                <w:rPr>
                                  <w:rFonts w:hint="eastAsia" w:ascii="Times New Roman" w:hAnsi="宋体" w:eastAsia="仿宋" w:cs="Times New Roman"/>
                                  <w:spacing w:val="0"/>
                                  <w:w w:val="100"/>
                                  <w:kern w:val="2"/>
                                  <w:position w:val="0"/>
                                  <w:sz w:val="21"/>
                                  <w:szCs w:val="21"/>
                                  <w:shd w:val="clear"/>
                                  <w:lang w:eastAsia="zh-CN" w:bidi="ar-SA"/>
                                </w:rPr>
                                <w:t>臭气</w:t>
                              </w:r>
                            </w:p>
                          </w:txbxContent>
                        </wps:txbx>
                        <wps:bodyPr rot="0" vert="horz" wrap="square" lIns="0" tIns="0" rIns="0" bIns="0" anchor="t" anchorCtr="0" upright="1">
                          <a:noAutofit/>
                        </wps:bodyPr>
                      </wps:wsp>
                      <wps:wsp>
                        <wps:cNvPr id="7" name="直接连接符 96"/>
                        <wps:cNvCnPr>
                          <a:cxnSpLocks noChangeShapeType="1"/>
                        </wps:cNvCnPr>
                        <wps:spPr bwMode="auto">
                          <a:xfrm>
                            <a:off x="5437" y="4479"/>
                            <a:ext cx="1134" cy="0"/>
                          </a:xfrm>
                          <a:prstGeom prst="line">
                            <a:avLst/>
                          </a:prstGeom>
                          <a:noFill/>
                          <a:ln w="9525">
                            <a:solidFill>
                              <a:srgbClr val="000000"/>
                            </a:solidFill>
                            <a:round/>
                            <a:tailEnd type="triangle" w="med" len="med"/>
                          </a:ln>
                        </wps:spPr>
                        <wps:bodyPr/>
                      </wps:wsp>
                      <wps:wsp>
                        <wps:cNvPr id="11" name="直接连接符 8967"/>
                        <wps:cNvCnPr>
                          <a:cxnSpLocks noChangeShapeType="1"/>
                        </wps:cNvCnPr>
                        <wps:spPr bwMode="auto">
                          <a:xfrm>
                            <a:off x="7571" y="4304"/>
                            <a:ext cx="446" cy="0"/>
                          </a:xfrm>
                          <a:prstGeom prst="line">
                            <a:avLst/>
                          </a:prstGeom>
                          <a:noFill/>
                          <a:ln w="9525">
                            <a:solidFill>
                              <a:srgbClr val="000000"/>
                            </a:solidFill>
                            <a:round/>
                            <a:tailEnd type="triangle" w="med" len="med"/>
                          </a:ln>
                        </wps:spPr>
                        <wps:bodyPr/>
                      </wps:wsp>
                      <wps:wsp>
                        <wps:cNvPr id="8" name="矩形 8962"/>
                        <wps:cNvSpPr>
                          <a:spLocks noChangeArrowheads="1"/>
                        </wps:cNvSpPr>
                        <wps:spPr bwMode="auto">
                          <a:xfrm>
                            <a:off x="5386" y="3903"/>
                            <a:ext cx="1185" cy="472"/>
                          </a:xfrm>
                          <a:prstGeom prst="rect">
                            <a:avLst/>
                          </a:prstGeom>
                          <a:solidFill>
                            <a:srgbClr val="FFFFFF"/>
                          </a:solidFill>
                          <a:ln w="9525">
                            <a:solidFill>
                              <a:srgbClr val="FFFFFF"/>
                            </a:solidFill>
                            <a:miter lim="800000"/>
                          </a:ln>
                        </wps:spPr>
                        <wps:txbx>
                          <w:txbxContent>
                            <w:p w14:paraId="569D8AE3">
                              <w:pPr>
                                <w:keepNext w:val="0"/>
                                <w:keepLines w:val="0"/>
                                <w:shd w:val="clear"/>
                                <w:bidi w:val="0"/>
                                <w:spacing w:before="0" w:after="0" w:line="460" w:lineRule="exact"/>
                                <w:ind w:left="0" w:right="0" w:firstLine="270" w:firstLineChars="150"/>
                                <w:jc w:val="left"/>
                                <w:rPr>
                                  <w:rFonts w:ascii="Times New Roman" w:hAnsi="Times New Roman" w:eastAsia="仿宋" w:cs="Times New Roman"/>
                                  <w:spacing w:val="0"/>
                                  <w:w w:val="100"/>
                                  <w:kern w:val="2"/>
                                  <w:position w:val="0"/>
                                  <w:sz w:val="18"/>
                                  <w:szCs w:val="18"/>
                                  <w:shd w:val="clear"/>
                                  <w:lang w:eastAsia="zh-CN" w:bidi="ar-SA"/>
                                </w:rPr>
                              </w:pPr>
                              <w:r>
                                <w:rPr>
                                  <w:rFonts w:hint="eastAsia" w:ascii="Times New Roman" w:hAnsi="宋体" w:eastAsia="仿宋" w:cs="Times New Roman"/>
                                  <w:spacing w:val="0"/>
                                  <w:w w:val="100"/>
                                  <w:kern w:val="2"/>
                                  <w:position w:val="0"/>
                                  <w:sz w:val="18"/>
                                  <w:szCs w:val="18"/>
                                  <w:shd w:val="clear"/>
                                  <w:lang w:eastAsia="zh-CN" w:bidi="ar-SA"/>
                                </w:rPr>
                                <w:t>臭气量</w:t>
                              </w:r>
                            </w:p>
                          </w:txbxContent>
                        </wps:txbx>
                        <wps:bodyPr rot="0" vert="horz" wrap="square" lIns="0" tIns="0" rIns="0" bIns="0" anchor="t" anchorCtr="0" upright="1">
                          <a:noAutofit/>
                        </wps:bodyPr>
                      </wps:wsp>
                      <wps:wsp>
                        <wps:cNvPr id="13" name="矩形 8964"/>
                        <wps:cNvSpPr>
                          <a:spLocks noChangeArrowheads="1"/>
                        </wps:cNvSpPr>
                        <wps:spPr bwMode="auto">
                          <a:xfrm>
                            <a:off x="3436" y="4808"/>
                            <a:ext cx="1433" cy="346"/>
                          </a:xfrm>
                          <a:prstGeom prst="rect">
                            <a:avLst/>
                          </a:prstGeom>
                          <a:solidFill>
                            <a:srgbClr val="FFFFFF"/>
                          </a:solidFill>
                          <a:ln w="9525">
                            <a:solidFill>
                              <a:srgbClr val="FFFFFF"/>
                            </a:solidFill>
                            <a:miter lim="800000"/>
                          </a:ln>
                        </wps:spPr>
                        <wps:txbx>
                          <w:txbxContent>
                            <w:p w14:paraId="368267B3">
                              <w:pPr>
                                <w:keepNext w:val="0"/>
                                <w:keepLines w:val="0"/>
                                <w:shd w:val="clear"/>
                                <w:bidi w:val="0"/>
                                <w:spacing w:before="0" w:after="0" w:line="240" w:lineRule="auto"/>
                                <w:ind w:left="0" w:right="0" w:firstLine="420" w:firstLineChars="200"/>
                                <w:jc w:val="left"/>
                                <w:rPr>
                                  <w:rFonts w:ascii="Times New Roman" w:hAnsi="Times New Roman" w:eastAsia="仿宋" w:cs="Times New Roman"/>
                                  <w:spacing w:val="0"/>
                                  <w:w w:val="100"/>
                                  <w:kern w:val="2"/>
                                  <w:position w:val="0"/>
                                  <w:sz w:val="21"/>
                                  <w:szCs w:val="21"/>
                                  <w:shd w:val="clear"/>
                                  <w:lang w:eastAsia="zh-CN" w:bidi="ar-SA"/>
                                </w:rPr>
                              </w:pPr>
                              <w:r>
                                <w:rPr>
                                  <w:rFonts w:hint="eastAsia" w:ascii="Times New Roman" w:hAnsi="宋体" w:eastAsia="仿宋" w:cs="Times New Roman"/>
                                  <w:spacing w:val="0"/>
                                  <w:w w:val="100"/>
                                  <w:kern w:val="2"/>
                                  <w:position w:val="0"/>
                                  <w:sz w:val="21"/>
                                  <w:szCs w:val="21"/>
                                  <w:shd w:val="clear"/>
                                  <w:lang w:eastAsia="zh-CN" w:bidi="ar-SA"/>
                                </w:rPr>
                                <w:t>臭气</w:t>
                              </w:r>
                            </w:p>
                          </w:txbxContent>
                        </wps:txbx>
                        <wps:bodyPr rot="0" vert="horz" wrap="square" lIns="0" tIns="0" rIns="0" bIns="0" anchor="t" anchorCtr="0" upright="1">
                          <a:noAutofit/>
                        </wps:bodyPr>
                      </wps:wsp>
                      <wps:wsp>
                        <wps:cNvPr id="15" name="矩形 8959"/>
                        <wps:cNvSpPr>
                          <a:spLocks noChangeArrowheads="1"/>
                        </wps:cNvSpPr>
                        <wps:spPr bwMode="auto">
                          <a:xfrm>
                            <a:off x="3163" y="4130"/>
                            <a:ext cx="1590" cy="346"/>
                          </a:xfrm>
                          <a:prstGeom prst="rect">
                            <a:avLst/>
                          </a:prstGeom>
                          <a:solidFill>
                            <a:srgbClr val="FFFFFF"/>
                          </a:solidFill>
                          <a:ln w="9525">
                            <a:solidFill>
                              <a:srgbClr val="FFFFFF"/>
                            </a:solidFill>
                            <a:miter lim="800000"/>
                          </a:ln>
                        </wps:spPr>
                        <wps:txbx>
                          <w:txbxContent>
                            <w:p w14:paraId="556051B9">
                              <w:pPr>
                                <w:keepNext w:val="0"/>
                                <w:keepLines w:val="0"/>
                                <w:shd w:val="clear"/>
                                <w:bidi w:val="0"/>
                                <w:spacing w:before="0" w:after="0" w:line="240" w:lineRule="auto"/>
                                <w:ind w:left="0" w:right="0" w:firstLine="420" w:firstLineChars="200"/>
                                <w:jc w:val="left"/>
                                <w:rPr>
                                  <w:rFonts w:ascii="Times New Roman" w:hAnsi="Times New Roman" w:eastAsia="仿宋" w:cs="Times New Roman"/>
                                  <w:spacing w:val="0"/>
                                  <w:w w:val="100"/>
                                  <w:kern w:val="2"/>
                                  <w:position w:val="0"/>
                                  <w:sz w:val="21"/>
                                  <w:szCs w:val="21"/>
                                  <w:shd w:val="clear"/>
                                  <w:lang w:eastAsia="zh-CN" w:bidi="ar-SA"/>
                                </w:rPr>
                              </w:pPr>
                              <w:r>
                                <w:rPr>
                                  <w:rFonts w:hint="eastAsia" w:ascii="Times New Roman" w:hAnsi="宋体" w:eastAsia="仿宋" w:cs="Times New Roman"/>
                                  <w:spacing w:val="0"/>
                                  <w:w w:val="100"/>
                                  <w:kern w:val="2"/>
                                  <w:position w:val="0"/>
                                  <w:sz w:val="21"/>
                                  <w:szCs w:val="21"/>
                                  <w:shd w:val="clear"/>
                                  <w:lang w:eastAsia="zh-CN" w:bidi="ar-SA"/>
                                </w:rPr>
                                <w:t>臭气</w:t>
                              </w:r>
                            </w:p>
                          </w:txbxContent>
                        </wps:txbx>
                        <wps:bodyPr rot="0" vert="horz" wrap="square" lIns="0" tIns="0" rIns="0" bIns="0" anchor="t" anchorCtr="0" upright="1">
                          <a:noAutofit/>
                        </wps:bodyPr>
                      </wps:wsp>
                      <wps:wsp>
                        <wps:cNvPr id="17" name="矩形 8955"/>
                        <wps:cNvSpPr>
                          <a:spLocks noChangeArrowheads="1"/>
                        </wps:cNvSpPr>
                        <wps:spPr bwMode="auto">
                          <a:xfrm>
                            <a:off x="1895" y="3626"/>
                            <a:ext cx="1000" cy="367"/>
                          </a:xfrm>
                          <a:prstGeom prst="rect">
                            <a:avLst/>
                          </a:prstGeom>
                          <a:solidFill>
                            <a:srgbClr val="FFFFFF"/>
                          </a:solidFill>
                          <a:ln w="9525">
                            <a:solidFill>
                              <a:srgbClr val="000000"/>
                            </a:solidFill>
                            <a:miter lim="800000"/>
                          </a:ln>
                        </wps:spPr>
                        <wps:txbx>
                          <w:txbxContent>
                            <w:p w14:paraId="452024A5">
                              <w:pPr>
                                <w:keepNext w:val="0"/>
                                <w:keepLines w:val="0"/>
                                <w:shd w:val="clear"/>
                                <w:bidi w:val="0"/>
                                <w:spacing w:before="0" w:after="0" w:line="240" w:lineRule="auto"/>
                                <w:ind w:left="0" w:right="0" w:firstLine="0" w:firstLineChars="0"/>
                                <w:jc w:val="left"/>
                                <w:rPr>
                                  <w:rFonts w:ascii="Times New Roman" w:hAnsi="Times New Roman" w:eastAsia="仿宋" w:cs="Times New Roman"/>
                                  <w:spacing w:val="0"/>
                                  <w:w w:val="100"/>
                                  <w:kern w:val="2"/>
                                  <w:position w:val="0"/>
                                  <w:szCs w:val="21"/>
                                  <w:shd w:val="clear"/>
                                  <w:lang w:eastAsia="zh-CN" w:bidi="ar-SA"/>
                                </w:rPr>
                              </w:pPr>
                              <w:r>
                                <w:rPr>
                                  <w:rFonts w:hint="eastAsia" w:ascii="Times New Roman" w:hAnsi="宋体" w:eastAsia="仿宋" w:cs="Times New Roman"/>
                                  <w:spacing w:val="0"/>
                                  <w:w w:val="100"/>
                                  <w:kern w:val="2"/>
                                  <w:position w:val="0"/>
                                  <w:szCs w:val="21"/>
                                  <w:shd w:val="clear"/>
                                  <w:lang w:eastAsia="zh-CN" w:bidi="ar-SA"/>
                                </w:rPr>
                                <w:t>垃圾贮坑</w:t>
                              </w:r>
                            </w:p>
                          </w:txbxContent>
                        </wps:txbx>
                        <wps:bodyPr rot="0" vert="horz" wrap="square" lIns="0" tIns="0" rIns="0" bIns="0" anchor="t" anchorCtr="0" upright="1">
                          <a:noAutofit/>
                        </wps:bodyPr>
                      </wps:wsp>
                      <wps:wsp>
                        <wps:cNvPr id="19" name="直接连接符 8954"/>
                        <wps:cNvCnPr>
                          <a:cxnSpLocks noChangeShapeType="1"/>
                        </wps:cNvCnPr>
                        <wps:spPr bwMode="auto">
                          <a:xfrm>
                            <a:off x="2899" y="3826"/>
                            <a:ext cx="1979" cy="0"/>
                          </a:xfrm>
                          <a:prstGeom prst="line">
                            <a:avLst/>
                          </a:prstGeom>
                          <a:noFill/>
                          <a:ln w="9525">
                            <a:solidFill>
                              <a:srgbClr val="000000"/>
                            </a:solidFill>
                            <a:round/>
                            <a:tailEnd type="triangle" w="med" len="med"/>
                          </a:ln>
                        </wps:spPr>
                        <wps:bodyPr/>
                      </wps:wsp>
                      <wps:wsp>
                        <wps:cNvPr id="20" name="矩形 8961"/>
                        <wps:cNvSpPr>
                          <a:spLocks noChangeArrowheads="1"/>
                        </wps:cNvSpPr>
                        <wps:spPr bwMode="auto">
                          <a:xfrm>
                            <a:off x="6571" y="3550"/>
                            <a:ext cx="1000" cy="1604"/>
                          </a:xfrm>
                          <a:prstGeom prst="rect">
                            <a:avLst/>
                          </a:prstGeom>
                          <a:solidFill>
                            <a:srgbClr val="FFFFFF"/>
                          </a:solidFill>
                          <a:ln w="9525">
                            <a:solidFill>
                              <a:srgbClr val="000000"/>
                            </a:solidFill>
                            <a:miter lim="800000"/>
                          </a:ln>
                        </wps:spPr>
                        <wps:txbx>
                          <w:txbxContent>
                            <w:p w14:paraId="1E5678B9">
                              <w:pPr>
                                <w:keepNext w:val="0"/>
                                <w:keepLines w:val="0"/>
                                <w:shd w:val="clear"/>
                                <w:bidi w:val="0"/>
                                <w:spacing w:before="0" w:after="0" w:line="240" w:lineRule="exact"/>
                                <w:ind w:left="0" w:right="0" w:firstLine="90" w:firstLineChars="50"/>
                                <w:jc w:val="left"/>
                                <w:rPr>
                                  <w:rFonts w:ascii="Times New Roman" w:hAnsi="Times New Roman" w:eastAsia="仿宋" w:cs="Times New Roman"/>
                                  <w:spacing w:val="0"/>
                                  <w:w w:val="100"/>
                                  <w:kern w:val="2"/>
                                  <w:position w:val="0"/>
                                  <w:sz w:val="18"/>
                                  <w:szCs w:val="18"/>
                                  <w:shd w:val="clear"/>
                                  <w:lang w:eastAsia="zh-CN" w:bidi="ar-SA"/>
                                </w:rPr>
                              </w:pPr>
                            </w:p>
                            <w:p w14:paraId="408E8E97">
                              <w:pPr>
                                <w:keepNext w:val="0"/>
                                <w:keepLines w:val="0"/>
                                <w:shd w:val="clear"/>
                                <w:bidi w:val="0"/>
                                <w:spacing w:before="0" w:after="0" w:line="240" w:lineRule="exact"/>
                                <w:ind w:left="0" w:right="0" w:firstLine="90" w:firstLineChars="50"/>
                                <w:jc w:val="left"/>
                                <w:rPr>
                                  <w:rFonts w:ascii="Times New Roman" w:hAnsi="Times New Roman" w:eastAsia="仿宋" w:cs="Times New Roman"/>
                                  <w:spacing w:val="0"/>
                                  <w:w w:val="100"/>
                                  <w:kern w:val="2"/>
                                  <w:position w:val="0"/>
                                  <w:sz w:val="18"/>
                                  <w:szCs w:val="18"/>
                                  <w:shd w:val="clear"/>
                                  <w:lang w:eastAsia="zh-CN" w:bidi="ar-SA"/>
                                </w:rPr>
                              </w:pPr>
                            </w:p>
                            <w:p w14:paraId="519CDFA7">
                              <w:pPr>
                                <w:keepNext w:val="0"/>
                                <w:keepLines w:val="0"/>
                                <w:shd w:val="clear"/>
                                <w:bidi w:val="0"/>
                                <w:spacing w:before="0" w:after="0" w:line="240" w:lineRule="exact"/>
                                <w:ind w:left="0" w:right="0" w:firstLine="105" w:firstLineChars="50"/>
                                <w:jc w:val="left"/>
                                <w:rPr>
                                  <w:rFonts w:ascii="Times New Roman" w:hAnsi="Times New Roman" w:eastAsia="仿宋" w:cs="Times New Roman"/>
                                  <w:spacing w:val="0"/>
                                  <w:w w:val="100"/>
                                  <w:kern w:val="2"/>
                                  <w:position w:val="0"/>
                                  <w:sz w:val="21"/>
                                  <w:szCs w:val="21"/>
                                  <w:shd w:val="clear"/>
                                  <w:lang w:eastAsia="zh-CN" w:bidi="ar-SA"/>
                                </w:rPr>
                              </w:pPr>
                              <w:r>
                                <w:rPr>
                                  <w:rFonts w:hint="eastAsia" w:ascii="Times New Roman" w:hAnsi="Times New Roman" w:eastAsia="仿宋" w:cs="Times New Roman"/>
                                  <w:spacing w:val="0"/>
                                  <w:w w:val="100"/>
                                  <w:kern w:val="2"/>
                                  <w:position w:val="0"/>
                                  <w:sz w:val="21"/>
                                  <w:szCs w:val="21"/>
                                  <w:shd w:val="clear"/>
                                  <w:lang w:eastAsia="zh-CN" w:bidi="ar-SA"/>
                                </w:rPr>
                                <w:t>一次风机</w:t>
                              </w:r>
                            </w:p>
                          </w:txbxContent>
                        </wps:txbx>
                        <wps:bodyPr rot="0" vert="horz" wrap="square" lIns="0" tIns="0" rIns="0" bIns="0" anchor="t" anchorCtr="0" upright="1">
                          <a:noAutofit/>
                        </wps:bodyPr>
                      </wps:wsp>
                      <wps:wsp>
                        <wps:cNvPr id="21" name="直接连接符 8966"/>
                        <wps:cNvCnPr>
                          <a:cxnSpLocks noChangeShapeType="1"/>
                        </wps:cNvCnPr>
                        <wps:spPr bwMode="auto">
                          <a:xfrm>
                            <a:off x="3258" y="5154"/>
                            <a:ext cx="1499" cy="0"/>
                          </a:xfrm>
                          <a:prstGeom prst="line">
                            <a:avLst/>
                          </a:prstGeom>
                          <a:noFill/>
                          <a:ln w="9525">
                            <a:solidFill>
                              <a:srgbClr val="000000"/>
                            </a:solidFill>
                            <a:round/>
                            <a:tailEnd type="triangle" w="med" len="med"/>
                          </a:ln>
                        </wps:spPr>
                        <wps:bodyPr/>
                      </wps:wsp>
                      <wps:wsp>
                        <wps:cNvPr id="22" name="矩形 8958"/>
                        <wps:cNvSpPr>
                          <a:spLocks noChangeArrowheads="1"/>
                        </wps:cNvSpPr>
                        <wps:spPr bwMode="auto">
                          <a:xfrm>
                            <a:off x="1939" y="4307"/>
                            <a:ext cx="956" cy="367"/>
                          </a:xfrm>
                          <a:prstGeom prst="rect">
                            <a:avLst/>
                          </a:prstGeom>
                          <a:solidFill>
                            <a:srgbClr val="FFFFFF"/>
                          </a:solidFill>
                          <a:ln w="9525">
                            <a:solidFill>
                              <a:srgbClr val="000000"/>
                            </a:solidFill>
                            <a:miter lim="800000"/>
                          </a:ln>
                        </wps:spPr>
                        <wps:txbx>
                          <w:txbxContent>
                            <w:p w14:paraId="69EF5585">
                              <w:pPr>
                                <w:keepNext w:val="0"/>
                                <w:keepLines w:val="0"/>
                                <w:shd w:val="clear"/>
                                <w:bidi w:val="0"/>
                                <w:spacing w:before="0" w:after="0" w:line="240" w:lineRule="auto"/>
                                <w:ind w:left="0" w:right="0" w:firstLine="0" w:firstLineChars="0"/>
                                <w:jc w:val="left"/>
                                <w:rPr>
                                  <w:rFonts w:ascii="Times New Roman" w:hAnsi="Times New Roman" w:eastAsia="仿宋" w:cs="Times New Roman"/>
                                  <w:spacing w:val="0"/>
                                  <w:w w:val="100"/>
                                  <w:kern w:val="2"/>
                                  <w:position w:val="0"/>
                                  <w:szCs w:val="21"/>
                                  <w:shd w:val="clear"/>
                                  <w:lang w:eastAsia="zh-CN" w:bidi="ar-SA"/>
                                </w:rPr>
                              </w:pPr>
                              <w:r>
                                <w:rPr>
                                  <w:rFonts w:hint="eastAsia" w:ascii="Times New Roman" w:hAnsi="宋体" w:eastAsia="仿宋" w:cs="Times New Roman"/>
                                  <w:spacing w:val="0"/>
                                  <w:w w:val="100"/>
                                  <w:kern w:val="2"/>
                                  <w:position w:val="0"/>
                                  <w:szCs w:val="21"/>
                                  <w:shd w:val="clear"/>
                                  <w:lang w:eastAsia="zh-CN" w:bidi="ar-SA"/>
                                </w:rPr>
                                <w:t>卸料大厅</w:t>
                              </w:r>
                            </w:p>
                          </w:txbxContent>
                        </wps:txbx>
                        <wps:bodyPr rot="0" vert="horz" wrap="square" lIns="0" tIns="0" rIns="0" bIns="0" anchor="t" anchorCtr="0" upright="1">
                          <a:noAutofit/>
                        </wps:bodyPr>
                      </wps:wsp>
                      <wps:wsp>
                        <wps:cNvPr id="23" name="矩形 8965"/>
                        <wps:cNvSpPr>
                          <a:spLocks noChangeArrowheads="1"/>
                        </wps:cNvSpPr>
                        <wps:spPr bwMode="auto">
                          <a:xfrm>
                            <a:off x="1928" y="4912"/>
                            <a:ext cx="1330" cy="367"/>
                          </a:xfrm>
                          <a:prstGeom prst="rect">
                            <a:avLst/>
                          </a:prstGeom>
                          <a:solidFill>
                            <a:srgbClr val="FFFFFF"/>
                          </a:solidFill>
                          <a:ln w="9525">
                            <a:solidFill>
                              <a:srgbClr val="000000"/>
                            </a:solidFill>
                            <a:miter lim="800000"/>
                          </a:ln>
                        </wps:spPr>
                        <wps:txbx>
                          <w:txbxContent>
                            <w:p w14:paraId="0E36DE4A">
                              <w:pPr>
                                <w:keepNext w:val="0"/>
                                <w:keepLines w:val="0"/>
                                <w:shd w:val="clear"/>
                                <w:bidi w:val="0"/>
                                <w:spacing w:before="0" w:after="0" w:line="240" w:lineRule="auto"/>
                                <w:ind w:left="0" w:right="0" w:firstLine="0" w:firstLineChars="0"/>
                                <w:jc w:val="left"/>
                                <w:rPr>
                                  <w:rFonts w:ascii="Times New Roman" w:hAnsi="Times New Roman" w:eastAsia="仿宋" w:cs="Times New Roman"/>
                                  <w:spacing w:val="0"/>
                                  <w:w w:val="100"/>
                                  <w:kern w:val="2"/>
                                  <w:position w:val="0"/>
                                  <w:szCs w:val="21"/>
                                  <w:shd w:val="clear"/>
                                  <w:lang w:eastAsia="zh-CN" w:bidi="ar-SA"/>
                                </w:rPr>
                              </w:pPr>
                              <w:r>
                                <w:rPr>
                                  <w:rFonts w:hint="eastAsia" w:ascii="Times New Roman" w:hAnsi="宋体" w:eastAsia="仿宋" w:cs="Times New Roman"/>
                                  <w:spacing w:val="0"/>
                                  <w:w w:val="100"/>
                                  <w:kern w:val="2"/>
                                  <w:position w:val="0"/>
                                  <w:szCs w:val="21"/>
                                  <w:shd w:val="clear"/>
                                  <w:lang w:eastAsia="zh-CN" w:bidi="ar-SA"/>
                                </w:rPr>
                                <w:t>污水处理站</w:t>
                              </w:r>
                            </w:p>
                          </w:txbxContent>
                        </wps:txbx>
                        <wps:bodyPr rot="0" vert="horz" wrap="square" lIns="0" tIns="0" rIns="0" bIns="0" anchor="t" anchorCtr="0" upright="1">
                          <a:noAutofit/>
                        </wps:bodyPr>
                      </wps:wsp>
                      <wps:wsp>
                        <wps:cNvPr id="24" name="直接连接符 8960"/>
                        <wps:cNvCnPr>
                          <a:cxnSpLocks noChangeShapeType="1"/>
                        </wps:cNvCnPr>
                        <wps:spPr bwMode="auto">
                          <a:xfrm>
                            <a:off x="2890" y="4474"/>
                            <a:ext cx="1979" cy="0"/>
                          </a:xfrm>
                          <a:prstGeom prst="line">
                            <a:avLst/>
                          </a:prstGeom>
                          <a:noFill/>
                          <a:ln w="9525">
                            <a:solidFill>
                              <a:srgbClr val="000000"/>
                            </a:solidFill>
                            <a:round/>
                            <a:tailEnd type="triangle" w="med" len="med"/>
                          </a:ln>
                        </wps:spPr>
                        <wps:bodyPr/>
                      </wps:wsp>
                      <wps:wsp>
                        <wps:cNvPr id="25" name="矩形 8956"/>
                        <wps:cNvSpPr>
                          <a:spLocks noChangeArrowheads="1"/>
                        </wps:cNvSpPr>
                        <wps:spPr bwMode="auto">
                          <a:xfrm>
                            <a:off x="9046" y="3667"/>
                            <a:ext cx="734" cy="1245"/>
                          </a:xfrm>
                          <a:prstGeom prst="rect">
                            <a:avLst/>
                          </a:prstGeom>
                          <a:solidFill>
                            <a:srgbClr val="FFFFFF"/>
                          </a:solidFill>
                          <a:ln>
                            <a:noFill/>
                          </a:ln>
                        </wps:spPr>
                        <wps:txbx>
                          <w:txbxContent>
                            <w:p w14:paraId="5ECAF48F">
                              <w:pPr>
                                <w:keepNext w:val="0"/>
                                <w:keepLines w:val="0"/>
                                <w:shd w:val="clear"/>
                                <w:bidi w:val="0"/>
                                <w:spacing w:before="0" w:after="0" w:line="360" w:lineRule="exact"/>
                                <w:ind w:left="0" w:right="0" w:firstLine="0" w:firstLineChars="0"/>
                                <w:jc w:val="left"/>
                                <w:rPr>
                                  <w:rFonts w:ascii="Times New Roman" w:hAnsi="Times New Roman" w:eastAsia="仿宋" w:cs="Times New Roman"/>
                                  <w:spacing w:val="0"/>
                                  <w:w w:val="100"/>
                                  <w:kern w:val="2"/>
                                  <w:position w:val="0"/>
                                  <w:szCs w:val="21"/>
                                  <w:shd w:val="clear"/>
                                  <w:lang w:eastAsia="zh-CN" w:bidi="ar-SA"/>
                                </w:rPr>
                              </w:pPr>
                              <w:r>
                                <w:rPr>
                                  <w:rFonts w:hint="eastAsia" w:ascii="Times New Roman" w:hAnsi="Times New Roman" w:eastAsia="仿宋" w:cs="Times New Roman"/>
                                  <w:spacing w:val="0"/>
                                  <w:w w:val="100"/>
                                  <w:kern w:val="2"/>
                                  <w:position w:val="0"/>
                                  <w:szCs w:val="21"/>
                                  <w:shd w:val="clear"/>
                                  <w:lang w:eastAsia="zh-CN" w:bidi="ar-SA"/>
                                </w:rPr>
                                <w:t>100m高排气筒</w:t>
                              </w:r>
                            </w:p>
                          </w:txbxContent>
                        </wps:txbx>
                        <wps:bodyPr rot="0" vert="horz" wrap="square" lIns="0" tIns="0" rIns="0" bIns="0" anchor="t" anchorCtr="0" upright="1">
                          <a:noAutofit/>
                        </wps:bodyPr>
                      </wps:wsp>
                      <wps:wsp>
                        <wps:cNvPr id="26" name="矩形 8957"/>
                        <wps:cNvSpPr>
                          <a:spLocks noChangeArrowheads="1"/>
                        </wps:cNvSpPr>
                        <wps:spPr bwMode="auto">
                          <a:xfrm>
                            <a:off x="8069" y="3667"/>
                            <a:ext cx="564" cy="1487"/>
                          </a:xfrm>
                          <a:prstGeom prst="rect">
                            <a:avLst/>
                          </a:prstGeom>
                          <a:solidFill>
                            <a:srgbClr val="FFFFFF"/>
                          </a:solidFill>
                          <a:ln w="9525">
                            <a:solidFill>
                              <a:srgbClr val="000000"/>
                            </a:solidFill>
                            <a:miter lim="800000"/>
                          </a:ln>
                        </wps:spPr>
                        <wps:txbx>
                          <w:txbxContent>
                            <w:p w14:paraId="69AEDF7C">
                              <w:pPr>
                                <w:keepNext w:val="0"/>
                                <w:keepLines w:val="0"/>
                                <w:shd w:val="clear"/>
                                <w:bidi w:val="0"/>
                                <w:spacing w:before="0" w:after="0" w:line="460" w:lineRule="exact"/>
                                <w:ind w:left="0" w:right="0" w:firstLine="199" w:firstLineChars="83"/>
                                <w:jc w:val="left"/>
                                <w:rPr>
                                  <w:rFonts w:ascii="Times New Roman" w:hAnsi="宋体" w:eastAsia="仿宋" w:cs="Times New Roman"/>
                                  <w:spacing w:val="0"/>
                                  <w:w w:val="100"/>
                                  <w:kern w:val="2"/>
                                  <w:position w:val="0"/>
                                  <w:szCs w:val="21"/>
                                  <w:shd w:val="clear"/>
                                  <w:lang w:eastAsia="zh-CN" w:bidi="ar-SA"/>
                                </w:rPr>
                              </w:pPr>
                              <w:r>
                                <w:rPr>
                                  <w:rFonts w:hint="eastAsia" w:ascii="Times New Roman" w:hAnsi="宋体" w:eastAsia="仿宋" w:cs="Times New Roman"/>
                                  <w:spacing w:val="0"/>
                                  <w:w w:val="100"/>
                                  <w:kern w:val="2"/>
                                  <w:position w:val="0"/>
                                  <w:szCs w:val="21"/>
                                  <w:shd w:val="clear"/>
                                  <w:lang w:eastAsia="zh-CN" w:bidi="ar-SA"/>
                                </w:rPr>
                                <w:t>焚</w:t>
                              </w:r>
                            </w:p>
                            <w:p w14:paraId="5BA30AEE">
                              <w:pPr>
                                <w:keepNext w:val="0"/>
                                <w:keepLines w:val="0"/>
                                <w:shd w:val="clear"/>
                                <w:bidi w:val="0"/>
                                <w:spacing w:before="0" w:after="0" w:line="460" w:lineRule="exact"/>
                                <w:ind w:left="0" w:right="0" w:firstLine="199" w:firstLineChars="83"/>
                                <w:jc w:val="left"/>
                                <w:rPr>
                                  <w:rFonts w:ascii="Times New Roman" w:hAnsi="宋体" w:eastAsia="仿宋" w:cs="Times New Roman"/>
                                  <w:spacing w:val="0"/>
                                  <w:w w:val="100"/>
                                  <w:kern w:val="2"/>
                                  <w:position w:val="0"/>
                                  <w:szCs w:val="21"/>
                                  <w:shd w:val="clear"/>
                                  <w:lang w:eastAsia="zh-CN" w:bidi="ar-SA"/>
                                </w:rPr>
                              </w:pPr>
                              <w:r>
                                <w:rPr>
                                  <w:rFonts w:hint="eastAsia" w:ascii="Times New Roman" w:hAnsi="宋体" w:eastAsia="仿宋" w:cs="Times New Roman"/>
                                  <w:spacing w:val="0"/>
                                  <w:w w:val="100"/>
                                  <w:kern w:val="2"/>
                                  <w:position w:val="0"/>
                                  <w:szCs w:val="21"/>
                                  <w:shd w:val="clear"/>
                                  <w:lang w:eastAsia="zh-CN" w:bidi="ar-SA"/>
                                </w:rPr>
                                <w:t>烧</w:t>
                              </w:r>
                            </w:p>
                            <w:p w14:paraId="32BA2E00">
                              <w:pPr>
                                <w:keepNext w:val="0"/>
                                <w:keepLines w:val="0"/>
                                <w:shd w:val="clear"/>
                                <w:bidi w:val="0"/>
                                <w:spacing w:before="0" w:after="0" w:line="460" w:lineRule="exact"/>
                                <w:ind w:left="0" w:right="0" w:firstLine="199" w:firstLineChars="83"/>
                                <w:jc w:val="left"/>
                                <w:rPr>
                                  <w:rFonts w:ascii="Times New Roman" w:hAnsi="Times New Roman" w:eastAsia="仿宋" w:cs="Times New Roman"/>
                                  <w:spacing w:val="0"/>
                                  <w:w w:val="100"/>
                                  <w:kern w:val="2"/>
                                  <w:position w:val="0"/>
                                  <w:szCs w:val="21"/>
                                  <w:shd w:val="clear"/>
                                  <w:lang w:eastAsia="zh-CN" w:bidi="ar-SA"/>
                                </w:rPr>
                              </w:pPr>
                              <w:r>
                                <w:rPr>
                                  <w:rFonts w:hint="eastAsia" w:ascii="Times New Roman" w:hAnsi="宋体" w:eastAsia="仿宋" w:cs="Times New Roman"/>
                                  <w:spacing w:val="0"/>
                                  <w:w w:val="100"/>
                                  <w:kern w:val="2"/>
                                  <w:position w:val="0"/>
                                  <w:szCs w:val="21"/>
                                  <w:shd w:val="clear"/>
                                  <w:lang w:eastAsia="zh-CN" w:bidi="ar-SA"/>
                                </w:rPr>
                                <w:t>炉</w:t>
                              </w:r>
                            </w:p>
                          </w:txbxContent>
                        </wps:txbx>
                        <wps:bodyPr rot="0" vert="horz" wrap="square" lIns="0" tIns="0" rIns="0" bIns="0" anchor="t" anchorCtr="0" upright="1">
                          <a:noAutofit/>
                        </wps:bodyPr>
                      </wps:wsp>
                      <wps:wsp>
                        <wps:cNvPr id="27" name="直接连接符 8963"/>
                        <wps:cNvCnPr>
                          <a:cxnSpLocks noChangeShapeType="1"/>
                        </wps:cNvCnPr>
                        <wps:spPr bwMode="auto">
                          <a:xfrm>
                            <a:off x="8633" y="4304"/>
                            <a:ext cx="415" cy="3"/>
                          </a:xfrm>
                          <a:prstGeom prst="line">
                            <a:avLst/>
                          </a:prstGeom>
                          <a:noFill/>
                          <a:ln w="9525">
                            <a:solidFill>
                              <a:srgbClr val="000000"/>
                            </a:solidFill>
                            <a:round/>
                            <a:tailEnd type="triangle" w="med" len="med"/>
                          </a:ln>
                        </wps:spPr>
                        <wps:bodyPr/>
                      </wps:wsp>
                      <wps:wsp>
                        <wps:cNvPr id="28" name="矩形 8953"/>
                        <wps:cNvSpPr>
                          <a:spLocks noChangeArrowheads="1"/>
                        </wps:cNvSpPr>
                        <wps:spPr bwMode="auto">
                          <a:xfrm>
                            <a:off x="4871" y="3427"/>
                            <a:ext cx="694" cy="2229"/>
                          </a:xfrm>
                          <a:prstGeom prst="rect">
                            <a:avLst/>
                          </a:prstGeom>
                          <a:solidFill>
                            <a:srgbClr val="FFFFFF"/>
                          </a:solidFill>
                          <a:ln w="9525">
                            <a:solidFill>
                              <a:srgbClr val="000000"/>
                            </a:solidFill>
                            <a:miter lim="800000"/>
                          </a:ln>
                        </wps:spPr>
                        <wps:txbx>
                          <w:txbxContent>
                            <w:p w14:paraId="17C1A271">
                              <w:pPr>
                                <w:keepNext w:val="0"/>
                                <w:keepLines w:val="0"/>
                                <w:shd w:val="clear"/>
                                <w:bidi w:val="0"/>
                                <w:spacing w:before="0" w:after="0" w:line="360" w:lineRule="exact"/>
                                <w:ind w:left="0" w:right="0" w:firstLine="480" w:firstLineChars="200"/>
                                <w:jc w:val="center"/>
                                <w:rPr>
                                  <w:rFonts w:ascii="Times New Roman" w:hAnsi="Times New Roman" w:eastAsia="仿宋" w:cs="Times New Roman"/>
                                  <w:spacing w:val="0"/>
                                  <w:w w:val="100"/>
                                  <w:kern w:val="2"/>
                                  <w:position w:val="0"/>
                                  <w:szCs w:val="21"/>
                                  <w:shd w:val="clear"/>
                                  <w:lang w:eastAsia="zh-CN" w:bidi="ar-SA"/>
                                </w:rPr>
                              </w:pPr>
                            </w:p>
                            <w:p w14:paraId="67D52C29">
                              <w:pPr>
                                <w:keepNext w:val="0"/>
                                <w:keepLines w:val="0"/>
                                <w:shd w:val="clear"/>
                                <w:bidi w:val="0"/>
                                <w:spacing w:before="0" w:after="0" w:line="360" w:lineRule="exact"/>
                                <w:ind w:left="0" w:right="0" w:firstLine="0" w:firstLineChars="0"/>
                                <w:jc w:val="center"/>
                                <w:rPr>
                                  <w:rFonts w:ascii="Times New Roman" w:hAnsi="Times New Roman" w:eastAsia="仿宋" w:cs="Times New Roman"/>
                                  <w:spacing w:val="0"/>
                                  <w:w w:val="100"/>
                                  <w:kern w:val="2"/>
                                  <w:position w:val="0"/>
                                  <w:szCs w:val="21"/>
                                  <w:shd w:val="clear"/>
                                  <w:lang w:eastAsia="zh-CN" w:bidi="ar-SA"/>
                                </w:rPr>
                              </w:pPr>
                              <w:r>
                                <w:rPr>
                                  <w:rFonts w:hint="eastAsia" w:ascii="Times New Roman" w:hAnsi="Times New Roman" w:eastAsia="仿宋" w:cs="Times New Roman"/>
                                  <w:spacing w:val="0"/>
                                  <w:w w:val="100"/>
                                  <w:kern w:val="2"/>
                                  <w:position w:val="0"/>
                                  <w:szCs w:val="21"/>
                                  <w:shd w:val="clear"/>
                                  <w:lang w:eastAsia="zh-CN" w:bidi="ar-SA"/>
                                </w:rPr>
                                <w:t>垃</w:t>
                              </w:r>
                            </w:p>
                            <w:p w14:paraId="559B54C5">
                              <w:pPr>
                                <w:keepNext w:val="0"/>
                                <w:keepLines w:val="0"/>
                                <w:shd w:val="clear"/>
                                <w:bidi w:val="0"/>
                                <w:spacing w:before="0" w:after="0" w:line="240" w:lineRule="auto"/>
                                <w:ind w:left="0" w:right="0" w:firstLine="0" w:firstLineChars="0"/>
                                <w:jc w:val="center"/>
                                <w:rPr>
                                  <w:rFonts w:ascii="Times New Roman" w:hAnsi="Times New Roman" w:eastAsia="仿宋" w:cs="Times New Roman"/>
                                  <w:spacing w:val="0"/>
                                  <w:w w:val="100"/>
                                  <w:kern w:val="2"/>
                                  <w:position w:val="0"/>
                                  <w:szCs w:val="21"/>
                                  <w:shd w:val="clear"/>
                                  <w:lang w:eastAsia="zh-CN" w:bidi="ar-SA"/>
                                </w:rPr>
                              </w:pPr>
                              <w:r>
                                <w:rPr>
                                  <w:rFonts w:hint="eastAsia" w:ascii="Times New Roman" w:hAnsi="Times New Roman" w:eastAsia="仿宋" w:cs="Times New Roman"/>
                                  <w:spacing w:val="0"/>
                                  <w:w w:val="100"/>
                                  <w:kern w:val="2"/>
                                  <w:position w:val="0"/>
                                  <w:szCs w:val="21"/>
                                  <w:shd w:val="clear"/>
                                  <w:lang w:eastAsia="zh-CN" w:bidi="ar-SA"/>
                                </w:rPr>
                                <w:t>圾</w:t>
                              </w:r>
                            </w:p>
                            <w:p w14:paraId="5224D24F">
                              <w:pPr>
                                <w:keepNext w:val="0"/>
                                <w:keepLines w:val="0"/>
                                <w:shd w:val="clear"/>
                                <w:bidi w:val="0"/>
                                <w:spacing w:before="0" w:after="0" w:line="360" w:lineRule="exact"/>
                                <w:ind w:left="0" w:right="0" w:firstLine="0" w:firstLineChars="0"/>
                                <w:jc w:val="center"/>
                                <w:rPr>
                                  <w:rFonts w:ascii="Times New Roman" w:hAnsi="Times New Roman" w:eastAsia="仿宋" w:cs="Times New Roman"/>
                                  <w:spacing w:val="0"/>
                                  <w:w w:val="100"/>
                                  <w:kern w:val="2"/>
                                  <w:position w:val="0"/>
                                  <w:szCs w:val="21"/>
                                  <w:shd w:val="clear"/>
                                  <w:lang w:eastAsia="zh-CN" w:bidi="ar-SA"/>
                                </w:rPr>
                              </w:pPr>
                              <w:r>
                                <w:rPr>
                                  <w:rFonts w:hint="eastAsia" w:ascii="Times New Roman" w:hAnsi="Times New Roman" w:eastAsia="仿宋" w:cs="Times New Roman"/>
                                  <w:spacing w:val="0"/>
                                  <w:w w:val="100"/>
                                  <w:kern w:val="2"/>
                                  <w:position w:val="0"/>
                                  <w:szCs w:val="21"/>
                                  <w:shd w:val="clear"/>
                                  <w:lang w:eastAsia="zh-CN" w:bidi="ar-SA"/>
                                </w:rPr>
                                <w:t>贮</w:t>
                              </w:r>
                            </w:p>
                            <w:p w14:paraId="5872BE25">
                              <w:pPr>
                                <w:keepNext w:val="0"/>
                                <w:keepLines w:val="0"/>
                                <w:shd w:val="clear"/>
                                <w:bidi w:val="0"/>
                                <w:spacing w:before="0" w:after="0" w:line="360" w:lineRule="exact"/>
                                <w:ind w:left="0" w:right="0" w:firstLine="0" w:firstLineChars="0"/>
                                <w:jc w:val="center"/>
                                <w:rPr>
                                  <w:rFonts w:ascii="Times New Roman" w:hAnsi="Times New Roman" w:eastAsia="仿宋" w:cs="Times New Roman"/>
                                  <w:spacing w:val="0"/>
                                  <w:w w:val="100"/>
                                  <w:kern w:val="2"/>
                                  <w:position w:val="0"/>
                                  <w:szCs w:val="21"/>
                                  <w:shd w:val="clear"/>
                                  <w:lang w:eastAsia="zh-CN" w:bidi="ar-SA"/>
                                </w:rPr>
                              </w:pPr>
                              <w:r>
                                <w:rPr>
                                  <w:rFonts w:hint="eastAsia" w:ascii="Times New Roman" w:hAnsi="Times New Roman" w:eastAsia="仿宋" w:cs="Times New Roman"/>
                                  <w:spacing w:val="0"/>
                                  <w:w w:val="100"/>
                                  <w:kern w:val="2"/>
                                  <w:position w:val="0"/>
                                  <w:szCs w:val="21"/>
                                  <w:shd w:val="clear"/>
                                  <w:lang w:eastAsia="zh-CN" w:bidi="ar-SA"/>
                                </w:rPr>
                                <w:t>坑</w:t>
                              </w:r>
                            </w:p>
                          </w:txbxContent>
                        </wps:txbx>
                        <wps:bodyPr rot="0" vert="horz" wrap="square" lIns="0" tIns="0" rIns="0" bIns="0" anchor="t" anchorCtr="0" upright="1">
                          <a:noAutofit/>
                        </wps:bodyPr>
                      </wps:wsp>
                    </wpg:wgp>
                  </a:graphicData>
                </a:graphic>
              </wp:inline>
            </w:drawing>
          </mc:Choice>
          <mc:Fallback>
            <w:pict>
              <v:group id="_x0000_s1026" o:spid="_x0000_s1026" o:spt="203" style="height:111.45pt;width:411.8pt;" coordorigin="1895,3427" coordsize="7885,2229" o:gfxdata="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">
                <o:lock v:ext="edit" aspectratio="f"/>
                <v:rect id="矩形 8952" o:spid="_x0000_s1026" o:spt="1" style="position:absolute;left:3151;top:3496;height:346;width:1606;" fillcolor="#FFFFFF" filled="t" stroked="t" coordsize="21600,21600" o:gfxdata="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4jn/LsAAADa&#10;AAAADwAAAAAAAAABACAAAAAiAAAAZHJzL2Rvd25yZXYueG1sUEsBAhQAFAAAAAgAh07iQDMvBZ47&#10;AAAAOQAAABAAAAAAAAAAAQAgAAAACgEAAGRycy9zaGFwZXhtbC54bWxQSwUGAAAAAAYABgBbAQAA&#10;tAMAAAAA&#10;">
                  <v:fill on="t" focussize="0,0"/>
                  <v:stroke color="#FFFFFF" miterlimit="8" joinstyle="miter"/>
                  <v:imagedata o:title=""/>
                  <o:lock v:ext="edit" aspectratio="f"/>
                  <v:textbox inset="0mm,0mm,0mm,0mm">
                    <w:txbxContent>
                      <w:p w14:paraId="0A5DCBF0">
                        <w:pPr>
                          <w:keepNext w:val="0"/>
                          <w:keepLines w:val="0"/>
                          <w:shd w:val="clear"/>
                          <w:bidi w:val="0"/>
                          <w:spacing w:before="0" w:after="0" w:line="240" w:lineRule="auto"/>
                          <w:ind w:left="0" w:right="0" w:firstLine="420" w:firstLineChars="200"/>
                          <w:jc w:val="left"/>
                          <w:rPr>
                            <w:rFonts w:ascii="Times New Roman" w:hAnsi="Times New Roman" w:eastAsia="仿宋" w:cs="Times New Roman"/>
                            <w:spacing w:val="0"/>
                            <w:w w:val="100"/>
                            <w:kern w:val="2"/>
                            <w:position w:val="0"/>
                            <w:sz w:val="21"/>
                            <w:szCs w:val="21"/>
                            <w:shd w:val="clear"/>
                            <w:lang w:eastAsia="zh-CN" w:bidi="ar-SA"/>
                          </w:rPr>
                        </w:pPr>
                        <w:r>
                          <w:rPr>
                            <w:rFonts w:hint="eastAsia" w:ascii="Times New Roman" w:hAnsi="宋体" w:eastAsia="仿宋" w:cs="Times New Roman"/>
                            <w:spacing w:val="0"/>
                            <w:w w:val="100"/>
                            <w:kern w:val="2"/>
                            <w:position w:val="0"/>
                            <w:sz w:val="21"/>
                            <w:szCs w:val="21"/>
                            <w:shd w:val="clear"/>
                            <w:lang w:eastAsia="zh-CN" w:bidi="ar-SA"/>
                          </w:rPr>
                          <w:t>臭气</w:t>
                        </w:r>
                      </w:p>
                    </w:txbxContent>
                  </v:textbox>
                </v:rect>
                <v:line id="直接连接符 96" o:spid="_x0000_s1026" o:spt="20" style="position:absolute;left:5437;top:4479;height:0;width:1134;" filled="f" stroked="t" coordsize="21600,21600" o:gfxdata="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efF8b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8967" o:spid="_x0000_s1026" o:spt="20" style="position:absolute;left:7571;top:4304;height:0;width:446;" filled="f" stroked="t" coordsize="21600,21600" o:gfxdata="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5Vkw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8962" o:spid="_x0000_s1026" o:spt="1" style="position:absolute;left:5386;top:3903;height:472;width:1185;" fillcolor="#FFFFFF" filled="t" stroked="t" coordsize="21600,21600" o:gfxdata="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TEQme2AAAA2gAAAA8A&#10;AAAAAAAAAQAgAAAAIgAAAGRycy9kb3ducmV2LnhtbFBLAQIUABQAAAAIAIdO4kAzLwWeOwAAADkA&#10;AAAQAAAAAAAAAAEAIAAAAAUBAABkcnMvc2hhcGV4bWwueG1sUEsFBgAAAAAGAAYAWwEAAK8DAAAA&#10;AA==&#10;">
                  <v:fill on="t" focussize="0,0"/>
                  <v:stroke color="#FFFFFF" miterlimit="8" joinstyle="miter"/>
                  <v:imagedata o:title=""/>
                  <o:lock v:ext="edit" aspectratio="f"/>
                  <v:textbox inset="0mm,0mm,0mm,0mm">
                    <w:txbxContent>
                      <w:p w14:paraId="569D8AE3">
                        <w:pPr>
                          <w:keepNext w:val="0"/>
                          <w:keepLines w:val="0"/>
                          <w:shd w:val="clear"/>
                          <w:bidi w:val="0"/>
                          <w:spacing w:before="0" w:after="0" w:line="460" w:lineRule="exact"/>
                          <w:ind w:left="0" w:right="0" w:firstLine="270" w:firstLineChars="150"/>
                          <w:jc w:val="left"/>
                          <w:rPr>
                            <w:rFonts w:ascii="Times New Roman" w:hAnsi="Times New Roman" w:eastAsia="仿宋" w:cs="Times New Roman"/>
                            <w:spacing w:val="0"/>
                            <w:w w:val="100"/>
                            <w:kern w:val="2"/>
                            <w:position w:val="0"/>
                            <w:sz w:val="18"/>
                            <w:szCs w:val="18"/>
                            <w:shd w:val="clear"/>
                            <w:lang w:eastAsia="zh-CN" w:bidi="ar-SA"/>
                          </w:rPr>
                        </w:pPr>
                        <w:r>
                          <w:rPr>
                            <w:rFonts w:hint="eastAsia" w:ascii="Times New Roman" w:hAnsi="宋体" w:eastAsia="仿宋" w:cs="Times New Roman"/>
                            <w:spacing w:val="0"/>
                            <w:w w:val="100"/>
                            <w:kern w:val="2"/>
                            <w:position w:val="0"/>
                            <w:sz w:val="18"/>
                            <w:szCs w:val="18"/>
                            <w:shd w:val="clear"/>
                            <w:lang w:eastAsia="zh-CN" w:bidi="ar-SA"/>
                          </w:rPr>
                          <w:t>臭气量</w:t>
                        </w:r>
                      </w:p>
                    </w:txbxContent>
                  </v:textbox>
                </v:rect>
                <v:rect id="矩形 8964" o:spid="_x0000_s1026" o:spt="1" style="position:absolute;left:3436;top:4808;height:346;width:1433;" fillcolor="#FFFFFF" filled="t" stroked="t" coordsize="21600,21600" o:gfxdata="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LWjWi5AAAA2wAA&#10;AA8AAAAAAAAAAQAgAAAAIgAAAGRycy9kb3ducmV2LnhtbFBLAQIUABQAAAAIAIdO4kAzLwWeOwAA&#10;ADkAAAAQAAAAAAAAAAEAIAAAAAgBAABkcnMvc2hhcGV4bWwueG1sUEsFBgAAAAAGAAYAWwEAALID&#10;AAAAAA==&#10;">
                  <v:fill on="t" focussize="0,0"/>
                  <v:stroke color="#FFFFFF" miterlimit="8" joinstyle="miter"/>
                  <v:imagedata o:title=""/>
                  <o:lock v:ext="edit" aspectratio="f"/>
                  <v:textbox inset="0mm,0mm,0mm,0mm">
                    <w:txbxContent>
                      <w:p w14:paraId="368267B3">
                        <w:pPr>
                          <w:keepNext w:val="0"/>
                          <w:keepLines w:val="0"/>
                          <w:shd w:val="clear"/>
                          <w:bidi w:val="0"/>
                          <w:spacing w:before="0" w:after="0" w:line="240" w:lineRule="auto"/>
                          <w:ind w:left="0" w:right="0" w:firstLine="420" w:firstLineChars="200"/>
                          <w:jc w:val="left"/>
                          <w:rPr>
                            <w:rFonts w:ascii="Times New Roman" w:hAnsi="Times New Roman" w:eastAsia="仿宋" w:cs="Times New Roman"/>
                            <w:spacing w:val="0"/>
                            <w:w w:val="100"/>
                            <w:kern w:val="2"/>
                            <w:position w:val="0"/>
                            <w:sz w:val="21"/>
                            <w:szCs w:val="21"/>
                            <w:shd w:val="clear"/>
                            <w:lang w:eastAsia="zh-CN" w:bidi="ar-SA"/>
                          </w:rPr>
                        </w:pPr>
                        <w:r>
                          <w:rPr>
                            <w:rFonts w:hint="eastAsia" w:ascii="Times New Roman" w:hAnsi="宋体" w:eastAsia="仿宋" w:cs="Times New Roman"/>
                            <w:spacing w:val="0"/>
                            <w:w w:val="100"/>
                            <w:kern w:val="2"/>
                            <w:position w:val="0"/>
                            <w:sz w:val="21"/>
                            <w:szCs w:val="21"/>
                            <w:shd w:val="clear"/>
                            <w:lang w:eastAsia="zh-CN" w:bidi="ar-SA"/>
                          </w:rPr>
                          <w:t>臭气</w:t>
                        </w:r>
                      </w:p>
                    </w:txbxContent>
                  </v:textbox>
                </v:rect>
                <v:rect id="矩形 8959" o:spid="_x0000_s1026" o:spt="1" style="position:absolute;left:3163;top:4130;height:346;width:1590;" fillcolor="#FFFFFF" filled="t" stroked="t" coordsize="21600,21600" o:gfxdata="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8nOwh7gAAADbAAAA&#10;DwAAAAAAAAABACAAAAAiAAAAZHJzL2Rvd25yZXYueG1sUEsBAhQAFAAAAAgAh07iQDMvBZ47AAAA&#10;OQAAABAAAAAAAAAAAQAgAAAABwEAAGRycy9zaGFwZXhtbC54bWxQSwUGAAAAAAYABgBbAQAAsQMA&#10;AAAA&#10;">
                  <v:fill on="t" focussize="0,0"/>
                  <v:stroke color="#FFFFFF" miterlimit="8" joinstyle="miter"/>
                  <v:imagedata o:title=""/>
                  <o:lock v:ext="edit" aspectratio="f"/>
                  <v:textbox inset="0mm,0mm,0mm,0mm">
                    <w:txbxContent>
                      <w:p w14:paraId="556051B9">
                        <w:pPr>
                          <w:keepNext w:val="0"/>
                          <w:keepLines w:val="0"/>
                          <w:shd w:val="clear"/>
                          <w:bidi w:val="0"/>
                          <w:spacing w:before="0" w:after="0" w:line="240" w:lineRule="auto"/>
                          <w:ind w:left="0" w:right="0" w:firstLine="420" w:firstLineChars="200"/>
                          <w:jc w:val="left"/>
                          <w:rPr>
                            <w:rFonts w:ascii="Times New Roman" w:hAnsi="Times New Roman" w:eastAsia="仿宋" w:cs="Times New Roman"/>
                            <w:spacing w:val="0"/>
                            <w:w w:val="100"/>
                            <w:kern w:val="2"/>
                            <w:position w:val="0"/>
                            <w:sz w:val="21"/>
                            <w:szCs w:val="21"/>
                            <w:shd w:val="clear"/>
                            <w:lang w:eastAsia="zh-CN" w:bidi="ar-SA"/>
                          </w:rPr>
                        </w:pPr>
                        <w:r>
                          <w:rPr>
                            <w:rFonts w:hint="eastAsia" w:ascii="Times New Roman" w:hAnsi="宋体" w:eastAsia="仿宋" w:cs="Times New Roman"/>
                            <w:spacing w:val="0"/>
                            <w:w w:val="100"/>
                            <w:kern w:val="2"/>
                            <w:position w:val="0"/>
                            <w:sz w:val="21"/>
                            <w:szCs w:val="21"/>
                            <w:shd w:val="clear"/>
                            <w:lang w:eastAsia="zh-CN" w:bidi="ar-SA"/>
                          </w:rPr>
                          <w:t>臭气</w:t>
                        </w:r>
                      </w:p>
                    </w:txbxContent>
                  </v:textbox>
                </v:rect>
                <v:rect id="矩形 8955" o:spid="_x0000_s1026" o:spt="1" style="position:absolute;left:1895;top:3626;height:367;width:1000;" fillcolor="#FFFFFF" filled="t" stroked="t" coordsize="21600,21600" o:gfxdata="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7hCI6/&#10;AAAA2w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0mm,0mm,0mm,0mm">
                    <w:txbxContent>
                      <w:p w14:paraId="452024A5">
                        <w:pPr>
                          <w:keepNext w:val="0"/>
                          <w:keepLines w:val="0"/>
                          <w:shd w:val="clear"/>
                          <w:bidi w:val="0"/>
                          <w:spacing w:before="0" w:after="0" w:line="240" w:lineRule="auto"/>
                          <w:ind w:left="0" w:right="0" w:firstLine="0" w:firstLineChars="0"/>
                          <w:jc w:val="left"/>
                          <w:rPr>
                            <w:rFonts w:ascii="Times New Roman" w:hAnsi="Times New Roman" w:eastAsia="仿宋" w:cs="Times New Roman"/>
                            <w:spacing w:val="0"/>
                            <w:w w:val="100"/>
                            <w:kern w:val="2"/>
                            <w:position w:val="0"/>
                            <w:szCs w:val="21"/>
                            <w:shd w:val="clear"/>
                            <w:lang w:eastAsia="zh-CN" w:bidi="ar-SA"/>
                          </w:rPr>
                        </w:pPr>
                        <w:r>
                          <w:rPr>
                            <w:rFonts w:hint="eastAsia" w:ascii="Times New Roman" w:hAnsi="宋体" w:eastAsia="仿宋" w:cs="Times New Roman"/>
                            <w:spacing w:val="0"/>
                            <w:w w:val="100"/>
                            <w:kern w:val="2"/>
                            <w:position w:val="0"/>
                            <w:szCs w:val="21"/>
                            <w:shd w:val="clear"/>
                            <w:lang w:eastAsia="zh-CN" w:bidi="ar-SA"/>
                          </w:rPr>
                          <w:t>垃圾贮坑</w:t>
                        </w:r>
                      </w:p>
                    </w:txbxContent>
                  </v:textbox>
                </v:rect>
                <v:line id="直接连接符 8954" o:spid="_x0000_s1026" o:spt="20" style="position:absolute;left:2899;top:3826;height:0;width:1979;" filled="f" stroked="t" coordsize="21600,21600" o:gfxdata="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k1U2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8961" o:spid="_x0000_s1026" o:spt="1" style="position:absolute;left:6571;top:3550;height:1604;width:1000;" fillcolor="#FFFFFF" filled="t" stroked="t" coordsize="21600,21600" o:gfxdata="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9kWke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inset="0mm,0mm,0mm,0mm">
                    <w:txbxContent>
                      <w:p w14:paraId="1E5678B9">
                        <w:pPr>
                          <w:keepNext w:val="0"/>
                          <w:keepLines w:val="0"/>
                          <w:shd w:val="clear"/>
                          <w:bidi w:val="0"/>
                          <w:spacing w:before="0" w:after="0" w:line="240" w:lineRule="exact"/>
                          <w:ind w:left="0" w:right="0" w:firstLine="90" w:firstLineChars="50"/>
                          <w:jc w:val="left"/>
                          <w:rPr>
                            <w:rFonts w:ascii="Times New Roman" w:hAnsi="Times New Roman" w:eastAsia="仿宋" w:cs="Times New Roman"/>
                            <w:spacing w:val="0"/>
                            <w:w w:val="100"/>
                            <w:kern w:val="2"/>
                            <w:position w:val="0"/>
                            <w:sz w:val="18"/>
                            <w:szCs w:val="18"/>
                            <w:shd w:val="clear"/>
                            <w:lang w:eastAsia="zh-CN" w:bidi="ar-SA"/>
                          </w:rPr>
                        </w:pPr>
                      </w:p>
                      <w:p w14:paraId="408E8E97">
                        <w:pPr>
                          <w:keepNext w:val="0"/>
                          <w:keepLines w:val="0"/>
                          <w:shd w:val="clear"/>
                          <w:bidi w:val="0"/>
                          <w:spacing w:before="0" w:after="0" w:line="240" w:lineRule="exact"/>
                          <w:ind w:left="0" w:right="0" w:firstLine="90" w:firstLineChars="50"/>
                          <w:jc w:val="left"/>
                          <w:rPr>
                            <w:rFonts w:ascii="Times New Roman" w:hAnsi="Times New Roman" w:eastAsia="仿宋" w:cs="Times New Roman"/>
                            <w:spacing w:val="0"/>
                            <w:w w:val="100"/>
                            <w:kern w:val="2"/>
                            <w:position w:val="0"/>
                            <w:sz w:val="18"/>
                            <w:szCs w:val="18"/>
                            <w:shd w:val="clear"/>
                            <w:lang w:eastAsia="zh-CN" w:bidi="ar-SA"/>
                          </w:rPr>
                        </w:pPr>
                      </w:p>
                      <w:p w14:paraId="519CDFA7">
                        <w:pPr>
                          <w:keepNext w:val="0"/>
                          <w:keepLines w:val="0"/>
                          <w:shd w:val="clear"/>
                          <w:bidi w:val="0"/>
                          <w:spacing w:before="0" w:after="0" w:line="240" w:lineRule="exact"/>
                          <w:ind w:left="0" w:right="0" w:firstLine="105" w:firstLineChars="50"/>
                          <w:jc w:val="left"/>
                          <w:rPr>
                            <w:rFonts w:ascii="Times New Roman" w:hAnsi="Times New Roman" w:eastAsia="仿宋" w:cs="Times New Roman"/>
                            <w:spacing w:val="0"/>
                            <w:w w:val="100"/>
                            <w:kern w:val="2"/>
                            <w:position w:val="0"/>
                            <w:sz w:val="21"/>
                            <w:szCs w:val="21"/>
                            <w:shd w:val="clear"/>
                            <w:lang w:eastAsia="zh-CN" w:bidi="ar-SA"/>
                          </w:rPr>
                        </w:pPr>
                        <w:r>
                          <w:rPr>
                            <w:rFonts w:hint="eastAsia" w:ascii="Times New Roman" w:hAnsi="Times New Roman" w:eastAsia="仿宋" w:cs="Times New Roman"/>
                            <w:spacing w:val="0"/>
                            <w:w w:val="100"/>
                            <w:kern w:val="2"/>
                            <w:position w:val="0"/>
                            <w:sz w:val="21"/>
                            <w:szCs w:val="21"/>
                            <w:shd w:val="clear"/>
                            <w:lang w:eastAsia="zh-CN" w:bidi="ar-SA"/>
                          </w:rPr>
                          <w:t>一次风机</w:t>
                        </w:r>
                      </w:p>
                    </w:txbxContent>
                  </v:textbox>
                </v:rect>
                <v:line id="直接连接符 8966" o:spid="_x0000_s1026" o:spt="20" style="position:absolute;left:3258;top:5154;height:0;width:1499;" filled="f" stroked="t" coordsize="21600,21600" o:gfxdata="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ImTj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8958" o:spid="_x0000_s1026" o:spt="1" style="position:absolute;left:1939;top:4307;height:367;width:956;" fillcolor="#FFFFFF" filled="t" stroked="t" coordsize="21600,21600" o:gfxdata="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D6Yau/&#10;AAAA2w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0mm,0mm,0mm,0mm">
                    <w:txbxContent>
                      <w:p w14:paraId="69EF5585">
                        <w:pPr>
                          <w:keepNext w:val="0"/>
                          <w:keepLines w:val="0"/>
                          <w:shd w:val="clear"/>
                          <w:bidi w:val="0"/>
                          <w:spacing w:before="0" w:after="0" w:line="240" w:lineRule="auto"/>
                          <w:ind w:left="0" w:right="0" w:firstLine="0" w:firstLineChars="0"/>
                          <w:jc w:val="left"/>
                          <w:rPr>
                            <w:rFonts w:ascii="Times New Roman" w:hAnsi="Times New Roman" w:eastAsia="仿宋" w:cs="Times New Roman"/>
                            <w:spacing w:val="0"/>
                            <w:w w:val="100"/>
                            <w:kern w:val="2"/>
                            <w:position w:val="0"/>
                            <w:szCs w:val="21"/>
                            <w:shd w:val="clear"/>
                            <w:lang w:eastAsia="zh-CN" w:bidi="ar-SA"/>
                          </w:rPr>
                        </w:pPr>
                        <w:r>
                          <w:rPr>
                            <w:rFonts w:hint="eastAsia" w:ascii="Times New Roman" w:hAnsi="宋体" w:eastAsia="仿宋" w:cs="Times New Roman"/>
                            <w:spacing w:val="0"/>
                            <w:w w:val="100"/>
                            <w:kern w:val="2"/>
                            <w:position w:val="0"/>
                            <w:szCs w:val="21"/>
                            <w:shd w:val="clear"/>
                            <w:lang w:eastAsia="zh-CN" w:bidi="ar-SA"/>
                          </w:rPr>
                          <w:t>卸料大厅</w:t>
                        </w:r>
                      </w:p>
                    </w:txbxContent>
                  </v:textbox>
                </v:rect>
                <v:rect id="矩形 8965" o:spid="_x0000_s1026" o:spt="1" style="position:absolute;left:1928;top:4912;height:367;width:1330;" fillcolor="#FFFFFF" filled="t" stroked="t" coordsize="21600,21600" o:gfxdata="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tsQw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0mm,0mm,0mm,0mm">
                    <w:txbxContent>
                      <w:p w14:paraId="0E36DE4A">
                        <w:pPr>
                          <w:keepNext w:val="0"/>
                          <w:keepLines w:val="0"/>
                          <w:shd w:val="clear"/>
                          <w:bidi w:val="0"/>
                          <w:spacing w:before="0" w:after="0" w:line="240" w:lineRule="auto"/>
                          <w:ind w:left="0" w:right="0" w:firstLine="0" w:firstLineChars="0"/>
                          <w:jc w:val="left"/>
                          <w:rPr>
                            <w:rFonts w:ascii="Times New Roman" w:hAnsi="Times New Roman" w:eastAsia="仿宋" w:cs="Times New Roman"/>
                            <w:spacing w:val="0"/>
                            <w:w w:val="100"/>
                            <w:kern w:val="2"/>
                            <w:position w:val="0"/>
                            <w:szCs w:val="21"/>
                            <w:shd w:val="clear"/>
                            <w:lang w:eastAsia="zh-CN" w:bidi="ar-SA"/>
                          </w:rPr>
                        </w:pPr>
                        <w:r>
                          <w:rPr>
                            <w:rFonts w:hint="eastAsia" w:ascii="Times New Roman" w:hAnsi="宋体" w:eastAsia="仿宋" w:cs="Times New Roman"/>
                            <w:spacing w:val="0"/>
                            <w:w w:val="100"/>
                            <w:kern w:val="2"/>
                            <w:position w:val="0"/>
                            <w:szCs w:val="21"/>
                            <w:shd w:val="clear"/>
                            <w:lang w:eastAsia="zh-CN" w:bidi="ar-SA"/>
                          </w:rPr>
                          <w:t>污水处理站</w:t>
                        </w:r>
                      </w:p>
                    </w:txbxContent>
                  </v:textbox>
                </v:rect>
                <v:line id="直接连接符 8960" o:spid="_x0000_s1026" o:spt="20" style="position:absolute;left:2890;top:4474;height:0;width:1979;" filled="f" stroked="t" coordsize="21600,21600" o:gfxdata="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MBW/&#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8956" o:spid="_x0000_s1026" o:spt="1" style="position:absolute;left:9046;top:3667;height:1245;width:734;" fillcolor="#FFFFFF" filled="t" stroked="f" coordsize="21600,21600" o:gfxdata="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x/sXbsAAADb&#10;AAAADwAAAAAAAAABACAAAAAiAAAAZHJzL2Rvd25yZXYueG1sUEsBAhQAFAAAAAgAh07iQDMvBZ47&#10;AAAAOQAAABAAAAAAAAAAAQAgAAAACgEAAGRycy9zaGFwZXhtbC54bWxQSwUGAAAAAAYABgBbAQAA&#10;tAMAAAAA&#10;">
                  <v:fill on="t" focussize="0,0"/>
                  <v:stroke on="f"/>
                  <v:imagedata o:title=""/>
                  <o:lock v:ext="edit" aspectratio="f"/>
                  <v:textbox inset="0mm,0mm,0mm,0mm">
                    <w:txbxContent>
                      <w:p w14:paraId="5ECAF48F">
                        <w:pPr>
                          <w:keepNext w:val="0"/>
                          <w:keepLines w:val="0"/>
                          <w:shd w:val="clear"/>
                          <w:bidi w:val="0"/>
                          <w:spacing w:before="0" w:after="0" w:line="360" w:lineRule="exact"/>
                          <w:ind w:left="0" w:right="0" w:firstLine="0" w:firstLineChars="0"/>
                          <w:jc w:val="left"/>
                          <w:rPr>
                            <w:rFonts w:ascii="Times New Roman" w:hAnsi="Times New Roman" w:eastAsia="仿宋" w:cs="Times New Roman"/>
                            <w:spacing w:val="0"/>
                            <w:w w:val="100"/>
                            <w:kern w:val="2"/>
                            <w:position w:val="0"/>
                            <w:szCs w:val="21"/>
                            <w:shd w:val="clear"/>
                            <w:lang w:eastAsia="zh-CN" w:bidi="ar-SA"/>
                          </w:rPr>
                        </w:pPr>
                        <w:r>
                          <w:rPr>
                            <w:rFonts w:hint="eastAsia" w:ascii="Times New Roman" w:hAnsi="Times New Roman" w:eastAsia="仿宋" w:cs="Times New Roman"/>
                            <w:spacing w:val="0"/>
                            <w:w w:val="100"/>
                            <w:kern w:val="2"/>
                            <w:position w:val="0"/>
                            <w:szCs w:val="21"/>
                            <w:shd w:val="clear"/>
                            <w:lang w:eastAsia="zh-CN" w:bidi="ar-SA"/>
                          </w:rPr>
                          <w:t>100m高排气筒</w:t>
                        </w:r>
                      </w:p>
                    </w:txbxContent>
                  </v:textbox>
                </v:rect>
                <v:rect id="矩形 8957" o:spid="_x0000_s1026" o:spt="1" style="position:absolute;left:8069;top:3667;height:1487;width:564;" fillcolor="#FFFFFF" filled="t" stroked="t" coordsize="21600,21600" o:gfxdata="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BZ6i/&#10;AAAA2w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0mm,0mm,0mm,0mm">
                    <w:txbxContent>
                      <w:p w14:paraId="69AEDF7C">
                        <w:pPr>
                          <w:keepNext w:val="0"/>
                          <w:keepLines w:val="0"/>
                          <w:shd w:val="clear"/>
                          <w:bidi w:val="0"/>
                          <w:spacing w:before="0" w:after="0" w:line="460" w:lineRule="exact"/>
                          <w:ind w:left="0" w:right="0" w:firstLine="199" w:firstLineChars="83"/>
                          <w:jc w:val="left"/>
                          <w:rPr>
                            <w:rFonts w:ascii="Times New Roman" w:hAnsi="宋体" w:eastAsia="仿宋" w:cs="Times New Roman"/>
                            <w:spacing w:val="0"/>
                            <w:w w:val="100"/>
                            <w:kern w:val="2"/>
                            <w:position w:val="0"/>
                            <w:szCs w:val="21"/>
                            <w:shd w:val="clear"/>
                            <w:lang w:eastAsia="zh-CN" w:bidi="ar-SA"/>
                          </w:rPr>
                        </w:pPr>
                        <w:r>
                          <w:rPr>
                            <w:rFonts w:hint="eastAsia" w:ascii="Times New Roman" w:hAnsi="宋体" w:eastAsia="仿宋" w:cs="Times New Roman"/>
                            <w:spacing w:val="0"/>
                            <w:w w:val="100"/>
                            <w:kern w:val="2"/>
                            <w:position w:val="0"/>
                            <w:szCs w:val="21"/>
                            <w:shd w:val="clear"/>
                            <w:lang w:eastAsia="zh-CN" w:bidi="ar-SA"/>
                          </w:rPr>
                          <w:t>焚</w:t>
                        </w:r>
                      </w:p>
                      <w:p w14:paraId="5BA30AEE">
                        <w:pPr>
                          <w:keepNext w:val="0"/>
                          <w:keepLines w:val="0"/>
                          <w:shd w:val="clear"/>
                          <w:bidi w:val="0"/>
                          <w:spacing w:before="0" w:after="0" w:line="460" w:lineRule="exact"/>
                          <w:ind w:left="0" w:right="0" w:firstLine="199" w:firstLineChars="83"/>
                          <w:jc w:val="left"/>
                          <w:rPr>
                            <w:rFonts w:ascii="Times New Roman" w:hAnsi="宋体" w:eastAsia="仿宋" w:cs="Times New Roman"/>
                            <w:spacing w:val="0"/>
                            <w:w w:val="100"/>
                            <w:kern w:val="2"/>
                            <w:position w:val="0"/>
                            <w:szCs w:val="21"/>
                            <w:shd w:val="clear"/>
                            <w:lang w:eastAsia="zh-CN" w:bidi="ar-SA"/>
                          </w:rPr>
                        </w:pPr>
                        <w:r>
                          <w:rPr>
                            <w:rFonts w:hint="eastAsia" w:ascii="Times New Roman" w:hAnsi="宋体" w:eastAsia="仿宋" w:cs="Times New Roman"/>
                            <w:spacing w:val="0"/>
                            <w:w w:val="100"/>
                            <w:kern w:val="2"/>
                            <w:position w:val="0"/>
                            <w:szCs w:val="21"/>
                            <w:shd w:val="clear"/>
                            <w:lang w:eastAsia="zh-CN" w:bidi="ar-SA"/>
                          </w:rPr>
                          <w:t>烧</w:t>
                        </w:r>
                      </w:p>
                      <w:p w14:paraId="32BA2E00">
                        <w:pPr>
                          <w:keepNext w:val="0"/>
                          <w:keepLines w:val="0"/>
                          <w:shd w:val="clear"/>
                          <w:bidi w:val="0"/>
                          <w:spacing w:before="0" w:after="0" w:line="460" w:lineRule="exact"/>
                          <w:ind w:left="0" w:right="0" w:firstLine="199" w:firstLineChars="83"/>
                          <w:jc w:val="left"/>
                          <w:rPr>
                            <w:rFonts w:ascii="Times New Roman" w:hAnsi="Times New Roman" w:eastAsia="仿宋" w:cs="Times New Roman"/>
                            <w:spacing w:val="0"/>
                            <w:w w:val="100"/>
                            <w:kern w:val="2"/>
                            <w:position w:val="0"/>
                            <w:szCs w:val="21"/>
                            <w:shd w:val="clear"/>
                            <w:lang w:eastAsia="zh-CN" w:bidi="ar-SA"/>
                          </w:rPr>
                        </w:pPr>
                        <w:r>
                          <w:rPr>
                            <w:rFonts w:hint="eastAsia" w:ascii="Times New Roman" w:hAnsi="宋体" w:eastAsia="仿宋" w:cs="Times New Roman"/>
                            <w:spacing w:val="0"/>
                            <w:w w:val="100"/>
                            <w:kern w:val="2"/>
                            <w:position w:val="0"/>
                            <w:szCs w:val="21"/>
                            <w:shd w:val="clear"/>
                            <w:lang w:eastAsia="zh-CN" w:bidi="ar-SA"/>
                          </w:rPr>
                          <w:t>炉</w:t>
                        </w:r>
                      </w:p>
                    </w:txbxContent>
                  </v:textbox>
                </v:rect>
                <v:line id="直接连接符 8963" o:spid="_x0000_s1026" o:spt="20" style="position:absolute;left:8633;top:4304;height:3;width:415;" filled="f" stroked="t" coordsize="21600,21600" o:gfxdata="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srmK/&#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8953" o:spid="_x0000_s1026" o:spt="1" style="position:absolute;left:4871;top:3427;height:2229;width:694;" fillcolor="#FFFFFF" filled="t" stroked="t" coordsize="21600,21600" o:gfxdata="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SVkG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inset="0mm,0mm,0mm,0mm">
                    <w:txbxContent>
                      <w:p w14:paraId="17C1A271">
                        <w:pPr>
                          <w:keepNext w:val="0"/>
                          <w:keepLines w:val="0"/>
                          <w:shd w:val="clear"/>
                          <w:bidi w:val="0"/>
                          <w:spacing w:before="0" w:after="0" w:line="360" w:lineRule="exact"/>
                          <w:ind w:left="0" w:right="0" w:firstLine="480" w:firstLineChars="200"/>
                          <w:jc w:val="center"/>
                          <w:rPr>
                            <w:rFonts w:ascii="Times New Roman" w:hAnsi="Times New Roman" w:eastAsia="仿宋" w:cs="Times New Roman"/>
                            <w:spacing w:val="0"/>
                            <w:w w:val="100"/>
                            <w:kern w:val="2"/>
                            <w:position w:val="0"/>
                            <w:szCs w:val="21"/>
                            <w:shd w:val="clear"/>
                            <w:lang w:eastAsia="zh-CN" w:bidi="ar-SA"/>
                          </w:rPr>
                        </w:pPr>
                      </w:p>
                      <w:p w14:paraId="67D52C29">
                        <w:pPr>
                          <w:keepNext w:val="0"/>
                          <w:keepLines w:val="0"/>
                          <w:shd w:val="clear"/>
                          <w:bidi w:val="0"/>
                          <w:spacing w:before="0" w:after="0" w:line="360" w:lineRule="exact"/>
                          <w:ind w:left="0" w:right="0" w:firstLine="0" w:firstLineChars="0"/>
                          <w:jc w:val="center"/>
                          <w:rPr>
                            <w:rFonts w:ascii="Times New Roman" w:hAnsi="Times New Roman" w:eastAsia="仿宋" w:cs="Times New Roman"/>
                            <w:spacing w:val="0"/>
                            <w:w w:val="100"/>
                            <w:kern w:val="2"/>
                            <w:position w:val="0"/>
                            <w:szCs w:val="21"/>
                            <w:shd w:val="clear"/>
                            <w:lang w:eastAsia="zh-CN" w:bidi="ar-SA"/>
                          </w:rPr>
                        </w:pPr>
                        <w:r>
                          <w:rPr>
                            <w:rFonts w:hint="eastAsia" w:ascii="Times New Roman" w:hAnsi="Times New Roman" w:eastAsia="仿宋" w:cs="Times New Roman"/>
                            <w:spacing w:val="0"/>
                            <w:w w:val="100"/>
                            <w:kern w:val="2"/>
                            <w:position w:val="0"/>
                            <w:szCs w:val="21"/>
                            <w:shd w:val="clear"/>
                            <w:lang w:eastAsia="zh-CN" w:bidi="ar-SA"/>
                          </w:rPr>
                          <w:t>垃</w:t>
                        </w:r>
                      </w:p>
                      <w:p w14:paraId="559B54C5">
                        <w:pPr>
                          <w:keepNext w:val="0"/>
                          <w:keepLines w:val="0"/>
                          <w:shd w:val="clear"/>
                          <w:bidi w:val="0"/>
                          <w:spacing w:before="0" w:after="0" w:line="240" w:lineRule="auto"/>
                          <w:ind w:left="0" w:right="0" w:firstLine="0" w:firstLineChars="0"/>
                          <w:jc w:val="center"/>
                          <w:rPr>
                            <w:rFonts w:ascii="Times New Roman" w:hAnsi="Times New Roman" w:eastAsia="仿宋" w:cs="Times New Roman"/>
                            <w:spacing w:val="0"/>
                            <w:w w:val="100"/>
                            <w:kern w:val="2"/>
                            <w:position w:val="0"/>
                            <w:szCs w:val="21"/>
                            <w:shd w:val="clear"/>
                            <w:lang w:eastAsia="zh-CN" w:bidi="ar-SA"/>
                          </w:rPr>
                        </w:pPr>
                        <w:r>
                          <w:rPr>
                            <w:rFonts w:hint="eastAsia" w:ascii="Times New Roman" w:hAnsi="Times New Roman" w:eastAsia="仿宋" w:cs="Times New Roman"/>
                            <w:spacing w:val="0"/>
                            <w:w w:val="100"/>
                            <w:kern w:val="2"/>
                            <w:position w:val="0"/>
                            <w:szCs w:val="21"/>
                            <w:shd w:val="clear"/>
                            <w:lang w:eastAsia="zh-CN" w:bidi="ar-SA"/>
                          </w:rPr>
                          <w:t>圾</w:t>
                        </w:r>
                      </w:p>
                      <w:p w14:paraId="5224D24F">
                        <w:pPr>
                          <w:keepNext w:val="0"/>
                          <w:keepLines w:val="0"/>
                          <w:shd w:val="clear"/>
                          <w:bidi w:val="0"/>
                          <w:spacing w:before="0" w:after="0" w:line="360" w:lineRule="exact"/>
                          <w:ind w:left="0" w:right="0" w:firstLine="0" w:firstLineChars="0"/>
                          <w:jc w:val="center"/>
                          <w:rPr>
                            <w:rFonts w:ascii="Times New Roman" w:hAnsi="Times New Roman" w:eastAsia="仿宋" w:cs="Times New Roman"/>
                            <w:spacing w:val="0"/>
                            <w:w w:val="100"/>
                            <w:kern w:val="2"/>
                            <w:position w:val="0"/>
                            <w:szCs w:val="21"/>
                            <w:shd w:val="clear"/>
                            <w:lang w:eastAsia="zh-CN" w:bidi="ar-SA"/>
                          </w:rPr>
                        </w:pPr>
                        <w:r>
                          <w:rPr>
                            <w:rFonts w:hint="eastAsia" w:ascii="Times New Roman" w:hAnsi="Times New Roman" w:eastAsia="仿宋" w:cs="Times New Roman"/>
                            <w:spacing w:val="0"/>
                            <w:w w:val="100"/>
                            <w:kern w:val="2"/>
                            <w:position w:val="0"/>
                            <w:szCs w:val="21"/>
                            <w:shd w:val="clear"/>
                            <w:lang w:eastAsia="zh-CN" w:bidi="ar-SA"/>
                          </w:rPr>
                          <w:t>贮</w:t>
                        </w:r>
                      </w:p>
                      <w:p w14:paraId="5872BE25">
                        <w:pPr>
                          <w:keepNext w:val="0"/>
                          <w:keepLines w:val="0"/>
                          <w:shd w:val="clear"/>
                          <w:bidi w:val="0"/>
                          <w:spacing w:before="0" w:after="0" w:line="360" w:lineRule="exact"/>
                          <w:ind w:left="0" w:right="0" w:firstLine="0" w:firstLineChars="0"/>
                          <w:jc w:val="center"/>
                          <w:rPr>
                            <w:rFonts w:ascii="Times New Roman" w:hAnsi="Times New Roman" w:eastAsia="仿宋" w:cs="Times New Roman"/>
                            <w:spacing w:val="0"/>
                            <w:w w:val="100"/>
                            <w:kern w:val="2"/>
                            <w:position w:val="0"/>
                            <w:szCs w:val="21"/>
                            <w:shd w:val="clear"/>
                            <w:lang w:eastAsia="zh-CN" w:bidi="ar-SA"/>
                          </w:rPr>
                        </w:pPr>
                        <w:r>
                          <w:rPr>
                            <w:rFonts w:hint="eastAsia" w:ascii="Times New Roman" w:hAnsi="Times New Roman" w:eastAsia="仿宋" w:cs="Times New Roman"/>
                            <w:spacing w:val="0"/>
                            <w:w w:val="100"/>
                            <w:kern w:val="2"/>
                            <w:position w:val="0"/>
                            <w:szCs w:val="21"/>
                            <w:shd w:val="clear"/>
                            <w:lang w:eastAsia="zh-CN" w:bidi="ar-SA"/>
                          </w:rPr>
                          <w:t>坑</w:t>
                        </w:r>
                      </w:p>
                    </w:txbxContent>
                  </v:textbox>
                </v:rect>
                <w10:wrap type="none"/>
                <w10:anchorlock/>
              </v:group>
            </w:pict>
          </mc:Fallback>
        </mc:AlternateContent>
      </w:r>
    </w:p>
    <w:p w14:paraId="380FE748">
      <w:pPr>
        <w:pStyle w:val="27"/>
        <w:bidi w:val="0"/>
        <w:jc w:val="center"/>
        <w:rPr>
          <w:rFonts w:hint="eastAsia"/>
          <w:sz w:val="24"/>
          <w:szCs w:val="24"/>
        </w:rPr>
      </w:pPr>
      <w:r>
        <w:rPr>
          <w:rFonts w:hint="eastAsia" w:ascii="仿宋_GB2312" w:hAnsi="仿宋_GB2312" w:eastAsia="仿宋_GB2312" w:cs="仿宋_GB2312"/>
          <w:sz w:val="24"/>
          <w:szCs w:val="24"/>
        </w:rPr>
        <w:t>焚烧炉正常运行时臭气治理方案示意图</w:t>
      </w:r>
    </w:p>
    <w:p w14:paraId="17C15FE9">
      <w:pPr>
        <w:pStyle w:val="2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4"/>
          <w:szCs w:val="24"/>
        </w:rPr>
      </w:pPr>
      <w:r>
        <w:drawing>
          <wp:inline distT="0" distB="0" distL="0" distR="0">
            <wp:extent cx="5274310" cy="1377950"/>
            <wp:effectExtent l="0" t="0" r="2540" b="1270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0"/>
                    <a:stretch>
                      <a:fillRect/>
                    </a:stretch>
                  </pic:blipFill>
                  <pic:spPr>
                    <a:xfrm>
                      <a:off x="0" y="0"/>
                      <a:ext cx="5274310" cy="1377950"/>
                    </a:xfrm>
                    <a:prstGeom prst="rect">
                      <a:avLst/>
                    </a:prstGeom>
                  </pic:spPr>
                </pic:pic>
              </a:graphicData>
            </a:graphic>
          </wp:inline>
        </w:drawing>
      </w:r>
    </w:p>
    <w:p w14:paraId="6229AB33">
      <w:pPr>
        <w:pStyle w:val="27"/>
        <w:bidi w:val="0"/>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焚烧炉非正常运行时臭气治理方案示意图</w:t>
      </w:r>
    </w:p>
    <w:p w14:paraId="16C807FB">
      <w:pPr>
        <w:pStyle w:val="27"/>
        <w:bidi w:val="0"/>
        <w:rPr>
          <w:rFonts w:hint="eastAsia" w:ascii="仿宋_GB2312" w:hAnsi="仿宋_GB2312" w:eastAsia="仿宋_GB2312" w:cs="仿宋_GB2312"/>
        </w:rPr>
      </w:pPr>
      <w:r>
        <w:rPr>
          <w:rFonts w:hint="eastAsia" w:ascii="仿宋_GB2312" w:hAnsi="仿宋_GB2312" w:eastAsia="仿宋_GB2312" w:cs="仿宋_GB2312"/>
        </w:rPr>
        <w:t>（2）烟气净化系统措施</w:t>
      </w:r>
    </w:p>
    <w:p w14:paraId="0DB1EA54">
      <w:pPr>
        <w:pStyle w:val="27"/>
        <w:bidi w:val="0"/>
        <w:rPr>
          <w:rFonts w:hint="eastAsia" w:ascii="仿宋_GB2312" w:hAnsi="仿宋_GB2312" w:eastAsia="仿宋_GB2312" w:cs="仿宋_GB2312"/>
        </w:rPr>
      </w:pPr>
      <w:r>
        <w:rPr>
          <w:rFonts w:hint="eastAsia" w:ascii="仿宋_GB2312" w:hAnsi="仿宋_GB2312" w:eastAsia="仿宋_GB2312" w:cs="仿宋_GB2312"/>
        </w:rPr>
        <w:t>采用“炉内脱硝（SNCR）+（半干法+干法）脱酸+活性炭吸附+布袋除尘器”进行烟气净化处理，在事故或应急状态下，可采用干法脱酸工艺。净化达标后的烟气经100m高的烟囱排至大气。焚烧炉烟气出口温度可控制在850℃～1000℃之间、且停留时间不少于2秒，炉渣热灼减率满足≤5%的要求。</w:t>
      </w:r>
    </w:p>
    <w:p w14:paraId="2561A2C2">
      <w:pPr>
        <w:pStyle w:val="27"/>
        <w:bidi w:val="0"/>
        <w:rPr>
          <w:rFonts w:hint="eastAsia" w:ascii="仿宋_GB2312" w:hAnsi="仿宋_GB2312" w:eastAsia="仿宋_GB2312" w:cs="仿宋_GB2312"/>
        </w:rPr>
      </w:pPr>
      <w:r>
        <w:rPr>
          <w:rFonts w:hint="eastAsia" w:ascii="仿宋_GB2312" w:hAnsi="仿宋_GB2312" w:eastAsia="仿宋_GB2312" w:cs="仿宋_GB2312"/>
        </w:rPr>
        <w:t>具体过程详见“</w:t>
      </w:r>
      <w:r>
        <w:rPr>
          <w:rFonts w:hint="eastAsia" w:ascii="仿宋_GB2312" w:hAnsi="仿宋_GB2312" w:eastAsia="仿宋_GB2312" w:cs="仿宋_GB2312"/>
          <w:lang w:val="en-US" w:eastAsia="zh-CN"/>
        </w:rPr>
        <w:t>2</w:t>
      </w:r>
      <w:r>
        <w:rPr>
          <w:rFonts w:hint="eastAsia" w:ascii="仿宋_GB2312" w:hAnsi="仿宋_GB2312" w:eastAsia="仿宋_GB2312" w:cs="仿宋_GB2312"/>
        </w:rPr>
        <w:t>.</w:t>
      </w:r>
      <w:r>
        <w:rPr>
          <w:rFonts w:hint="eastAsia" w:ascii="仿宋_GB2312" w:hAnsi="仿宋_GB2312" w:eastAsia="仿宋_GB2312" w:cs="仿宋_GB2312"/>
          <w:lang w:val="en-US" w:eastAsia="zh-CN"/>
        </w:rPr>
        <w:t>4</w:t>
      </w:r>
      <w:r>
        <w:rPr>
          <w:rFonts w:hint="eastAsia" w:ascii="仿宋_GB2312" w:hAnsi="仿宋_GB2312" w:eastAsia="仿宋_GB2312" w:cs="仿宋_GB2312"/>
        </w:rPr>
        <w:t>.5炉内脱硝系统</w:t>
      </w:r>
      <w:r>
        <w:rPr>
          <w:rFonts w:hint="eastAsia" w:ascii="仿宋_GB2312" w:hAnsi="仿宋_GB2312" w:eastAsia="仿宋_GB2312" w:cs="仿宋_GB2312"/>
          <w:lang w:val="en-US" w:eastAsia="zh-CN"/>
        </w:rPr>
        <w:t>和2</w:t>
      </w:r>
      <w:r>
        <w:rPr>
          <w:rFonts w:hint="eastAsia" w:ascii="仿宋_GB2312" w:hAnsi="仿宋_GB2312" w:eastAsia="仿宋_GB2312" w:cs="仿宋_GB2312"/>
        </w:rPr>
        <w:t>.</w:t>
      </w:r>
      <w:r>
        <w:rPr>
          <w:rFonts w:hint="eastAsia" w:ascii="仿宋_GB2312" w:hAnsi="仿宋_GB2312" w:eastAsia="仿宋_GB2312" w:cs="仿宋_GB2312"/>
          <w:lang w:val="en-US" w:eastAsia="zh-CN"/>
        </w:rPr>
        <w:t>3</w:t>
      </w:r>
      <w:r>
        <w:rPr>
          <w:rFonts w:hint="eastAsia" w:ascii="仿宋_GB2312" w:hAnsi="仿宋_GB2312" w:eastAsia="仿宋_GB2312" w:cs="仿宋_GB2312"/>
        </w:rPr>
        <w:t>.6烟气净化系统”中具体介绍。</w:t>
      </w:r>
    </w:p>
    <w:p w14:paraId="784F246A">
      <w:pPr>
        <w:pStyle w:val="29"/>
        <w:keepNext/>
        <w:keepLines/>
        <w:widowControl w:val="0"/>
        <w:shd w:val="clear" w:color="auto" w:fill="auto"/>
        <w:bidi w:val="0"/>
        <w:spacing w:before="0" w:after="0" w:line="240" w:lineRule="auto"/>
        <w:ind w:left="0" w:right="0" w:firstLine="620"/>
        <w:jc w:val="both"/>
        <w:rPr>
          <w:rFonts w:hint="eastAsia" w:ascii="仿宋_GB2312" w:hAnsi="仿宋_GB2312" w:eastAsia="仿宋_GB2312" w:cs="仿宋_GB2312"/>
          <w:sz w:val="28"/>
          <w:szCs w:val="28"/>
        </w:rPr>
      </w:pPr>
      <w:bookmarkStart w:id="149" w:name="bookmark182"/>
      <w:bookmarkStart w:id="150" w:name="_Toc30824"/>
      <w:bookmarkStart w:id="151" w:name="bookmark179"/>
      <w:bookmarkStart w:id="152" w:name="bookmark180"/>
      <w:r>
        <w:rPr>
          <w:rFonts w:hint="eastAsia" w:ascii="仿宋_GB2312" w:hAnsi="仿宋_GB2312" w:eastAsia="仿宋_GB2312" w:cs="仿宋_GB2312"/>
          <w:color w:val="000000"/>
          <w:spacing w:val="0"/>
          <w:w w:val="100"/>
          <w:position w:val="0"/>
          <w:sz w:val="26"/>
          <w:szCs w:val="26"/>
          <w:lang w:val="en-US" w:eastAsia="en-US" w:bidi="en-US"/>
        </w:rPr>
        <w:t>2.6.</w:t>
      </w:r>
      <w:r>
        <w:rPr>
          <w:rFonts w:hint="eastAsia" w:ascii="仿宋_GB2312" w:hAnsi="仿宋_GB2312" w:eastAsia="仿宋_GB2312" w:cs="仿宋_GB2312"/>
          <w:color w:val="000000"/>
          <w:spacing w:val="0"/>
          <w:w w:val="100"/>
          <w:position w:val="0"/>
          <w:sz w:val="26"/>
          <w:szCs w:val="26"/>
        </w:rPr>
        <w:t>3</w:t>
      </w:r>
      <w:r>
        <w:rPr>
          <w:rFonts w:hint="eastAsia" w:ascii="仿宋_GB2312" w:hAnsi="仿宋_GB2312" w:eastAsia="仿宋_GB2312" w:cs="仿宋_GB2312"/>
          <w:color w:val="000000"/>
          <w:spacing w:val="0"/>
          <w:w w:val="100"/>
          <w:position w:val="0"/>
          <w:sz w:val="28"/>
          <w:szCs w:val="28"/>
        </w:rPr>
        <w:t>固体废物污染防治措施</w:t>
      </w:r>
      <w:bookmarkEnd w:id="149"/>
      <w:bookmarkEnd w:id="150"/>
      <w:bookmarkEnd w:id="151"/>
      <w:bookmarkEnd w:id="152"/>
    </w:p>
    <w:p w14:paraId="24E87178">
      <w:pPr>
        <w:pStyle w:val="27"/>
        <w:bidi w:val="0"/>
        <w:rPr>
          <w:rFonts w:hint="eastAsia" w:ascii="仿宋_GB2312" w:hAnsi="仿宋_GB2312" w:eastAsia="仿宋_GB2312" w:cs="仿宋_GB2312"/>
        </w:rPr>
      </w:pPr>
      <w:r>
        <w:rPr>
          <w:rFonts w:hint="eastAsia" w:ascii="仿宋_GB2312" w:hAnsi="仿宋_GB2312" w:eastAsia="仿宋_GB2312" w:cs="仿宋_GB2312"/>
        </w:rPr>
        <w:t>本项目固废主要包括炉渣、飞灰、生活垃圾及其他废物。</w:t>
      </w:r>
    </w:p>
    <w:p w14:paraId="67B9AB03">
      <w:pPr>
        <w:pStyle w:val="27"/>
        <w:bidi w:val="0"/>
        <w:rPr>
          <w:rFonts w:hint="eastAsia" w:ascii="仿宋_GB2312" w:hAnsi="仿宋_GB2312" w:eastAsia="仿宋_GB2312" w:cs="仿宋_GB2312"/>
        </w:rPr>
      </w:pPr>
      <w:r>
        <w:rPr>
          <w:rFonts w:hint="eastAsia" w:ascii="仿宋_GB2312" w:hAnsi="仿宋_GB2312" w:eastAsia="仿宋_GB2312" w:cs="仿宋_GB2312"/>
        </w:rPr>
        <w:t>（1）炉渣</w:t>
      </w:r>
    </w:p>
    <w:p w14:paraId="20326C0B">
      <w:pPr>
        <w:pStyle w:val="27"/>
        <w:bidi w:val="0"/>
        <w:rPr>
          <w:rFonts w:hint="eastAsia" w:ascii="仿宋_GB2312" w:hAnsi="仿宋_GB2312" w:eastAsia="仿宋_GB2312" w:cs="仿宋_GB2312"/>
        </w:rPr>
      </w:pPr>
      <w:r>
        <w:rPr>
          <w:rFonts w:hint="eastAsia" w:ascii="仿宋_GB2312" w:hAnsi="仿宋_GB2312" w:eastAsia="仿宋_GB2312" w:cs="仿宋_GB2312"/>
        </w:rPr>
        <w:t>项目产生的炉渣经除铁、筛分、粗渣破碎等工艺预处理后作为一般固废，用于水泥的替代骨料，外售给重庆市万州区绿茵再生资源利用有限公司、重庆海创环保科技有限责任公司用于资源综合利用。</w:t>
      </w:r>
    </w:p>
    <w:p w14:paraId="3A3DB20F">
      <w:pPr>
        <w:pStyle w:val="27"/>
        <w:bidi w:val="0"/>
        <w:rPr>
          <w:rFonts w:hint="eastAsia" w:ascii="仿宋_GB2312" w:hAnsi="仿宋_GB2312" w:eastAsia="仿宋_GB2312" w:cs="仿宋_GB2312"/>
        </w:rPr>
      </w:pPr>
      <w:r>
        <w:rPr>
          <w:rFonts w:hint="eastAsia" w:ascii="仿宋_GB2312" w:hAnsi="仿宋_GB2312" w:eastAsia="仿宋_GB2312" w:cs="仿宋_GB2312"/>
        </w:rPr>
        <w:t>（2）飞灰</w:t>
      </w:r>
    </w:p>
    <w:p w14:paraId="3BAE264A">
      <w:pPr>
        <w:pStyle w:val="27"/>
        <w:bidi w:val="0"/>
        <w:rPr>
          <w:rFonts w:hint="eastAsia" w:ascii="仿宋_GB2312" w:hAnsi="仿宋_GB2312" w:eastAsia="仿宋_GB2312" w:cs="仿宋_GB2312"/>
        </w:rPr>
      </w:pPr>
      <w:r>
        <w:rPr>
          <w:rFonts w:hint="eastAsia" w:ascii="仿宋_GB2312" w:hAnsi="仿宋_GB2312" w:eastAsia="仿宋_GB2312" w:cs="仿宋_GB2312"/>
        </w:rPr>
        <w:t>项目反应塔和布袋除尘器中收集到的干燥反应产物，输到灰仓。满足《水泥窑协同处置固体废物污染控制标准》（GB30485-2013），可进入水泥窑协同处置，由重庆海创环保科技有限责任公司负责转运处置。对于不能满足规定的飞灰，按危险废物管理，送交给重庆中明港桥环保有限责任公司处置。</w:t>
      </w:r>
    </w:p>
    <w:p w14:paraId="4D8521F3">
      <w:pPr>
        <w:pStyle w:val="27"/>
        <w:bidi w:val="0"/>
        <w:rPr>
          <w:rFonts w:hint="eastAsia" w:ascii="仿宋_GB2312" w:hAnsi="仿宋_GB2312" w:eastAsia="仿宋_GB2312" w:cs="仿宋_GB2312"/>
        </w:rPr>
      </w:pPr>
      <w:r>
        <w:rPr>
          <w:rFonts w:hint="eastAsia" w:ascii="仿宋_GB2312" w:hAnsi="仿宋_GB2312" w:eastAsia="仿宋_GB2312" w:cs="仿宋_GB2312"/>
        </w:rPr>
        <w:t>（3）生活垃圾</w:t>
      </w:r>
    </w:p>
    <w:p w14:paraId="2BA61F55">
      <w:pPr>
        <w:pStyle w:val="27"/>
        <w:bidi w:val="0"/>
        <w:rPr>
          <w:rFonts w:hint="eastAsia" w:ascii="仿宋_GB2312" w:hAnsi="仿宋_GB2312" w:eastAsia="仿宋_GB2312" w:cs="仿宋_GB2312"/>
        </w:rPr>
      </w:pPr>
      <w:r>
        <w:rPr>
          <w:rFonts w:hint="eastAsia" w:ascii="仿宋_GB2312" w:hAnsi="仿宋_GB2312" w:eastAsia="仿宋_GB2312" w:cs="仿宋_GB2312"/>
        </w:rPr>
        <w:t>生活垃圾由厂区生活垃圾收集桶收集后，厂区内焚烧处理。</w:t>
      </w:r>
    </w:p>
    <w:p w14:paraId="31524F07">
      <w:pPr>
        <w:pStyle w:val="27"/>
        <w:bidi w:val="0"/>
        <w:rPr>
          <w:rFonts w:hint="eastAsia" w:ascii="仿宋_GB2312" w:hAnsi="仿宋_GB2312" w:eastAsia="仿宋_GB2312" w:cs="仿宋_GB2312"/>
        </w:rPr>
      </w:pPr>
      <w:r>
        <w:rPr>
          <w:rFonts w:hint="eastAsia" w:ascii="仿宋_GB2312" w:hAnsi="仿宋_GB2312" w:eastAsia="仿宋_GB2312" w:cs="仿宋_GB2312"/>
        </w:rPr>
        <w:t>（4）其他固体废物</w:t>
      </w:r>
    </w:p>
    <w:p w14:paraId="713B8151">
      <w:pPr>
        <w:pStyle w:val="27"/>
        <w:bidi w:val="0"/>
        <w:rPr>
          <w:rFonts w:hint="eastAsia" w:ascii="仿宋_GB2312" w:hAnsi="仿宋_GB2312" w:eastAsia="仿宋_GB2312" w:cs="仿宋_GB2312"/>
        </w:rPr>
      </w:pPr>
      <w:r>
        <w:rPr>
          <w:rFonts w:hint="eastAsia" w:ascii="仿宋_GB2312" w:hAnsi="仿宋_GB2312" w:eastAsia="仿宋_GB2312" w:cs="仿宋_GB2312"/>
        </w:rPr>
        <w:t>其他固体废废物中包括废滤料、废树脂、废滤料、含油废水、废机油、废活性炭等以上固体废物均由重庆海创环保科技有限责任公司处置。活性炭除臭装置产生的废活性炭属于一般固废，送焚烧炉燃烧。飞灰的布袋除尘器更换下来的废布袋属于危险废物，由重庆海创环保科技有限责任公司回收处置。</w:t>
      </w:r>
    </w:p>
    <w:p w14:paraId="30505B93">
      <w:pPr>
        <w:pStyle w:val="27"/>
        <w:bidi w:val="0"/>
        <w:rPr>
          <w:rFonts w:hint="eastAsia" w:ascii="仿宋_GB2312" w:hAnsi="仿宋_GB2312" w:eastAsia="仿宋_GB2312" w:cs="仿宋_GB2312"/>
        </w:rPr>
      </w:pPr>
      <w:r>
        <w:rPr>
          <w:rFonts w:hint="eastAsia" w:ascii="仿宋_GB2312" w:hAnsi="仿宋_GB2312" w:eastAsia="仿宋_GB2312" w:cs="仿宋_GB2312"/>
        </w:rPr>
        <w:t>固废处置情况如下：</w:t>
      </w:r>
    </w:p>
    <w:p w14:paraId="0E9FA31E">
      <w:pPr>
        <w:pStyle w:val="27"/>
        <w:bidi w:val="0"/>
        <w:ind w:left="0" w:leftChars="0"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项目固废处置情况一览表</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2409"/>
        <w:gridCol w:w="4263"/>
        <w:gridCol w:w="987"/>
      </w:tblGrid>
      <w:tr w14:paraId="1C1D9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0E7A5E3E">
            <w:pPr>
              <w:keepNext w:val="0"/>
              <w:keepLines w:val="0"/>
              <w:shd w:val="clear"/>
              <w:bidi w:val="0"/>
              <w:spacing w:before="0" w:after="0" w:line="240" w:lineRule="auto"/>
              <w:ind w:left="0" w:right="0" w:firstLine="0" w:firstLineChars="0"/>
              <w:jc w:val="center"/>
              <w:rPr>
                <w:rFonts w:hint="eastAsia" w:ascii="仿宋_GB2312" w:hAnsi="仿宋_GB2312" w:eastAsia="仿宋_GB2312" w:cs="仿宋_GB2312"/>
                <w:spacing w:val="0"/>
                <w:w w:val="100"/>
                <w:kern w:val="2"/>
                <w:position w:val="0"/>
                <w:sz w:val="21"/>
                <w:szCs w:val="21"/>
                <w:shd w:val="clear"/>
                <w:lang w:eastAsia="zh-CN" w:bidi="ar-SA"/>
              </w:rPr>
            </w:pPr>
            <w:r>
              <w:rPr>
                <w:rFonts w:hint="eastAsia" w:ascii="仿宋_GB2312" w:hAnsi="仿宋_GB2312" w:eastAsia="仿宋_GB2312" w:cs="仿宋_GB2312"/>
                <w:spacing w:val="0"/>
                <w:w w:val="100"/>
                <w:kern w:val="2"/>
                <w:position w:val="0"/>
                <w:sz w:val="21"/>
                <w:szCs w:val="21"/>
                <w:shd w:val="clear"/>
                <w:lang w:eastAsia="zh-CN" w:bidi="ar-SA"/>
              </w:rPr>
              <w:t>序号</w:t>
            </w:r>
          </w:p>
        </w:tc>
        <w:tc>
          <w:tcPr>
            <w:tcW w:w="2409" w:type="dxa"/>
            <w:vAlign w:val="center"/>
          </w:tcPr>
          <w:p w14:paraId="0AA0668D">
            <w:pPr>
              <w:keepNext w:val="0"/>
              <w:keepLines w:val="0"/>
              <w:shd w:val="clear"/>
              <w:bidi w:val="0"/>
              <w:spacing w:before="0" w:after="0" w:line="240" w:lineRule="auto"/>
              <w:ind w:left="0" w:right="0" w:firstLine="0" w:firstLineChars="0"/>
              <w:jc w:val="center"/>
              <w:rPr>
                <w:rFonts w:hint="eastAsia" w:ascii="仿宋_GB2312" w:hAnsi="仿宋_GB2312" w:eastAsia="仿宋_GB2312" w:cs="仿宋_GB2312"/>
                <w:spacing w:val="0"/>
                <w:w w:val="100"/>
                <w:kern w:val="2"/>
                <w:position w:val="0"/>
                <w:sz w:val="21"/>
                <w:szCs w:val="21"/>
                <w:shd w:val="clear"/>
                <w:lang w:eastAsia="zh-CN" w:bidi="ar-SA"/>
              </w:rPr>
            </w:pPr>
            <w:r>
              <w:rPr>
                <w:rFonts w:hint="eastAsia" w:ascii="仿宋_GB2312" w:hAnsi="仿宋_GB2312" w:eastAsia="仿宋_GB2312" w:cs="仿宋_GB2312"/>
                <w:spacing w:val="0"/>
                <w:w w:val="100"/>
                <w:kern w:val="2"/>
                <w:position w:val="0"/>
                <w:sz w:val="21"/>
                <w:szCs w:val="21"/>
                <w:shd w:val="clear"/>
                <w:lang w:eastAsia="zh-CN" w:bidi="ar-SA"/>
              </w:rPr>
              <w:t>污染物名称</w:t>
            </w:r>
          </w:p>
        </w:tc>
        <w:tc>
          <w:tcPr>
            <w:tcW w:w="4263" w:type="dxa"/>
            <w:vAlign w:val="center"/>
          </w:tcPr>
          <w:p w14:paraId="74B31B12">
            <w:pPr>
              <w:keepNext w:val="0"/>
              <w:keepLines w:val="0"/>
              <w:shd w:val="clear"/>
              <w:bidi w:val="0"/>
              <w:spacing w:before="0" w:after="0" w:line="240" w:lineRule="auto"/>
              <w:ind w:left="0" w:right="0" w:firstLine="0" w:firstLineChars="0"/>
              <w:jc w:val="center"/>
              <w:rPr>
                <w:rFonts w:hint="eastAsia" w:ascii="仿宋_GB2312" w:hAnsi="仿宋_GB2312" w:eastAsia="仿宋_GB2312" w:cs="仿宋_GB2312"/>
                <w:spacing w:val="0"/>
                <w:w w:val="100"/>
                <w:kern w:val="2"/>
                <w:position w:val="0"/>
                <w:sz w:val="21"/>
                <w:szCs w:val="21"/>
                <w:shd w:val="clear"/>
                <w:lang w:eastAsia="zh-CN" w:bidi="ar-SA"/>
              </w:rPr>
            </w:pPr>
            <w:r>
              <w:rPr>
                <w:rFonts w:hint="eastAsia" w:ascii="仿宋_GB2312" w:hAnsi="仿宋_GB2312" w:eastAsia="仿宋_GB2312" w:cs="仿宋_GB2312"/>
                <w:spacing w:val="0"/>
                <w:w w:val="100"/>
                <w:kern w:val="2"/>
                <w:position w:val="0"/>
                <w:sz w:val="21"/>
                <w:szCs w:val="21"/>
                <w:shd w:val="clear"/>
                <w:lang w:eastAsia="zh-CN" w:bidi="ar-SA"/>
              </w:rPr>
              <w:t>处理处置方式</w:t>
            </w:r>
          </w:p>
        </w:tc>
        <w:tc>
          <w:tcPr>
            <w:tcW w:w="987" w:type="dxa"/>
            <w:vAlign w:val="center"/>
          </w:tcPr>
          <w:p w14:paraId="6F44B00A">
            <w:pPr>
              <w:keepNext w:val="0"/>
              <w:keepLines w:val="0"/>
              <w:shd w:val="clear"/>
              <w:bidi w:val="0"/>
              <w:spacing w:before="0" w:after="0" w:line="240" w:lineRule="auto"/>
              <w:ind w:left="0" w:right="0" w:firstLine="0" w:firstLineChars="0"/>
              <w:jc w:val="center"/>
              <w:rPr>
                <w:rFonts w:hint="eastAsia" w:ascii="仿宋_GB2312" w:hAnsi="仿宋_GB2312" w:eastAsia="仿宋_GB2312" w:cs="仿宋_GB2312"/>
                <w:spacing w:val="0"/>
                <w:w w:val="100"/>
                <w:kern w:val="2"/>
                <w:position w:val="0"/>
                <w:sz w:val="21"/>
                <w:szCs w:val="21"/>
                <w:shd w:val="clear"/>
                <w:lang w:eastAsia="zh-CN" w:bidi="ar-SA"/>
              </w:rPr>
            </w:pPr>
            <w:r>
              <w:rPr>
                <w:rFonts w:hint="eastAsia" w:ascii="仿宋_GB2312" w:hAnsi="仿宋_GB2312" w:eastAsia="仿宋_GB2312" w:cs="仿宋_GB2312"/>
                <w:spacing w:val="0"/>
                <w:w w:val="100"/>
                <w:kern w:val="2"/>
                <w:position w:val="0"/>
                <w:sz w:val="21"/>
                <w:szCs w:val="21"/>
                <w:shd w:val="clear"/>
                <w:lang w:val="en-US" w:eastAsia="zh-CN" w:bidi="ar-SA"/>
              </w:rPr>
              <w:t>备注</w:t>
            </w:r>
          </w:p>
        </w:tc>
      </w:tr>
      <w:tr w14:paraId="66A9D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2431EAEF">
            <w:pPr>
              <w:keepNext w:val="0"/>
              <w:keepLines w:val="0"/>
              <w:shd w:val="clear"/>
              <w:bidi w:val="0"/>
              <w:spacing w:before="0" w:after="0" w:line="240" w:lineRule="auto"/>
              <w:ind w:left="0" w:right="0" w:firstLine="0" w:firstLineChars="0"/>
              <w:jc w:val="center"/>
              <w:rPr>
                <w:rFonts w:hint="eastAsia" w:ascii="仿宋_GB2312" w:hAnsi="仿宋_GB2312" w:eastAsia="仿宋_GB2312" w:cs="仿宋_GB2312"/>
                <w:spacing w:val="0"/>
                <w:w w:val="100"/>
                <w:kern w:val="2"/>
                <w:position w:val="0"/>
                <w:sz w:val="21"/>
                <w:szCs w:val="21"/>
                <w:shd w:val="clear"/>
                <w:lang w:eastAsia="zh-CN" w:bidi="ar-SA"/>
              </w:rPr>
            </w:pPr>
            <w:r>
              <w:rPr>
                <w:rFonts w:hint="eastAsia" w:ascii="仿宋_GB2312" w:hAnsi="仿宋_GB2312" w:eastAsia="仿宋_GB2312" w:cs="仿宋_GB2312"/>
                <w:spacing w:val="0"/>
                <w:w w:val="100"/>
                <w:kern w:val="2"/>
                <w:position w:val="0"/>
                <w:sz w:val="21"/>
                <w:szCs w:val="21"/>
                <w:shd w:val="clear"/>
                <w:lang w:eastAsia="zh-CN" w:bidi="ar-SA"/>
              </w:rPr>
              <w:t>1</w:t>
            </w:r>
          </w:p>
        </w:tc>
        <w:tc>
          <w:tcPr>
            <w:tcW w:w="2409" w:type="dxa"/>
            <w:vAlign w:val="center"/>
          </w:tcPr>
          <w:p w14:paraId="3896B4DE">
            <w:pPr>
              <w:keepNext w:val="0"/>
              <w:keepLines w:val="0"/>
              <w:shd w:val="clear"/>
              <w:bidi w:val="0"/>
              <w:spacing w:before="0" w:after="0" w:line="240" w:lineRule="auto"/>
              <w:ind w:left="0" w:right="0" w:firstLine="0" w:firstLineChars="0"/>
              <w:jc w:val="center"/>
              <w:rPr>
                <w:rFonts w:hint="eastAsia" w:ascii="仿宋_GB2312" w:hAnsi="仿宋_GB2312" w:eastAsia="仿宋_GB2312" w:cs="仿宋_GB2312"/>
                <w:spacing w:val="0"/>
                <w:w w:val="100"/>
                <w:kern w:val="2"/>
                <w:position w:val="0"/>
                <w:sz w:val="21"/>
                <w:szCs w:val="21"/>
                <w:shd w:val="clear"/>
                <w:lang w:eastAsia="zh-CN" w:bidi="ar-SA"/>
              </w:rPr>
            </w:pPr>
            <w:r>
              <w:rPr>
                <w:rFonts w:hint="eastAsia" w:ascii="仿宋_GB2312" w:hAnsi="仿宋_GB2312" w:eastAsia="仿宋_GB2312" w:cs="仿宋_GB2312"/>
                <w:spacing w:val="0"/>
                <w:w w:val="100"/>
                <w:kern w:val="2"/>
                <w:position w:val="0"/>
                <w:sz w:val="21"/>
                <w:szCs w:val="21"/>
                <w:shd w:val="clear"/>
                <w:lang w:eastAsia="zh-CN" w:bidi="ar-SA"/>
              </w:rPr>
              <w:t>炉渣</w:t>
            </w:r>
          </w:p>
        </w:tc>
        <w:tc>
          <w:tcPr>
            <w:tcW w:w="4263" w:type="dxa"/>
            <w:vAlign w:val="center"/>
          </w:tcPr>
          <w:p w14:paraId="07C6A00C">
            <w:pPr>
              <w:keepNext w:val="0"/>
              <w:keepLines w:val="0"/>
              <w:shd w:val="clear"/>
              <w:bidi w:val="0"/>
              <w:spacing w:before="0" w:after="0" w:line="240" w:lineRule="auto"/>
              <w:ind w:left="0" w:right="0" w:firstLine="0" w:firstLineChars="0"/>
              <w:jc w:val="left"/>
              <w:rPr>
                <w:rFonts w:hint="eastAsia" w:ascii="仿宋_GB2312" w:hAnsi="仿宋_GB2312" w:eastAsia="仿宋_GB2312" w:cs="仿宋_GB2312"/>
                <w:spacing w:val="0"/>
                <w:w w:val="100"/>
                <w:kern w:val="2"/>
                <w:position w:val="0"/>
                <w:sz w:val="21"/>
                <w:szCs w:val="21"/>
                <w:shd w:val="clear"/>
                <w:lang w:eastAsia="zh-CN" w:bidi="ar-SA"/>
              </w:rPr>
            </w:pPr>
            <w:r>
              <w:rPr>
                <w:rFonts w:hint="eastAsia" w:ascii="仿宋_GB2312" w:hAnsi="仿宋_GB2312" w:eastAsia="仿宋_GB2312" w:cs="仿宋_GB2312"/>
                <w:spacing w:val="0"/>
                <w:w w:val="100"/>
                <w:kern w:val="2"/>
                <w:position w:val="0"/>
                <w:sz w:val="21"/>
                <w:szCs w:val="21"/>
                <w:shd w:val="clear"/>
                <w:lang w:eastAsia="zh-CN" w:bidi="ar-SA"/>
              </w:rPr>
              <w:t>外售给重庆市万州区绿茵再生资源利用有限公司、重庆海创环保科技有限责任公司用于资源综合利用。</w:t>
            </w:r>
          </w:p>
        </w:tc>
        <w:tc>
          <w:tcPr>
            <w:tcW w:w="987" w:type="dxa"/>
            <w:vAlign w:val="center"/>
          </w:tcPr>
          <w:p w14:paraId="734B2191">
            <w:pPr>
              <w:keepNext w:val="0"/>
              <w:keepLines w:val="0"/>
              <w:shd w:val="clear"/>
              <w:bidi w:val="0"/>
              <w:spacing w:before="0" w:after="0" w:line="240" w:lineRule="auto"/>
              <w:ind w:left="0" w:right="0" w:firstLine="0" w:firstLineChars="0"/>
              <w:jc w:val="center"/>
              <w:rPr>
                <w:rFonts w:hint="eastAsia" w:ascii="仿宋_GB2312" w:hAnsi="仿宋_GB2312" w:eastAsia="仿宋_GB2312" w:cs="仿宋_GB2312"/>
                <w:spacing w:val="0"/>
                <w:w w:val="100"/>
                <w:kern w:val="2"/>
                <w:position w:val="0"/>
                <w:sz w:val="21"/>
                <w:szCs w:val="21"/>
                <w:shd w:val="clear"/>
                <w:lang w:eastAsia="zh-CN" w:bidi="ar-SA"/>
              </w:rPr>
            </w:pPr>
          </w:p>
        </w:tc>
      </w:tr>
      <w:tr w14:paraId="2F00D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0FEDF297">
            <w:pPr>
              <w:keepNext w:val="0"/>
              <w:keepLines w:val="0"/>
              <w:shd w:val="clear"/>
              <w:bidi w:val="0"/>
              <w:spacing w:before="0" w:after="0" w:line="240" w:lineRule="auto"/>
              <w:ind w:left="0" w:right="0" w:firstLine="0" w:firstLineChars="0"/>
              <w:jc w:val="center"/>
              <w:rPr>
                <w:rFonts w:hint="eastAsia" w:ascii="仿宋_GB2312" w:hAnsi="仿宋_GB2312" w:eastAsia="仿宋_GB2312" w:cs="仿宋_GB2312"/>
                <w:spacing w:val="0"/>
                <w:w w:val="100"/>
                <w:kern w:val="2"/>
                <w:position w:val="0"/>
                <w:sz w:val="21"/>
                <w:szCs w:val="21"/>
                <w:shd w:val="clear"/>
                <w:lang w:eastAsia="zh-CN" w:bidi="ar-SA"/>
              </w:rPr>
            </w:pPr>
            <w:r>
              <w:rPr>
                <w:rFonts w:hint="eastAsia" w:ascii="仿宋_GB2312" w:hAnsi="仿宋_GB2312" w:eastAsia="仿宋_GB2312" w:cs="仿宋_GB2312"/>
                <w:spacing w:val="0"/>
                <w:w w:val="100"/>
                <w:kern w:val="2"/>
                <w:position w:val="0"/>
                <w:sz w:val="21"/>
                <w:szCs w:val="21"/>
                <w:shd w:val="clear"/>
                <w:lang w:eastAsia="zh-CN" w:bidi="ar-SA"/>
              </w:rPr>
              <w:t>2</w:t>
            </w:r>
          </w:p>
        </w:tc>
        <w:tc>
          <w:tcPr>
            <w:tcW w:w="2409" w:type="dxa"/>
            <w:vAlign w:val="center"/>
          </w:tcPr>
          <w:p w14:paraId="639BF502">
            <w:pPr>
              <w:keepNext w:val="0"/>
              <w:keepLines w:val="0"/>
              <w:shd w:val="clear"/>
              <w:bidi w:val="0"/>
              <w:spacing w:before="0" w:after="0" w:line="240" w:lineRule="auto"/>
              <w:ind w:left="0" w:right="0" w:firstLine="0" w:firstLineChars="0"/>
              <w:jc w:val="center"/>
              <w:rPr>
                <w:rFonts w:hint="eastAsia" w:ascii="仿宋_GB2312" w:hAnsi="仿宋_GB2312" w:eastAsia="仿宋_GB2312" w:cs="仿宋_GB2312"/>
                <w:spacing w:val="0"/>
                <w:w w:val="100"/>
                <w:kern w:val="2"/>
                <w:position w:val="0"/>
                <w:sz w:val="21"/>
                <w:szCs w:val="21"/>
                <w:shd w:val="clear"/>
                <w:lang w:eastAsia="zh-CN" w:bidi="ar-SA"/>
              </w:rPr>
            </w:pPr>
            <w:r>
              <w:rPr>
                <w:rFonts w:hint="eastAsia" w:ascii="仿宋_GB2312" w:hAnsi="仿宋_GB2312" w:eastAsia="仿宋_GB2312" w:cs="仿宋_GB2312"/>
                <w:spacing w:val="0"/>
                <w:w w:val="100"/>
                <w:kern w:val="2"/>
                <w:position w:val="0"/>
                <w:sz w:val="21"/>
                <w:szCs w:val="21"/>
                <w:shd w:val="clear"/>
                <w:lang w:eastAsia="zh-CN" w:bidi="ar-SA"/>
              </w:rPr>
              <w:t>飞灰</w:t>
            </w:r>
          </w:p>
        </w:tc>
        <w:tc>
          <w:tcPr>
            <w:tcW w:w="4263" w:type="dxa"/>
            <w:vAlign w:val="center"/>
          </w:tcPr>
          <w:p w14:paraId="10C86AED">
            <w:pPr>
              <w:keepNext w:val="0"/>
              <w:keepLines w:val="0"/>
              <w:shd w:val="clear"/>
              <w:bidi w:val="0"/>
              <w:spacing w:before="0" w:after="0" w:line="240" w:lineRule="auto"/>
              <w:ind w:left="0" w:right="0" w:firstLine="0" w:firstLineChars="0"/>
              <w:jc w:val="left"/>
              <w:rPr>
                <w:rFonts w:hint="eastAsia" w:ascii="仿宋_GB2312" w:hAnsi="仿宋_GB2312" w:eastAsia="仿宋_GB2312" w:cs="仿宋_GB2312"/>
                <w:spacing w:val="0"/>
                <w:w w:val="100"/>
                <w:kern w:val="2"/>
                <w:position w:val="0"/>
                <w:sz w:val="21"/>
                <w:szCs w:val="21"/>
                <w:shd w:val="clear"/>
                <w:lang w:eastAsia="zh-CN" w:bidi="ar-SA"/>
              </w:rPr>
            </w:pPr>
            <w:r>
              <w:rPr>
                <w:rFonts w:hint="eastAsia" w:ascii="仿宋_GB2312" w:hAnsi="仿宋_GB2312" w:eastAsia="仿宋_GB2312" w:cs="仿宋_GB2312"/>
                <w:spacing w:val="0"/>
                <w:w w:val="100"/>
                <w:kern w:val="2"/>
                <w:position w:val="0"/>
                <w:sz w:val="21"/>
                <w:szCs w:val="21"/>
                <w:shd w:val="clear"/>
                <w:lang w:eastAsia="zh-CN" w:bidi="ar-SA"/>
              </w:rPr>
              <w:t>送至重庆海创环保科技有限责任公司单位作为水泥骨料处置，或送至重庆中明港桥环保有限责任公司危废单位处置。</w:t>
            </w:r>
          </w:p>
        </w:tc>
        <w:tc>
          <w:tcPr>
            <w:tcW w:w="987" w:type="dxa"/>
            <w:vAlign w:val="center"/>
          </w:tcPr>
          <w:p w14:paraId="4D9C061F">
            <w:pPr>
              <w:keepNext w:val="0"/>
              <w:keepLines w:val="0"/>
              <w:shd w:val="clear"/>
              <w:bidi w:val="0"/>
              <w:spacing w:before="0" w:after="0" w:line="240" w:lineRule="auto"/>
              <w:ind w:left="0" w:right="0" w:firstLine="0" w:firstLineChars="0"/>
              <w:jc w:val="center"/>
              <w:rPr>
                <w:rFonts w:hint="eastAsia" w:ascii="仿宋_GB2312" w:hAnsi="仿宋_GB2312" w:eastAsia="仿宋_GB2312" w:cs="仿宋_GB2312"/>
                <w:spacing w:val="0"/>
                <w:w w:val="100"/>
                <w:kern w:val="2"/>
                <w:position w:val="0"/>
                <w:sz w:val="21"/>
                <w:szCs w:val="21"/>
                <w:shd w:val="clear"/>
                <w:lang w:eastAsia="zh-CN" w:bidi="ar-SA"/>
              </w:rPr>
            </w:pPr>
          </w:p>
        </w:tc>
      </w:tr>
      <w:tr w14:paraId="63D2C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0E17DF29">
            <w:pPr>
              <w:keepNext w:val="0"/>
              <w:keepLines w:val="0"/>
              <w:shd w:val="clear"/>
              <w:bidi w:val="0"/>
              <w:spacing w:before="0" w:after="0" w:line="240" w:lineRule="auto"/>
              <w:ind w:left="0" w:right="0" w:firstLine="0" w:firstLineChars="0"/>
              <w:jc w:val="center"/>
              <w:rPr>
                <w:rFonts w:hint="eastAsia" w:ascii="仿宋_GB2312" w:hAnsi="仿宋_GB2312" w:eastAsia="仿宋_GB2312" w:cs="仿宋_GB2312"/>
                <w:spacing w:val="0"/>
                <w:w w:val="100"/>
                <w:kern w:val="2"/>
                <w:position w:val="0"/>
                <w:sz w:val="21"/>
                <w:szCs w:val="21"/>
                <w:shd w:val="clear"/>
                <w:lang w:eastAsia="zh-CN" w:bidi="ar-SA"/>
              </w:rPr>
            </w:pPr>
            <w:r>
              <w:rPr>
                <w:rFonts w:hint="eastAsia" w:ascii="仿宋_GB2312" w:hAnsi="仿宋_GB2312" w:eastAsia="仿宋_GB2312" w:cs="仿宋_GB2312"/>
                <w:spacing w:val="0"/>
                <w:w w:val="100"/>
                <w:kern w:val="2"/>
                <w:position w:val="0"/>
                <w:sz w:val="21"/>
                <w:szCs w:val="21"/>
                <w:shd w:val="clear"/>
                <w:lang w:eastAsia="zh-CN" w:bidi="ar-SA"/>
              </w:rPr>
              <w:t>3</w:t>
            </w:r>
          </w:p>
        </w:tc>
        <w:tc>
          <w:tcPr>
            <w:tcW w:w="2409" w:type="dxa"/>
            <w:vAlign w:val="center"/>
          </w:tcPr>
          <w:p w14:paraId="6B8CCBF4">
            <w:pPr>
              <w:keepNext w:val="0"/>
              <w:keepLines w:val="0"/>
              <w:shd w:val="clear"/>
              <w:bidi w:val="0"/>
              <w:spacing w:before="0" w:after="0" w:line="240" w:lineRule="auto"/>
              <w:ind w:left="0" w:right="0" w:firstLine="0" w:firstLineChars="0"/>
              <w:jc w:val="center"/>
              <w:rPr>
                <w:rFonts w:hint="eastAsia" w:ascii="仿宋_GB2312" w:hAnsi="仿宋_GB2312" w:eastAsia="仿宋_GB2312" w:cs="仿宋_GB2312"/>
                <w:spacing w:val="0"/>
                <w:w w:val="100"/>
                <w:kern w:val="2"/>
                <w:position w:val="0"/>
                <w:sz w:val="21"/>
                <w:szCs w:val="21"/>
                <w:shd w:val="clear"/>
                <w:lang w:eastAsia="zh-CN" w:bidi="ar-SA"/>
              </w:rPr>
            </w:pPr>
            <w:r>
              <w:rPr>
                <w:rFonts w:hint="eastAsia" w:ascii="仿宋_GB2312" w:hAnsi="仿宋_GB2312" w:eastAsia="仿宋_GB2312" w:cs="仿宋_GB2312"/>
                <w:spacing w:val="0"/>
                <w:w w:val="100"/>
                <w:kern w:val="2"/>
                <w:position w:val="0"/>
                <w:sz w:val="21"/>
                <w:szCs w:val="21"/>
                <w:shd w:val="clear"/>
                <w:lang w:eastAsia="zh-CN" w:bidi="ar-SA"/>
              </w:rPr>
              <w:t>污泥</w:t>
            </w:r>
          </w:p>
        </w:tc>
        <w:tc>
          <w:tcPr>
            <w:tcW w:w="4263" w:type="dxa"/>
            <w:vMerge w:val="restart"/>
            <w:vAlign w:val="center"/>
          </w:tcPr>
          <w:p w14:paraId="52F1A66A">
            <w:pPr>
              <w:keepNext w:val="0"/>
              <w:keepLines w:val="0"/>
              <w:shd w:val="clear"/>
              <w:bidi w:val="0"/>
              <w:spacing w:before="0" w:after="0" w:line="240" w:lineRule="auto"/>
              <w:ind w:left="0" w:right="0" w:firstLine="0" w:firstLineChars="0"/>
              <w:jc w:val="left"/>
              <w:rPr>
                <w:rFonts w:hint="eastAsia" w:ascii="仿宋_GB2312" w:hAnsi="仿宋_GB2312" w:eastAsia="仿宋_GB2312" w:cs="仿宋_GB2312"/>
                <w:spacing w:val="0"/>
                <w:w w:val="100"/>
                <w:kern w:val="2"/>
                <w:position w:val="0"/>
                <w:sz w:val="21"/>
                <w:szCs w:val="21"/>
                <w:shd w:val="clear"/>
                <w:lang w:eastAsia="zh-CN" w:bidi="ar-SA"/>
              </w:rPr>
            </w:pPr>
            <w:r>
              <w:rPr>
                <w:rFonts w:hint="eastAsia" w:ascii="仿宋_GB2312" w:hAnsi="仿宋_GB2312" w:eastAsia="仿宋_GB2312" w:cs="仿宋_GB2312"/>
                <w:spacing w:val="0"/>
                <w:w w:val="100"/>
                <w:kern w:val="2"/>
                <w:position w:val="0"/>
                <w:sz w:val="21"/>
                <w:szCs w:val="21"/>
                <w:shd w:val="clear"/>
                <w:lang w:eastAsia="zh-CN" w:bidi="ar-SA"/>
              </w:rPr>
              <w:t>送入焚烧炉燃烧分解。</w:t>
            </w:r>
          </w:p>
        </w:tc>
        <w:tc>
          <w:tcPr>
            <w:tcW w:w="987" w:type="dxa"/>
            <w:vAlign w:val="center"/>
          </w:tcPr>
          <w:p w14:paraId="3F7E7402">
            <w:pPr>
              <w:keepNext w:val="0"/>
              <w:keepLines w:val="0"/>
              <w:shd w:val="clear"/>
              <w:bidi w:val="0"/>
              <w:spacing w:before="0" w:after="0" w:line="240" w:lineRule="auto"/>
              <w:ind w:left="0" w:right="0" w:firstLine="0" w:firstLineChars="0"/>
              <w:jc w:val="center"/>
              <w:rPr>
                <w:rFonts w:hint="eastAsia" w:ascii="仿宋_GB2312" w:hAnsi="仿宋_GB2312" w:eastAsia="仿宋_GB2312" w:cs="仿宋_GB2312"/>
                <w:spacing w:val="0"/>
                <w:w w:val="100"/>
                <w:kern w:val="2"/>
                <w:position w:val="0"/>
                <w:sz w:val="21"/>
                <w:szCs w:val="21"/>
                <w:shd w:val="clear"/>
                <w:lang w:eastAsia="zh-CN" w:bidi="ar-SA"/>
              </w:rPr>
            </w:pPr>
          </w:p>
        </w:tc>
      </w:tr>
      <w:tr w14:paraId="02F17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72688F9A">
            <w:pPr>
              <w:keepNext w:val="0"/>
              <w:keepLines w:val="0"/>
              <w:shd w:val="clear"/>
              <w:bidi w:val="0"/>
              <w:spacing w:before="0" w:after="0" w:line="240" w:lineRule="auto"/>
              <w:ind w:left="0" w:right="0" w:firstLine="0" w:firstLineChars="0"/>
              <w:jc w:val="center"/>
              <w:rPr>
                <w:rFonts w:hint="eastAsia" w:ascii="仿宋_GB2312" w:hAnsi="仿宋_GB2312" w:eastAsia="仿宋_GB2312" w:cs="仿宋_GB2312"/>
                <w:spacing w:val="0"/>
                <w:w w:val="100"/>
                <w:kern w:val="2"/>
                <w:position w:val="0"/>
                <w:sz w:val="21"/>
                <w:szCs w:val="21"/>
                <w:shd w:val="clear"/>
                <w:lang w:eastAsia="zh-CN" w:bidi="ar-SA"/>
              </w:rPr>
            </w:pPr>
            <w:r>
              <w:rPr>
                <w:rFonts w:hint="eastAsia" w:ascii="仿宋_GB2312" w:hAnsi="仿宋_GB2312" w:eastAsia="仿宋_GB2312" w:cs="仿宋_GB2312"/>
                <w:spacing w:val="0"/>
                <w:w w:val="100"/>
                <w:kern w:val="2"/>
                <w:position w:val="0"/>
                <w:sz w:val="21"/>
                <w:szCs w:val="21"/>
                <w:shd w:val="clear"/>
                <w:lang w:eastAsia="zh-CN" w:bidi="ar-SA"/>
              </w:rPr>
              <w:t>4</w:t>
            </w:r>
          </w:p>
        </w:tc>
        <w:tc>
          <w:tcPr>
            <w:tcW w:w="2409" w:type="dxa"/>
            <w:vAlign w:val="center"/>
          </w:tcPr>
          <w:p w14:paraId="4B3EB9D5">
            <w:pPr>
              <w:keepNext w:val="0"/>
              <w:keepLines w:val="0"/>
              <w:shd w:val="clear"/>
              <w:bidi w:val="0"/>
              <w:spacing w:before="0" w:after="0" w:line="240" w:lineRule="auto"/>
              <w:ind w:left="0" w:right="0" w:firstLine="0" w:firstLineChars="0"/>
              <w:jc w:val="center"/>
              <w:rPr>
                <w:rFonts w:hint="eastAsia" w:ascii="仿宋_GB2312" w:hAnsi="仿宋_GB2312" w:eastAsia="仿宋_GB2312" w:cs="仿宋_GB2312"/>
                <w:spacing w:val="0"/>
                <w:w w:val="100"/>
                <w:kern w:val="2"/>
                <w:position w:val="0"/>
                <w:sz w:val="21"/>
                <w:szCs w:val="21"/>
                <w:shd w:val="clear"/>
                <w:lang w:eastAsia="zh-CN" w:bidi="ar-SA"/>
              </w:rPr>
            </w:pPr>
            <w:r>
              <w:rPr>
                <w:rFonts w:hint="eastAsia" w:ascii="仿宋_GB2312" w:hAnsi="仿宋_GB2312" w:eastAsia="仿宋_GB2312" w:cs="仿宋_GB2312"/>
                <w:spacing w:val="0"/>
                <w:w w:val="100"/>
                <w:kern w:val="2"/>
                <w:position w:val="0"/>
                <w:sz w:val="21"/>
                <w:szCs w:val="21"/>
                <w:shd w:val="clear"/>
                <w:lang w:eastAsia="zh-CN" w:bidi="ar-SA"/>
              </w:rPr>
              <w:t>生活垃圾</w:t>
            </w:r>
          </w:p>
        </w:tc>
        <w:tc>
          <w:tcPr>
            <w:tcW w:w="4263" w:type="dxa"/>
            <w:vMerge w:val="continue"/>
            <w:vAlign w:val="center"/>
          </w:tcPr>
          <w:p w14:paraId="37A841B1">
            <w:pPr>
              <w:keepNext w:val="0"/>
              <w:keepLines w:val="0"/>
              <w:shd w:val="clear"/>
              <w:bidi w:val="0"/>
              <w:spacing w:before="0" w:after="0" w:line="240" w:lineRule="auto"/>
              <w:ind w:left="0" w:right="0" w:firstLine="0" w:firstLineChars="0"/>
              <w:jc w:val="left"/>
              <w:rPr>
                <w:rFonts w:hint="eastAsia" w:ascii="仿宋_GB2312" w:hAnsi="仿宋_GB2312" w:eastAsia="仿宋_GB2312" w:cs="仿宋_GB2312"/>
                <w:spacing w:val="0"/>
                <w:w w:val="100"/>
                <w:kern w:val="2"/>
                <w:position w:val="0"/>
                <w:sz w:val="21"/>
                <w:szCs w:val="21"/>
                <w:shd w:val="clear"/>
                <w:lang w:eastAsia="zh-CN" w:bidi="ar-SA"/>
              </w:rPr>
            </w:pPr>
          </w:p>
        </w:tc>
        <w:tc>
          <w:tcPr>
            <w:tcW w:w="987" w:type="dxa"/>
            <w:vAlign w:val="center"/>
          </w:tcPr>
          <w:p w14:paraId="63B0FC6F">
            <w:pPr>
              <w:keepNext w:val="0"/>
              <w:keepLines w:val="0"/>
              <w:shd w:val="clear"/>
              <w:bidi w:val="0"/>
              <w:spacing w:before="0" w:after="0" w:line="240" w:lineRule="auto"/>
              <w:ind w:left="0" w:right="0" w:firstLine="0" w:firstLineChars="0"/>
              <w:jc w:val="center"/>
              <w:rPr>
                <w:rFonts w:hint="eastAsia" w:ascii="仿宋_GB2312" w:hAnsi="仿宋_GB2312" w:eastAsia="仿宋_GB2312" w:cs="仿宋_GB2312"/>
                <w:spacing w:val="0"/>
                <w:w w:val="100"/>
                <w:kern w:val="2"/>
                <w:position w:val="0"/>
                <w:sz w:val="21"/>
                <w:szCs w:val="21"/>
                <w:shd w:val="clear"/>
                <w:lang w:eastAsia="zh-CN" w:bidi="ar-SA"/>
              </w:rPr>
            </w:pPr>
          </w:p>
        </w:tc>
      </w:tr>
      <w:tr w14:paraId="3BA0C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3BD30111">
            <w:pPr>
              <w:keepNext w:val="0"/>
              <w:keepLines w:val="0"/>
              <w:shd w:val="clear"/>
              <w:bidi w:val="0"/>
              <w:spacing w:before="0" w:after="0" w:line="240" w:lineRule="auto"/>
              <w:ind w:left="0" w:right="0" w:firstLine="0" w:firstLineChars="0"/>
              <w:jc w:val="center"/>
              <w:rPr>
                <w:rFonts w:hint="eastAsia" w:ascii="仿宋_GB2312" w:hAnsi="仿宋_GB2312" w:eastAsia="仿宋_GB2312" w:cs="仿宋_GB2312"/>
                <w:spacing w:val="0"/>
                <w:w w:val="100"/>
                <w:kern w:val="2"/>
                <w:position w:val="0"/>
                <w:sz w:val="21"/>
                <w:szCs w:val="21"/>
                <w:shd w:val="clear"/>
                <w:lang w:eastAsia="zh-CN" w:bidi="ar-SA"/>
              </w:rPr>
            </w:pPr>
            <w:r>
              <w:rPr>
                <w:rFonts w:hint="eastAsia" w:ascii="仿宋_GB2312" w:hAnsi="仿宋_GB2312" w:eastAsia="仿宋_GB2312" w:cs="仿宋_GB2312"/>
                <w:spacing w:val="0"/>
                <w:w w:val="100"/>
                <w:kern w:val="2"/>
                <w:position w:val="0"/>
                <w:sz w:val="21"/>
                <w:szCs w:val="21"/>
                <w:shd w:val="clear"/>
                <w:lang w:eastAsia="zh-CN" w:bidi="ar-SA"/>
              </w:rPr>
              <w:t>5</w:t>
            </w:r>
          </w:p>
        </w:tc>
        <w:tc>
          <w:tcPr>
            <w:tcW w:w="2409" w:type="dxa"/>
            <w:vAlign w:val="center"/>
          </w:tcPr>
          <w:p w14:paraId="30B70FD5">
            <w:pPr>
              <w:keepNext w:val="0"/>
              <w:keepLines w:val="0"/>
              <w:shd w:val="clear"/>
              <w:bidi w:val="0"/>
              <w:spacing w:before="0" w:after="0" w:line="240" w:lineRule="auto"/>
              <w:ind w:left="0" w:right="0" w:firstLine="0" w:firstLineChars="0"/>
              <w:jc w:val="center"/>
              <w:rPr>
                <w:rFonts w:hint="eastAsia" w:ascii="仿宋_GB2312" w:hAnsi="仿宋_GB2312" w:eastAsia="仿宋_GB2312" w:cs="仿宋_GB2312"/>
                <w:spacing w:val="0"/>
                <w:w w:val="100"/>
                <w:kern w:val="2"/>
                <w:position w:val="0"/>
                <w:sz w:val="21"/>
                <w:szCs w:val="21"/>
                <w:shd w:val="clear"/>
                <w:lang w:eastAsia="zh-CN" w:bidi="ar-SA"/>
              </w:rPr>
            </w:pPr>
            <w:r>
              <w:rPr>
                <w:rFonts w:hint="eastAsia" w:ascii="仿宋_GB2312" w:hAnsi="仿宋_GB2312" w:eastAsia="仿宋_GB2312" w:cs="仿宋_GB2312"/>
                <w:spacing w:val="0"/>
                <w:w w:val="100"/>
                <w:kern w:val="2"/>
                <w:position w:val="0"/>
                <w:sz w:val="21"/>
                <w:szCs w:val="21"/>
                <w:shd w:val="clear"/>
                <w:lang w:eastAsia="zh-CN" w:bidi="ar-SA"/>
              </w:rPr>
              <w:t>化学水处理系统废滤料</w:t>
            </w:r>
          </w:p>
        </w:tc>
        <w:tc>
          <w:tcPr>
            <w:tcW w:w="4263" w:type="dxa"/>
            <w:vMerge w:val="restart"/>
            <w:vAlign w:val="center"/>
          </w:tcPr>
          <w:p w14:paraId="757476E3">
            <w:pPr>
              <w:keepNext w:val="0"/>
              <w:keepLines w:val="0"/>
              <w:shd w:val="clear"/>
              <w:bidi w:val="0"/>
              <w:spacing w:before="0" w:after="0" w:line="240" w:lineRule="auto"/>
              <w:ind w:right="0"/>
              <w:jc w:val="left"/>
              <w:rPr>
                <w:rFonts w:hint="eastAsia" w:ascii="仿宋_GB2312" w:hAnsi="仿宋_GB2312" w:eastAsia="仿宋_GB2312" w:cs="仿宋_GB2312"/>
                <w:spacing w:val="0"/>
                <w:w w:val="100"/>
                <w:kern w:val="2"/>
                <w:position w:val="0"/>
                <w:sz w:val="21"/>
                <w:szCs w:val="21"/>
                <w:shd w:val="clear"/>
                <w:lang w:eastAsia="zh-CN" w:bidi="ar-SA"/>
              </w:rPr>
            </w:pPr>
            <w:r>
              <w:rPr>
                <w:rFonts w:hint="eastAsia" w:ascii="仿宋_GB2312" w:hAnsi="仿宋_GB2312" w:eastAsia="仿宋_GB2312" w:cs="仿宋_GB2312"/>
                <w:spacing w:val="0"/>
                <w:w w:val="100"/>
                <w:kern w:val="2"/>
                <w:position w:val="0"/>
                <w:sz w:val="21"/>
                <w:szCs w:val="21"/>
                <w:shd w:val="clear"/>
                <w:lang w:eastAsia="zh-CN" w:bidi="ar-SA"/>
              </w:rPr>
              <w:t>委托重庆海创环保科技有限责任公司处置。</w:t>
            </w:r>
          </w:p>
        </w:tc>
        <w:tc>
          <w:tcPr>
            <w:tcW w:w="987" w:type="dxa"/>
            <w:vAlign w:val="center"/>
          </w:tcPr>
          <w:p w14:paraId="3054FC99">
            <w:pPr>
              <w:keepNext w:val="0"/>
              <w:keepLines w:val="0"/>
              <w:shd w:val="clear"/>
              <w:bidi w:val="0"/>
              <w:spacing w:before="0" w:after="0" w:line="240" w:lineRule="auto"/>
              <w:ind w:left="0" w:right="0" w:firstLine="0" w:firstLineChars="0"/>
              <w:jc w:val="center"/>
              <w:rPr>
                <w:rFonts w:hint="eastAsia" w:ascii="仿宋_GB2312" w:hAnsi="仿宋_GB2312" w:eastAsia="仿宋_GB2312" w:cs="仿宋_GB2312"/>
                <w:spacing w:val="0"/>
                <w:w w:val="100"/>
                <w:kern w:val="2"/>
                <w:position w:val="0"/>
                <w:sz w:val="21"/>
                <w:szCs w:val="21"/>
                <w:shd w:val="clear"/>
                <w:lang w:eastAsia="zh-CN" w:bidi="ar-SA"/>
              </w:rPr>
            </w:pPr>
          </w:p>
        </w:tc>
      </w:tr>
      <w:tr w14:paraId="6E922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52E15CA4">
            <w:pPr>
              <w:keepNext w:val="0"/>
              <w:keepLines w:val="0"/>
              <w:shd w:val="clear"/>
              <w:bidi w:val="0"/>
              <w:spacing w:before="0" w:after="0" w:line="240" w:lineRule="auto"/>
              <w:ind w:left="0" w:right="0" w:firstLine="0" w:firstLineChars="0"/>
              <w:jc w:val="center"/>
              <w:rPr>
                <w:rFonts w:hint="eastAsia" w:ascii="仿宋_GB2312" w:hAnsi="仿宋_GB2312" w:eastAsia="仿宋_GB2312" w:cs="仿宋_GB2312"/>
                <w:spacing w:val="0"/>
                <w:w w:val="100"/>
                <w:kern w:val="2"/>
                <w:position w:val="0"/>
                <w:sz w:val="21"/>
                <w:szCs w:val="21"/>
                <w:shd w:val="clear"/>
                <w:lang w:eastAsia="zh-CN" w:bidi="ar-SA"/>
              </w:rPr>
            </w:pPr>
            <w:r>
              <w:rPr>
                <w:rFonts w:hint="eastAsia" w:ascii="仿宋_GB2312" w:hAnsi="仿宋_GB2312" w:eastAsia="仿宋_GB2312" w:cs="仿宋_GB2312"/>
                <w:spacing w:val="0"/>
                <w:w w:val="100"/>
                <w:kern w:val="2"/>
                <w:position w:val="0"/>
                <w:sz w:val="21"/>
                <w:szCs w:val="21"/>
                <w:shd w:val="clear"/>
                <w:lang w:eastAsia="zh-CN" w:bidi="ar-SA"/>
              </w:rPr>
              <w:t>6</w:t>
            </w:r>
          </w:p>
        </w:tc>
        <w:tc>
          <w:tcPr>
            <w:tcW w:w="2409" w:type="dxa"/>
            <w:vAlign w:val="center"/>
          </w:tcPr>
          <w:p w14:paraId="123E8868">
            <w:pPr>
              <w:keepNext w:val="0"/>
              <w:keepLines w:val="0"/>
              <w:shd w:val="clear"/>
              <w:bidi w:val="0"/>
              <w:spacing w:before="0" w:after="0" w:line="240" w:lineRule="auto"/>
              <w:ind w:left="0" w:right="0" w:firstLine="0" w:firstLineChars="0"/>
              <w:jc w:val="center"/>
              <w:rPr>
                <w:rFonts w:hint="eastAsia" w:ascii="仿宋_GB2312" w:hAnsi="仿宋_GB2312" w:eastAsia="仿宋_GB2312" w:cs="仿宋_GB2312"/>
                <w:spacing w:val="0"/>
                <w:w w:val="100"/>
                <w:kern w:val="2"/>
                <w:position w:val="0"/>
                <w:sz w:val="21"/>
                <w:szCs w:val="21"/>
                <w:shd w:val="clear"/>
                <w:lang w:eastAsia="zh-CN" w:bidi="ar-SA"/>
              </w:rPr>
            </w:pPr>
            <w:r>
              <w:rPr>
                <w:rFonts w:hint="eastAsia" w:ascii="仿宋_GB2312" w:hAnsi="仿宋_GB2312" w:eastAsia="仿宋_GB2312" w:cs="仿宋_GB2312"/>
                <w:spacing w:val="0"/>
                <w:w w:val="100"/>
                <w:kern w:val="2"/>
                <w:position w:val="0"/>
                <w:sz w:val="21"/>
                <w:szCs w:val="21"/>
                <w:shd w:val="clear"/>
                <w:lang w:eastAsia="zh-CN" w:bidi="ar-SA"/>
              </w:rPr>
              <w:t>化学水处理系统废树脂</w:t>
            </w:r>
          </w:p>
        </w:tc>
        <w:tc>
          <w:tcPr>
            <w:tcW w:w="4263" w:type="dxa"/>
            <w:vMerge w:val="continue"/>
            <w:vAlign w:val="center"/>
          </w:tcPr>
          <w:p w14:paraId="7BB10203">
            <w:pPr>
              <w:keepNext w:val="0"/>
              <w:keepLines w:val="0"/>
              <w:shd w:val="clear"/>
              <w:bidi w:val="0"/>
              <w:spacing w:before="0" w:after="0" w:line="240" w:lineRule="auto"/>
              <w:ind w:left="0" w:right="0" w:firstLine="420" w:firstLineChars="200"/>
              <w:jc w:val="left"/>
              <w:rPr>
                <w:rFonts w:hint="eastAsia" w:ascii="仿宋_GB2312" w:hAnsi="仿宋_GB2312" w:eastAsia="仿宋_GB2312" w:cs="仿宋_GB2312"/>
                <w:spacing w:val="0"/>
                <w:w w:val="100"/>
                <w:kern w:val="2"/>
                <w:position w:val="0"/>
                <w:sz w:val="21"/>
                <w:szCs w:val="21"/>
                <w:shd w:val="clear"/>
                <w:lang w:eastAsia="zh-CN" w:bidi="ar-SA"/>
              </w:rPr>
            </w:pPr>
          </w:p>
        </w:tc>
        <w:tc>
          <w:tcPr>
            <w:tcW w:w="987" w:type="dxa"/>
            <w:vAlign w:val="center"/>
          </w:tcPr>
          <w:p w14:paraId="120F8AD6">
            <w:pPr>
              <w:keepNext w:val="0"/>
              <w:keepLines w:val="0"/>
              <w:shd w:val="clear"/>
              <w:bidi w:val="0"/>
              <w:spacing w:before="0" w:after="0" w:line="240" w:lineRule="auto"/>
              <w:ind w:left="0" w:right="0" w:firstLine="0" w:firstLineChars="0"/>
              <w:jc w:val="center"/>
              <w:rPr>
                <w:rFonts w:hint="eastAsia" w:ascii="仿宋_GB2312" w:hAnsi="仿宋_GB2312" w:eastAsia="仿宋_GB2312" w:cs="仿宋_GB2312"/>
                <w:spacing w:val="0"/>
                <w:w w:val="100"/>
                <w:kern w:val="2"/>
                <w:position w:val="0"/>
                <w:sz w:val="21"/>
                <w:szCs w:val="21"/>
                <w:shd w:val="clear"/>
                <w:lang w:eastAsia="zh-CN" w:bidi="ar-SA"/>
              </w:rPr>
            </w:pPr>
          </w:p>
        </w:tc>
      </w:tr>
      <w:tr w14:paraId="54F94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571EE031">
            <w:pPr>
              <w:keepNext w:val="0"/>
              <w:keepLines w:val="0"/>
              <w:shd w:val="clear"/>
              <w:bidi w:val="0"/>
              <w:spacing w:before="0" w:after="0" w:line="240" w:lineRule="auto"/>
              <w:ind w:left="0" w:right="0" w:firstLine="0" w:firstLineChars="0"/>
              <w:jc w:val="center"/>
              <w:rPr>
                <w:rFonts w:hint="eastAsia" w:ascii="仿宋_GB2312" w:hAnsi="仿宋_GB2312" w:eastAsia="仿宋_GB2312" w:cs="仿宋_GB2312"/>
                <w:spacing w:val="0"/>
                <w:w w:val="100"/>
                <w:kern w:val="2"/>
                <w:position w:val="0"/>
                <w:sz w:val="21"/>
                <w:szCs w:val="21"/>
                <w:shd w:val="clear"/>
                <w:lang w:eastAsia="zh-CN" w:bidi="ar-SA"/>
              </w:rPr>
            </w:pPr>
            <w:r>
              <w:rPr>
                <w:rFonts w:hint="eastAsia" w:ascii="仿宋_GB2312" w:hAnsi="仿宋_GB2312" w:eastAsia="仿宋_GB2312" w:cs="仿宋_GB2312"/>
                <w:spacing w:val="0"/>
                <w:w w:val="100"/>
                <w:kern w:val="2"/>
                <w:position w:val="0"/>
                <w:sz w:val="21"/>
                <w:szCs w:val="21"/>
                <w:shd w:val="clear"/>
                <w:lang w:eastAsia="zh-CN" w:bidi="ar-SA"/>
              </w:rPr>
              <w:t>7</w:t>
            </w:r>
          </w:p>
        </w:tc>
        <w:tc>
          <w:tcPr>
            <w:tcW w:w="2409" w:type="dxa"/>
            <w:vAlign w:val="center"/>
          </w:tcPr>
          <w:p w14:paraId="21EF969D">
            <w:pPr>
              <w:keepNext w:val="0"/>
              <w:keepLines w:val="0"/>
              <w:shd w:val="clear"/>
              <w:bidi w:val="0"/>
              <w:spacing w:before="0" w:after="0" w:line="240" w:lineRule="auto"/>
              <w:ind w:left="0" w:right="0" w:firstLine="0" w:firstLineChars="0"/>
              <w:jc w:val="center"/>
              <w:rPr>
                <w:rFonts w:hint="eastAsia" w:ascii="仿宋_GB2312" w:hAnsi="仿宋_GB2312" w:eastAsia="仿宋_GB2312" w:cs="仿宋_GB2312"/>
                <w:spacing w:val="0"/>
                <w:w w:val="100"/>
                <w:kern w:val="2"/>
                <w:position w:val="0"/>
                <w:sz w:val="21"/>
                <w:szCs w:val="21"/>
                <w:shd w:val="clear"/>
                <w:lang w:eastAsia="zh-CN" w:bidi="ar-SA"/>
              </w:rPr>
            </w:pPr>
            <w:r>
              <w:rPr>
                <w:rFonts w:hint="eastAsia" w:ascii="仿宋_GB2312" w:hAnsi="仿宋_GB2312" w:eastAsia="仿宋_GB2312" w:cs="仿宋_GB2312"/>
                <w:spacing w:val="0"/>
                <w:w w:val="100"/>
                <w:kern w:val="2"/>
                <w:position w:val="0"/>
                <w:sz w:val="21"/>
                <w:szCs w:val="21"/>
                <w:shd w:val="clear"/>
                <w:lang w:eastAsia="zh-CN" w:bidi="ar-SA"/>
              </w:rPr>
              <w:t>空压站过滤器废滤料</w:t>
            </w:r>
          </w:p>
        </w:tc>
        <w:tc>
          <w:tcPr>
            <w:tcW w:w="4263" w:type="dxa"/>
            <w:vMerge w:val="continue"/>
            <w:vAlign w:val="center"/>
          </w:tcPr>
          <w:p w14:paraId="77DB57E4">
            <w:pPr>
              <w:keepNext w:val="0"/>
              <w:keepLines w:val="0"/>
              <w:shd w:val="clear"/>
              <w:bidi w:val="0"/>
              <w:spacing w:before="0" w:after="0" w:line="240" w:lineRule="auto"/>
              <w:ind w:left="0" w:right="0" w:firstLine="0" w:firstLineChars="0"/>
              <w:jc w:val="left"/>
              <w:rPr>
                <w:rFonts w:hint="eastAsia" w:ascii="仿宋_GB2312" w:hAnsi="仿宋_GB2312" w:eastAsia="仿宋_GB2312" w:cs="仿宋_GB2312"/>
                <w:spacing w:val="0"/>
                <w:w w:val="100"/>
                <w:kern w:val="2"/>
                <w:position w:val="0"/>
                <w:sz w:val="21"/>
                <w:szCs w:val="21"/>
                <w:shd w:val="clear"/>
                <w:lang w:eastAsia="zh-CN" w:bidi="ar-SA"/>
              </w:rPr>
            </w:pPr>
          </w:p>
        </w:tc>
        <w:tc>
          <w:tcPr>
            <w:tcW w:w="987" w:type="dxa"/>
            <w:vAlign w:val="center"/>
          </w:tcPr>
          <w:p w14:paraId="229B0C9A">
            <w:pPr>
              <w:keepNext w:val="0"/>
              <w:keepLines w:val="0"/>
              <w:shd w:val="clear"/>
              <w:bidi w:val="0"/>
              <w:spacing w:before="0" w:after="0" w:line="240" w:lineRule="auto"/>
              <w:ind w:left="0" w:right="0" w:firstLine="0" w:firstLineChars="0"/>
              <w:jc w:val="center"/>
              <w:rPr>
                <w:rFonts w:hint="eastAsia" w:ascii="仿宋_GB2312" w:hAnsi="仿宋_GB2312" w:eastAsia="仿宋_GB2312" w:cs="仿宋_GB2312"/>
                <w:spacing w:val="0"/>
                <w:w w:val="100"/>
                <w:kern w:val="2"/>
                <w:position w:val="0"/>
                <w:sz w:val="21"/>
                <w:szCs w:val="21"/>
                <w:shd w:val="clear"/>
                <w:lang w:eastAsia="zh-CN" w:bidi="ar-SA"/>
              </w:rPr>
            </w:pPr>
          </w:p>
        </w:tc>
      </w:tr>
      <w:tr w14:paraId="265E0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39D82D3E">
            <w:pPr>
              <w:keepNext w:val="0"/>
              <w:keepLines w:val="0"/>
              <w:shd w:val="clear"/>
              <w:bidi w:val="0"/>
              <w:spacing w:before="0" w:after="0" w:line="240" w:lineRule="auto"/>
              <w:ind w:left="0" w:right="0" w:firstLine="0" w:firstLineChars="0"/>
              <w:jc w:val="center"/>
              <w:rPr>
                <w:rFonts w:hint="eastAsia" w:ascii="仿宋_GB2312" w:hAnsi="仿宋_GB2312" w:eastAsia="仿宋_GB2312" w:cs="仿宋_GB2312"/>
                <w:spacing w:val="0"/>
                <w:w w:val="100"/>
                <w:kern w:val="2"/>
                <w:position w:val="0"/>
                <w:sz w:val="21"/>
                <w:szCs w:val="21"/>
                <w:shd w:val="clear"/>
                <w:lang w:eastAsia="zh-CN" w:bidi="ar-SA"/>
              </w:rPr>
            </w:pPr>
            <w:r>
              <w:rPr>
                <w:rFonts w:hint="eastAsia" w:ascii="仿宋_GB2312" w:hAnsi="仿宋_GB2312" w:eastAsia="仿宋_GB2312" w:cs="仿宋_GB2312"/>
                <w:spacing w:val="0"/>
                <w:w w:val="100"/>
                <w:kern w:val="2"/>
                <w:position w:val="0"/>
                <w:sz w:val="21"/>
                <w:szCs w:val="21"/>
                <w:shd w:val="clear"/>
                <w:lang w:eastAsia="zh-CN" w:bidi="ar-SA"/>
              </w:rPr>
              <w:t>8</w:t>
            </w:r>
          </w:p>
        </w:tc>
        <w:tc>
          <w:tcPr>
            <w:tcW w:w="2409" w:type="dxa"/>
            <w:vAlign w:val="center"/>
          </w:tcPr>
          <w:p w14:paraId="54BB36FE">
            <w:pPr>
              <w:keepNext w:val="0"/>
              <w:keepLines w:val="0"/>
              <w:shd w:val="clear"/>
              <w:bidi w:val="0"/>
              <w:spacing w:before="0" w:after="0" w:line="240" w:lineRule="auto"/>
              <w:ind w:left="0" w:right="0" w:firstLine="0" w:firstLineChars="0"/>
              <w:jc w:val="center"/>
              <w:rPr>
                <w:rFonts w:hint="eastAsia" w:ascii="仿宋_GB2312" w:hAnsi="仿宋_GB2312" w:eastAsia="仿宋_GB2312" w:cs="仿宋_GB2312"/>
                <w:spacing w:val="0"/>
                <w:w w:val="100"/>
                <w:kern w:val="2"/>
                <w:position w:val="0"/>
                <w:sz w:val="21"/>
                <w:szCs w:val="21"/>
                <w:shd w:val="clear"/>
                <w:lang w:eastAsia="zh-CN" w:bidi="ar-SA"/>
              </w:rPr>
            </w:pPr>
            <w:r>
              <w:rPr>
                <w:rFonts w:hint="eastAsia" w:ascii="仿宋_GB2312" w:hAnsi="仿宋_GB2312" w:eastAsia="仿宋_GB2312" w:cs="仿宋_GB2312"/>
                <w:spacing w:val="0"/>
                <w:w w:val="100"/>
                <w:kern w:val="2"/>
                <w:position w:val="0"/>
                <w:sz w:val="21"/>
                <w:szCs w:val="21"/>
                <w:shd w:val="clear"/>
                <w:lang w:eastAsia="zh-CN" w:bidi="ar-SA"/>
              </w:rPr>
              <w:t>空压站过滤器含油废水</w:t>
            </w:r>
          </w:p>
        </w:tc>
        <w:tc>
          <w:tcPr>
            <w:tcW w:w="4263" w:type="dxa"/>
            <w:vMerge w:val="continue"/>
            <w:vAlign w:val="center"/>
          </w:tcPr>
          <w:p w14:paraId="3EF17763">
            <w:pPr>
              <w:keepNext w:val="0"/>
              <w:keepLines w:val="0"/>
              <w:shd w:val="clear"/>
              <w:bidi w:val="0"/>
              <w:spacing w:before="0" w:after="0" w:line="240" w:lineRule="auto"/>
              <w:ind w:left="0" w:right="0" w:firstLine="0" w:firstLineChars="0"/>
              <w:jc w:val="left"/>
              <w:rPr>
                <w:rFonts w:hint="eastAsia" w:ascii="仿宋_GB2312" w:hAnsi="仿宋_GB2312" w:eastAsia="仿宋_GB2312" w:cs="仿宋_GB2312"/>
                <w:spacing w:val="0"/>
                <w:w w:val="100"/>
                <w:kern w:val="2"/>
                <w:position w:val="0"/>
                <w:sz w:val="21"/>
                <w:szCs w:val="21"/>
                <w:shd w:val="clear"/>
                <w:lang w:eastAsia="zh-CN" w:bidi="ar-SA"/>
              </w:rPr>
            </w:pPr>
          </w:p>
        </w:tc>
        <w:tc>
          <w:tcPr>
            <w:tcW w:w="987" w:type="dxa"/>
            <w:vAlign w:val="center"/>
          </w:tcPr>
          <w:p w14:paraId="667FF3EA">
            <w:pPr>
              <w:keepNext w:val="0"/>
              <w:keepLines w:val="0"/>
              <w:shd w:val="clear"/>
              <w:bidi w:val="0"/>
              <w:spacing w:before="0" w:after="0" w:line="240" w:lineRule="auto"/>
              <w:ind w:left="0" w:right="0" w:firstLine="0" w:firstLineChars="0"/>
              <w:jc w:val="center"/>
              <w:rPr>
                <w:rFonts w:hint="eastAsia" w:ascii="仿宋_GB2312" w:hAnsi="仿宋_GB2312" w:eastAsia="仿宋_GB2312" w:cs="仿宋_GB2312"/>
                <w:spacing w:val="0"/>
                <w:w w:val="100"/>
                <w:kern w:val="2"/>
                <w:position w:val="0"/>
                <w:sz w:val="21"/>
                <w:szCs w:val="21"/>
                <w:shd w:val="clear"/>
                <w:lang w:eastAsia="zh-CN" w:bidi="ar-SA"/>
              </w:rPr>
            </w:pPr>
          </w:p>
        </w:tc>
      </w:tr>
      <w:tr w14:paraId="3882C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6A5FABE8">
            <w:pPr>
              <w:keepNext w:val="0"/>
              <w:keepLines w:val="0"/>
              <w:shd w:val="clear"/>
              <w:bidi w:val="0"/>
              <w:spacing w:before="0" w:after="0" w:line="240" w:lineRule="auto"/>
              <w:ind w:left="0" w:right="0" w:firstLine="0" w:firstLineChars="0"/>
              <w:jc w:val="center"/>
              <w:rPr>
                <w:rFonts w:hint="eastAsia" w:ascii="仿宋_GB2312" w:hAnsi="仿宋_GB2312" w:eastAsia="仿宋_GB2312" w:cs="仿宋_GB2312"/>
                <w:spacing w:val="0"/>
                <w:w w:val="100"/>
                <w:kern w:val="2"/>
                <w:position w:val="0"/>
                <w:sz w:val="21"/>
                <w:szCs w:val="21"/>
                <w:shd w:val="clear"/>
                <w:lang w:eastAsia="zh-CN" w:bidi="ar-SA"/>
              </w:rPr>
            </w:pPr>
            <w:r>
              <w:rPr>
                <w:rFonts w:hint="eastAsia" w:ascii="仿宋_GB2312" w:hAnsi="仿宋_GB2312" w:eastAsia="仿宋_GB2312" w:cs="仿宋_GB2312"/>
                <w:spacing w:val="0"/>
                <w:w w:val="100"/>
                <w:kern w:val="2"/>
                <w:position w:val="0"/>
                <w:sz w:val="21"/>
                <w:szCs w:val="21"/>
                <w:shd w:val="clear"/>
                <w:lang w:eastAsia="zh-CN" w:bidi="ar-SA"/>
              </w:rPr>
              <w:t>9</w:t>
            </w:r>
          </w:p>
        </w:tc>
        <w:tc>
          <w:tcPr>
            <w:tcW w:w="2409" w:type="dxa"/>
            <w:vAlign w:val="center"/>
          </w:tcPr>
          <w:p w14:paraId="6CA3A53C">
            <w:pPr>
              <w:keepNext w:val="0"/>
              <w:keepLines w:val="0"/>
              <w:shd w:val="clear"/>
              <w:bidi w:val="0"/>
              <w:spacing w:before="0" w:after="0" w:line="240" w:lineRule="auto"/>
              <w:ind w:left="0" w:right="0" w:firstLine="0" w:firstLineChars="0"/>
              <w:jc w:val="center"/>
              <w:rPr>
                <w:rFonts w:hint="eastAsia" w:ascii="仿宋_GB2312" w:hAnsi="仿宋_GB2312" w:eastAsia="仿宋_GB2312" w:cs="仿宋_GB2312"/>
                <w:spacing w:val="0"/>
                <w:w w:val="100"/>
                <w:kern w:val="2"/>
                <w:position w:val="0"/>
                <w:sz w:val="21"/>
                <w:szCs w:val="21"/>
                <w:shd w:val="clear"/>
                <w:lang w:eastAsia="zh-CN" w:bidi="ar-SA"/>
              </w:rPr>
            </w:pPr>
            <w:r>
              <w:rPr>
                <w:rFonts w:hint="eastAsia" w:ascii="仿宋_GB2312" w:hAnsi="仿宋_GB2312" w:eastAsia="仿宋_GB2312" w:cs="仿宋_GB2312"/>
                <w:spacing w:val="0"/>
                <w:w w:val="100"/>
                <w:kern w:val="2"/>
                <w:position w:val="0"/>
                <w:sz w:val="21"/>
                <w:szCs w:val="21"/>
                <w:shd w:val="clear"/>
                <w:lang w:eastAsia="zh-CN" w:bidi="ar-SA"/>
              </w:rPr>
              <w:t>废机油</w:t>
            </w:r>
          </w:p>
        </w:tc>
        <w:tc>
          <w:tcPr>
            <w:tcW w:w="4263" w:type="dxa"/>
            <w:vMerge w:val="continue"/>
            <w:vAlign w:val="center"/>
          </w:tcPr>
          <w:p w14:paraId="7B09A2B4">
            <w:pPr>
              <w:keepNext w:val="0"/>
              <w:keepLines w:val="0"/>
              <w:shd w:val="clear"/>
              <w:bidi w:val="0"/>
              <w:spacing w:before="0" w:after="0" w:line="240" w:lineRule="auto"/>
              <w:ind w:left="0" w:right="0" w:firstLine="0" w:firstLineChars="0"/>
              <w:jc w:val="left"/>
              <w:rPr>
                <w:rFonts w:hint="eastAsia" w:ascii="仿宋_GB2312" w:hAnsi="仿宋_GB2312" w:eastAsia="仿宋_GB2312" w:cs="仿宋_GB2312"/>
                <w:spacing w:val="0"/>
                <w:w w:val="100"/>
                <w:kern w:val="2"/>
                <w:position w:val="0"/>
                <w:sz w:val="21"/>
                <w:szCs w:val="21"/>
                <w:shd w:val="clear"/>
                <w:lang w:eastAsia="zh-CN" w:bidi="ar-SA"/>
              </w:rPr>
            </w:pPr>
          </w:p>
        </w:tc>
        <w:tc>
          <w:tcPr>
            <w:tcW w:w="987" w:type="dxa"/>
            <w:vAlign w:val="center"/>
          </w:tcPr>
          <w:p w14:paraId="5352E2CB">
            <w:pPr>
              <w:keepNext w:val="0"/>
              <w:keepLines w:val="0"/>
              <w:shd w:val="clear"/>
              <w:bidi w:val="0"/>
              <w:spacing w:before="0" w:after="0" w:line="240" w:lineRule="auto"/>
              <w:ind w:left="0" w:right="0" w:firstLine="0" w:firstLineChars="0"/>
              <w:jc w:val="center"/>
              <w:rPr>
                <w:rFonts w:hint="eastAsia" w:ascii="仿宋_GB2312" w:hAnsi="仿宋_GB2312" w:eastAsia="仿宋_GB2312" w:cs="仿宋_GB2312"/>
                <w:spacing w:val="0"/>
                <w:w w:val="100"/>
                <w:kern w:val="2"/>
                <w:position w:val="0"/>
                <w:sz w:val="21"/>
                <w:szCs w:val="21"/>
                <w:shd w:val="clear"/>
                <w:lang w:eastAsia="zh-CN" w:bidi="ar-SA"/>
              </w:rPr>
            </w:pPr>
          </w:p>
        </w:tc>
      </w:tr>
      <w:tr w14:paraId="4CB15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7B1976F6">
            <w:pPr>
              <w:keepNext w:val="0"/>
              <w:keepLines w:val="0"/>
              <w:shd w:val="clear"/>
              <w:bidi w:val="0"/>
              <w:spacing w:before="0" w:after="0" w:line="240" w:lineRule="auto"/>
              <w:ind w:left="0" w:right="0" w:firstLine="0" w:firstLineChars="0"/>
              <w:jc w:val="center"/>
              <w:rPr>
                <w:rFonts w:hint="eastAsia" w:ascii="仿宋_GB2312" w:hAnsi="仿宋_GB2312" w:eastAsia="仿宋_GB2312" w:cs="仿宋_GB2312"/>
                <w:spacing w:val="0"/>
                <w:w w:val="100"/>
                <w:kern w:val="2"/>
                <w:position w:val="0"/>
                <w:sz w:val="21"/>
                <w:szCs w:val="21"/>
                <w:shd w:val="clear"/>
                <w:lang w:eastAsia="zh-CN" w:bidi="ar-SA"/>
              </w:rPr>
            </w:pPr>
            <w:r>
              <w:rPr>
                <w:rFonts w:hint="eastAsia" w:ascii="仿宋_GB2312" w:hAnsi="仿宋_GB2312" w:eastAsia="仿宋_GB2312" w:cs="仿宋_GB2312"/>
                <w:spacing w:val="0"/>
                <w:w w:val="100"/>
                <w:kern w:val="2"/>
                <w:position w:val="0"/>
                <w:sz w:val="21"/>
                <w:szCs w:val="21"/>
                <w:shd w:val="clear"/>
                <w:lang w:eastAsia="zh-CN" w:bidi="ar-SA"/>
              </w:rPr>
              <w:t>10</w:t>
            </w:r>
          </w:p>
        </w:tc>
        <w:tc>
          <w:tcPr>
            <w:tcW w:w="2409" w:type="dxa"/>
            <w:vAlign w:val="center"/>
          </w:tcPr>
          <w:p w14:paraId="2379F467">
            <w:pPr>
              <w:keepNext w:val="0"/>
              <w:keepLines w:val="0"/>
              <w:shd w:val="clear"/>
              <w:bidi w:val="0"/>
              <w:spacing w:before="0" w:after="0" w:line="240" w:lineRule="auto"/>
              <w:ind w:left="0" w:right="0" w:firstLine="0" w:firstLineChars="0"/>
              <w:jc w:val="center"/>
              <w:rPr>
                <w:rFonts w:hint="eastAsia" w:ascii="仿宋_GB2312" w:hAnsi="仿宋_GB2312" w:eastAsia="仿宋_GB2312" w:cs="仿宋_GB2312"/>
                <w:spacing w:val="0"/>
                <w:w w:val="100"/>
                <w:kern w:val="2"/>
                <w:position w:val="0"/>
                <w:sz w:val="21"/>
                <w:szCs w:val="21"/>
                <w:shd w:val="clear"/>
                <w:lang w:eastAsia="zh-CN" w:bidi="ar-SA"/>
              </w:rPr>
            </w:pPr>
            <w:r>
              <w:rPr>
                <w:rFonts w:hint="eastAsia" w:ascii="仿宋_GB2312" w:hAnsi="仿宋_GB2312" w:eastAsia="仿宋_GB2312" w:cs="仿宋_GB2312"/>
                <w:spacing w:val="0"/>
                <w:w w:val="100"/>
                <w:kern w:val="2"/>
                <w:position w:val="0"/>
                <w:sz w:val="21"/>
                <w:szCs w:val="21"/>
                <w:shd w:val="clear"/>
                <w:lang w:eastAsia="zh-CN" w:bidi="ar-SA"/>
              </w:rPr>
              <w:t>除臭废活性炭</w:t>
            </w:r>
          </w:p>
        </w:tc>
        <w:tc>
          <w:tcPr>
            <w:tcW w:w="4263" w:type="dxa"/>
            <w:vAlign w:val="center"/>
          </w:tcPr>
          <w:p w14:paraId="69F210F3">
            <w:pPr>
              <w:keepNext w:val="0"/>
              <w:keepLines w:val="0"/>
              <w:shd w:val="clear"/>
              <w:bidi w:val="0"/>
              <w:spacing w:before="0" w:after="0" w:line="240" w:lineRule="auto"/>
              <w:ind w:left="0" w:right="0" w:firstLine="0" w:firstLineChars="0"/>
              <w:jc w:val="left"/>
              <w:rPr>
                <w:rFonts w:hint="eastAsia" w:ascii="仿宋_GB2312" w:hAnsi="仿宋_GB2312" w:eastAsia="仿宋_GB2312" w:cs="仿宋_GB2312"/>
                <w:spacing w:val="0"/>
                <w:w w:val="100"/>
                <w:kern w:val="2"/>
                <w:position w:val="0"/>
                <w:sz w:val="21"/>
                <w:szCs w:val="21"/>
                <w:shd w:val="clear"/>
                <w:lang w:eastAsia="zh-CN" w:bidi="ar-SA"/>
              </w:rPr>
            </w:pPr>
            <w:r>
              <w:rPr>
                <w:rFonts w:hint="eastAsia" w:ascii="仿宋_GB2312" w:hAnsi="仿宋_GB2312" w:eastAsia="仿宋_GB2312" w:cs="仿宋_GB2312"/>
                <w:spacing w:val="0"/>
                <w:w w:val="100"/>
                <w:kern w:val="2"/>
                <w:position w:val="0"/>
                <w:sz w:val="21"/>
                <w:szCs w:val="21"/>
                <w:shd w:val="clear"/>
                <w:lang w:eastAsia="zh-CN" w:bidi="ar-SA"/>
              </w:rPr>
              <w:t>送入焚烧炉燃烧分解。</w:t>
            </w:r>
          </w:p>
        </w:tc>
        <w:tc>
          <w:tcPr>
            <w:tcW w:w="987" w:type="dxa"/>
            <w:vAlign w:val="center"/>
          </w:tcPr>
          <w:p w14:paraId="5A35067B">
            <w:pPr>
              <w:keepNext w:val="0"/>
              <w:keepLines w:val="0"/>
              <w:shd w:val="clear"/>
              <w:bidi w:val="0"/>
              <w:spacing w:before="0" w:after="0" w:line="240" w:lineRule="auto"/>
              <w:ind w:left="0" w:right="0" w:firstLine="0" w:firstLineChars="0"/>
              <w:jc w:val="center"/>
              <w:rPr>
                <w:rFonts w:hint="eastAsia" w:ascii="仿宋_GB2312" w:hAnsi="仿宋_GB2312" w:eastAsia="仿宋_GB2312" w:cs="仿宋_GB2312"/>
                <w:spacing w:val="0"/>
                <w:w w:val="100"/>
                <w:kern w:val="2"/>
                <w:position w:val="0"/>
                <w:sz w:val="21"/>
                <w:szCs w:val="21"/>
                <w:shd w:val="clear"/>
                <w:lang w:eastAsia="zh-CN" w:bidi="ar-SA"/>
              </w:rPr>
            </w:pPr>
          </w:p>
        </w:tc>
      </w:tr>
      <w:tr w14:paraId="72578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16372973">
            <w:pPr>
              <w:keepNext w:val="0"/>
              <w:keepLines w:val="0"/>
              <w:shd w:val="clear"/>
              <w:bidi w:val="0"/>
              <w:spacing w:before="0" w:after="0" w:line="240" w:lineRule="auto"/>
              <w:ind w:left="0" w:right="0" w:firstLine="0" w:firstLineChars="0"/>
              <w:jc w:val="center"/>
              <w:rPr>
                <w:rFonts w:hint="eastAsia" w:ascii="仿宋_GB2312" w:hAnsi="仿宋_GB2312" w:eastAsia="仿宋_GB2312" w:cs="仿宋_GB2312"/>
                <w:spacing w:val="0"/>
                <w:w w:val="100"/>
                <w:kern w:val="2"/>
                <w:position w:val="0"/>
                <w:sz w:val="21"/>
                <w:szCs w:val="21"/>
                <w:shd w:val="clear"/>
                <w:lang w:eastAsia="zh-CN" w:bidi="ar-SA"/>
              </w:rPr>
            </w:pPr>
            <w:r>
              <w:rPr>
                <w:rFonts w:hint="eastAsia" w:ascii="仿宋_GB2312" w:hAnsi="仿宋_GB2312" w:eastAsia="仿宋_GB2312" w:cs="仿宋_GB2312"/>
                <w:spacing w:val="0"/>
                <w:w w:val="100"/>
                <w:kern w:val="2"/>
                <w:position w:val="0"/>
                <w:sz w:val="21"/>
                <w:szCs w:val="21"/>
                <w:shd w:val="clear"/>
                <w:lang w:eastAsia="zh-CN" w:bidi="ar-SA"/>
              </w:rPr>
              <w:t>11</w:t>
            </w:r>
          </w:p>
        </w:tc>
        <w:tc>
          <w:tcPr>
            <w:tcW w:w="2409" w:type="dxa"/>
            <w:vAlign w:val="center"/>
          </w:tcPr>
          <w:p w14:paraId="6F018787">
            <w:pPr>
              <w:keepNext w:val="0"/>
              <w:keepLines w:val="0"/>
              <w:shd w:val="clear"/>
              <w:bidi w:val="0"/>
              <w:spacing w:before="0" w:after="0" w:line="240" w:lineRule="auto"/>
              <w:ind w:left="0" w:right="0" w:firstLine="0" w:firstLineChars="0"/>
              <w:jc w:val="center"/>
              <w:rPr>
                <w:rFonts w:hint="eastAsia" w:ascii="仿宋_GB2312" w:hAnsi="仿宋_GB2312" w:eastAsia="仿宋_GB2312" w:cs="仿宋_GB2312"/>
                <w:spacing w:val="0"/>
                <w:w w:val="100"/>
                <w:kern w:val="2"/>
                <w:position w:val="0"/>
                <w:sz w:val="21"/>
                <w:szCs w:val="21"/>
                <w:shd w:val="clear"/>
                <w:lang w:eastAsia="zh-CN" w:bidi="ar-SA"/>
              </w:rPr>
            </w:pPr>
            <w:r>
              <w:rPr>
                <w:rFonts w:hint="eastAsia" w:ascii="仿宋_GB2312" w:hAnsi="仿宋_GB2312" w:eastAsia="仿宋_GB2312" w:cs="仿宋_GB2312"/>
                <w:spacing w:val="0"/>
                <w:w w:val="100"/>
                <w:kern w:val="2"/>
                <w:position w:val="0"/>
                <w:sz w:val="21"/>
                <w:szCs w:val="21"/>
                <w:shd w:val="clear"/>
                <w:lang w:eastAsia="zh-CN" w:bidi="ar-SA"/>
              </w:rPr>
              <w:t>布袋除尘废布袋</w:t>
            </w:r>
          </w:p>
        </w:tc>
        <w:tc>
          <w:tcPr>
            <w:tcW w:w="4263" w:type="dxa"/>
            <w:vAlign w:val="center"/>
          </w:tcPr>
          <w:p w14:paraId="1A712FAB">
            <w:pPr>
              <w:keepNext w:val="0"/>
              <w:keepLines w:val="0"/>
              <w:shd w:val="clear"/>
              <w:bidi w:val="0"/>
              <w:spacing w:before="0" w:after="0" w:line="240" w:lineRule="auto"/>
              <w:ind w:left="0" w:right="0" w:firstLine="0" w:firstLineChars="0"/>
              <w:jc w:val="left"/>
              <w:rPr>
                <w:rFonts w:hint="eastAsia" w:ascii="仿宋_GB2312" w:hAnsi="仿宋_GB2312" w:eastAsia="仿宋_GB2312" w:cs="仿宋_GB2312"/>
                <w:spacing w:val="0"/>
                <w:w w:val="100"/>
                <w:kern w:val="2"/>
                <w:position w:val="0"/>
                <w:sz w:val="21"/>
                <w:szCs w:val="21"/>
                <w:shd w:val="clear"/>
                <w:lang w:eastAsia="zh-CN" w:bidi="ar-SA"/>
              </w:rPr>
            </w:pPr>
            <w:r>
              <w:rPr>
                <w:rFonts w:hint="eastAsia" w:ascii="仿宋_GB2312" w:hAnsi="仿宋_GB2312" w:eastAsia="仿宋_GB2312" w:cs="仿宋_GB2312"/>
                <w:spacing w:val="0"/>
                <w:w w:val="100"/>
                <w:kern w:val="2"/>
                <w:position w:val="0"/>
                <w:sz w:val="21"/>
                <w:szCs w:val="21"/>
                <w:shd w:val="clear"/>
                <w:lang w:eastAsia="zh-CN" w:bidi="ar-SA"/>
              </w:rPr>
              <w:t>委托重庆海创环保科技有限责任公司处置。</w:t>
            </w:r>
          </w:p>
        </w:tc>
        <w:tc>
          <w:tcPr>
            <w:tcW w:w="987" w:type="dxa"/>
            <w:vAlign w:val="center"/>
          </w:tcPr>
          <w:p w14:paraId="255E4AB9">
            <w:pPr>
              <w:keepNext w:val="0"/>
              <w:keepLines w:val="0"/>
              <w:shd w:val="clear"/>
              <w:bidi w:val="0"/>
              <w:spacing w:before="0" w:after="0" w:line="240" w:lineRule="auto"/>
              <w:ind w:left="0" w:right="0" w:firstLine="0" w:firstLineChars="0"/>
              <w:jc w:val="center"/>
              <w:rPr>
                <w:rFonts w:hint="eastAsia" w:ascii="仿宋_GB2312" w:hAnsi="仿宋_GB2312" w:eastAsia="仿宋_GB2312" w:cs="仿宋_GB2312"/>
                <w:spacing w:val="0"/>
                <w:w w:val="100"/>
                <w:kern w:val="2"/>
                <w:position w:val="0"/>
                <w:sz w:val="21"/>
                <w:szCs w:val="21"/>
                <w:shd w:val="clear"/>
                <w:lang w:eastAsia="zh-CN" w:bidi="ar-SA"/>
              </w:rPr>
            </w:pPr>
          </w:p>
        </w:tc>
      </w:tr>
    </w:tbl>
    <w:p w14:paraId="2B90BE5F">
      <w:pPr>
        <w:pStyle w:val="29"/>
        <w:bidi w:val="0"/>
        <w:rPr>
          <w:rFonts w:hint="eastAsia" w:ascii="仿宋_GB2312" w:hAnsi="仿宋_GB2312" w:eastAsia="仿宋_GB2312" w:cs="仿宋_GB2312"/>
        </w:rPr>
      </w:pPr>
      <w:bookmarkStart w:id="153" w:name="bookmark186"/>
      <w:bookmarkStart w:id="154" w:name="bookmark184"/>
      <w:bookmarkStart w:id="155" w:name="bookmark183"/>
      <w:bookmarkStart w:id="156" w:name="_Toc20138"/>
      <w:r>
        <w:rPr>
          <w:rFonts w:hint="eastAsia" w:ascii="仿宋_GB2312" w:hAnsi="仿宋_GB2312" w:eastAsia="仿宋_GB2312" w:cs="仿宋_GB2312"/>
          <w:lang w:val="en-US" w:eastAsia="en-US"/>
        </w:rPr>
        <w:t>2.6.4</w:t>
      </w:r>
      <w:r>
        <w:rPr>
          <w:rFonts w:hint="eastAsia" w:ascii="仿宋_GB2312" w:hAnsi="仿宋_GB2312" w:eastAsia="仿宋_GB2312" w:cs="仿宋_GB2312"/>
        </w:rPr>
        <w:t>噪声污染防治措施</w:t>
      </w:r>
      <w:bookmarkEnd w:id="153"/>
      <w:bookmarkEnd w:id="154"/>
      <w:bookmarkEnd w:id="155"/>
      <w:bookmarkEnd w:id="156"/>
    </w:p>
    <w:p w14:paraId="57D53A62">
      <w:pPr>
        <w:pStyle w:val="27"/>
        <w:bidi w:val="0"/>
        <w:rPr>
          <w:rFonts w:hint="eastAsia" w:ascii="仿宋_GB2312" w:hAnsi="仿宋_GB2312" w:eastAsia="仿宋_GB2312" w:cs="仿宋_GB2312"/>
        </w:rPr>
      </w:pPr>
      <w:r>
        <w:rPr>
          <w:rFonts w:hint="eastAsia" w:ascii="仿宋_GB2312" w:hAnsi="仿宋_GB2312" w:eastAsia="仿宋_GB2312" w:cs="仿宋_GB2312"/>
        </w:rPr>
        <w:t>本项目噪声防治采取的措施如下：</w:t>
      </w:r>
    </w:p>
    <w:p w14:paraId="1D3A5C26">
      <w:pPr>
        <w:pStyle w:val="27"/>
        <w:bidi w:val="0"/>
        <w:rPr>
          <w:rFonts w:hint="eastAsia" w:ascii="仿宋_GB2312" w:hAnsi="仿宋_GB2312" w:eastAsia="仿宋_GB2312" w:cs="仿宋_GB2312"/>
        </w:rPr>
      </w:pPr>
      <w:r>
        <w:rPr>
          <w:rFonts w:hint="eastAsia" w:ascii="仿宋_GB2312" w:hAnsi="仿宋_GB2312" w:eastAsia="仿宋_GB2312" w:cs="仿宋_GB2312"/>
        </w:rPr>
        <w:t>（1）主厂房内的高噪声设备布置集中，利用建（构）筑物的屏蔽作用隔噪；</w:t>
      </w:r>
    </w:p>
    <w:p w14:paraId="33A2E0C7">
      <w:pPr>
        <w:pStyle w:val="27"/>
        <w:bidi w:val="0"/>
        <w:rPr>
          <w:rFonts w:hint="eastAsia" w:ascii="仿宋_GB2312" w:hAnsi="仿宋_GB2312" w:eastAsia="仿宋_GB2312" w:cs="仿宋_GB2312"/>
        </w:rPr>
      </w:pPr>
      <w:r>
        <w:rPr>
          <w:rFonts w:hint="eastAsia" w:ascii="仿宋_GB2312" w:hAnsi="仿宋_GB2312" w:eastAsia="仿宋_GB2312" w:cs="仿宋_GB2312"/>
        </w:rPr>
        <w:t>（2）选用了选用低噪声的生产设备和工艺；</w:t>
      </w:r>
    </w:p>
    <w:p w14:paraId="014CFE45">
      <w:pPr>
        <w:pStyle w:val="27"/>
        <w:bidi w:val="0"/>
        <w:rPr>
          <w:rFonts w:hint="eastAsia" w:ascii="仿宋_GB2312" w:hAnsi="仿宋_GB2312" w:eastAsia="仿宋_GB2312" w:cs="仿宋_GB2312"/>
        </w:rPr>
      </w:pPr>
      <w:r>
        <w:rPr>
          <w:rFonts w:hint="eastAsia" w:ascii="仿宋_GB2312" w:hAnsi="仿宋_GB2312" w:eastAsia="仿宋_GB2312" w:cs="仿宋_GB2312"/>
        </w:rPr>
        <w:t>（3）锅炉对空排汽、安全阀排汽及除氧器排汽均安装了消声器，汽轮发电机组、给水泵等加装了隔声罩；送风机、引风机安装消声器，风管包扎阻尼材料；机械通风冷却塔风机电机加装了可拆卸式隔声罩，风筒上部加装了出风消音器，雨区填装了斜管吸声填料；</w:t>
      </w:r>
    </w:p>
    <w:p w14:paraId="48ED5749">
      <w:pPr>
        <w:pStyle w:val="27"/>
        <w:bidi w:val="0"/>
        <w:rPr>
          <w:rFonts w:hint="eastAsia" w:ascii="仿宋_GB2312" w:hAnsi="仿宋_GB2312" w:eastAsia="仿宋_GB2312" w:cs="仿宋_GB2312"/>
        </w:rPr>
      </w:pPr>
      <w:r>
        <w:rPr>
          <w:rFonts w:hint="eastAsia" w:ascii="仿宋_GB2312" w:hAnsi="仿宋_GB2312" w:eastAsia="仿宋_GB2312" w:cs="仿宋_GB2312"/>
        </w:rPr>
        <w:t>（4）集中控制楼采用建筑隔声；对短时暴露在强噪声环境下操作的工人采取个人劳动保护措施，如佩戴防噪声耳塞等；封闭噪声高的设备；增加了绿化，利用植被的吸声降噪功能，同时也美化了生产、工作环境。</w:t>
      </w:r>
    </w:p>
    <w:p w14:paraId="670FE4FF">
      <w:pPr>
        <w:pStyle w:val="29"/>
        <w:bidi w:val="0"/>
        <w:rPr>
          <w:rFonts w:hint="eastAsia" w:ascii="仿宋_GB2312" w:hAnsi="仿宋_GB2312" w:eastAsia="仿宋_GB2312" w:cs="仿宋_GB2312"/>
          <w:color w:val="000000" w:themeColor="text1"/>
          <w14:textFill>
            <w14:solidFill>
              <w14:schemeClr w14:val="tx1"/>
            </w14:solidFill>
          </w14:textFill>
        </w:rPr>
      </w:pPr>
      <w:bookmarkStart w:id="157" w:name="bookmark188"/>
      <w:bookmarkStart w:id="158" w:name="bookmark190"/>
      <w:bookmarkStart w:id="159" w:name="_Toc6211"/>
      <w:bookmarkStart w:id="160" w:name="bookmark187"/>
      <w:r>
        <w:rPr>
          <w:rFonts w:hint="eastAsia" w:ascii="仿宋_GB2312" w:hAnsi="仿宋_GB2312" w:eastAsia="仿宋_GB2312" w:cs="仿宋_GB2312"/>
          <w:color w:val="000000" w:themeColor="text1"/>
          <w:lang w:val="en-US" w:eastAsia="en-US"/>
          <w14:textFill>
            <w14:solidFill>
              <w14:schemeClr w14:val="tx1"/>
            </w14:solidFill>
          </w14:textFill>
        </w:rPr>
        <w:t>2.6.5</w:t>
      </w:r>
      <w:r>
        <w:rPr>
          <w:rFonts w:hint="eastAsia" w:ascii="仿宋_GB2312" w:hAnsi="仿宋_GB2312" w:eastAsia="仿宋_GB2312" w:cs="仿宋_GB2312"/>
          <w:color w:val="000000" w:themeColor="text1"/>
          <w14:textFill>
            <w14:solidFill>
              <w14:schemeClr w14:val="tx1"/>
            </w14:solidFill>
          </w14:textFill>
        </w:rPr>
        <w:t>土壤及地下水污染防治措施</w:t>
      </w:r>
      <w:bookmarkEnd w:id="157"/>
      <w:bookmarkEnd w:id="158"/>
      <w:bookmarkEnd w:id="159"/>
      <w:bookmarkEnd w:id="160"/>
    </w:p>
    <w:p w14:paraId="19A02C9A">
      <w:pPr>
        <w:pStyle w:val="27"/>
        <w:bidi w:val="0"/>
        <w:rPr>
          <w:rFonts w:hint="eastAsia" w:ascii="仿宋_GB2312" w:hAnsi="仿宋_GB2312" w:eastAsia="仿宋_GB2312" w:cs="仿宋_GB2312"/>
          <w:color w:val="000000" w:themeColor="text1"/>
          <w:lang w:val="en-US" w:eastAsia="zh-CN"/>
          <w14:textFill>
            <w14:solidFill>
              <w14:schemeClr w14:val="tx1"/>
            </w14:solidFill>
          </w14:textFill>
        </w:rPr>
      </w:pPr>
      <w:r>
        <w:rPr>
          <w:rFonts w:hint="eastAsia" w:ascii="仿宋_GB2312" w:hAnsi="仿宋_GB2312" w:eastAsia="仿宋_GB2312" w:cs="仿宋_GB2312"/>
          <w:color w:val="000000" w:themeColor="text1"/>
          <w:lang w:eastAsia="zh-CN"/>
          <w14:textFill>
            <w14:solidFill>
              <w14:schemeClr w14:val="tx1"/>
            </w14:solidFill>
          </w14:textFill>
        </w:rPr>
        <w:t>（</w:t>
      </w:r>
      <w:r>
        <w:rPr>
          <w:rFonts w:hint="eastAsia" w:ascii="仿宋_GB2312" w:hAnsi="仿宋_GB2312" w:eastAsia="仿宋_GB2312" w:cs="仿宋_GB2312"/>
          <w:color w:val="000000" w:themeColor="text1"/>
          <w:lang w:val="en-US" w:eastAsia="zh-CN"/>
          <w14:textFill>
            <w14:solidFill>
              <w14:schemeClr w14:val="tx1"/>
            </w14:solidFill>
          </w14:textFill>
        </w:rPr>
        <w:t>1</w:t>
      </w:r>
      <w:r>
        <w:rPr>
          <w:rFonts w:hint="eastAsia" w:ascii="仿宋_GB2312" w:hAnsi="仿宋_GB2312" w:eastAsia="仿宋_GB2312" w:cs="仿宋_GB2312"/>
          <w:color w:val="000000" w:themeColor="text1"/>
          <w:lang w:eastAsia="zh-CN"/>
          <w14:textFill>
            <w14:solidFill>
              <w14:schemeClr w14:val="tx1"/>
            </w14:solidFill>
          </w14:textFill>
        </w:rPr>
        <w:t>）</w:t>
      </w:r>
      <w:r>
        <w:rPr>
          <w:rFonts w:hint="eastAsia" w:ascii="仿宋_GB2312" w:hAnsi="仿宋_GB2312" w:eastAsia="仿宋_GB2312" w:cs="仿宋_GB2312"/>
          <w:color w:val="000000" w:themeColor="text1"/>
          <w:lang w:val="en-US" w:eastAsia="zh-CN"/>
          <w14:textFill>
            <w14:solidFill>
              <w14:schemeClr w14:val="tx1"/>
            </w14:solidFill>
          </w14:textFill>
        </w:rPr>
        <w:t>土壤防治</w:t>
      </w:r>
    </w:p>
    <w:p w14:paraId="74D57D82">
      <w:pPr>
        <w:pStyle w:val="27"/>
        <w:bidi w:val="0"/>
        <w:rPr>
          <w:rFonts w:hint="eastAsia" w:ascii="仿宋_GB2312" w:hAnsi="仿宋_GB2312" w:eastAsia="仿宋_GB2312" w:cs="仿宋_GB2312"/>
          <w:color w:val="000000" w:themeColor="text1"/>
          <w:lang w:val="en-US" w:eastAsia="zh-CN"/>
          <w14:textFill>
            <w14:solidFill>
              <w14:schemeClr w14:val="tx1"/>
            </w14:solidFill>
          </w14:textFill>
        </w:rPr>
      </w:pPr>
      <w:r>
        <w:rPr>
          <w:rFonts w:hint="eastAsia" w:ascii="仿宋_GB2312" w:hAnsi="仿宋_GB2312" w:eastAsia="仿宋_GB2312" w:cs="仿宋_GB2312"/>
          <w:color w:val="000000" w:themeColor="text1"/>
          <w:lang w:val="en-US" w:eastAsia="zh-CN"/>
          <w14:textFill>
            <w14:solidFill>
              <w14:schemeClr w14:val="tx1"/>
            </w14:solidFill>
          </w14:textFill>
        </w:rPr>
        <w:t>为降低土壤污染风险，公司安排看守人员对工业活动区域开展特定的监管和检查。负责日常监管的人员熟悉各种生产设施的运转和维护，对设备泄漏能够正确应对，能对防护材料、污染扩散和渗漏做出判断。日常监管结合生产工艺类型、防护措施和监管手段进行土壤污染的可能性评估。</w:t>
      </w:r>
    </w:p>
    <w:p w14:paraId="75E2D073">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（2）水污染防治</w:t>
      </w:r>
    </w:p>
    <w:p w14:paraId="42C2D4B7">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①污染源控制</w:t>
      </w:r>
    </w:p>
    <w:p w14:paraId="15C5FC45">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生产厂房内地面坡向集水点的坡度大于0.01，所有排水系统的渗滤液收集池、废水调节池、硝化及反硝化池、雨水口、检查井、水封井等构筑物均采用防渗钢筋混凝土结构及PVC膜防渗层保护，穿过构筑物壁的管道预先设置防水套管，防水套管环缝隙采用不透水柔性材料填塞。</w:t>
      </w:r>
    </w:p>
    <w:p w14:paraId="3085D668">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②分区防渗</w:t>
      </w:r>
    </w:p>
    <w:p w14:paraId="52C10903">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重点防渗区：包括地下管道、地下容器、储罐及设备。拟建项目包括含污染介质的地磅区域、卸料平台、垃圾通道、垃圾贮坑、渗滤液收集池、污水处理站（渗滤液处理系统）、生活污水处理系统、污水输送管网、事故水池（含初期雨水池）、飞灰贮存仓、危废储存间、柴油储罐区、氨水储罐区、焚烧间、烟气净化车间（含活性炭及消石灰贮存车间）等区域。防渗层的防渗性能不低于6.0m厚渗透系数1×10-7cm/s的等效黏土层的防渗性能。</w:t>
      </w:r>
    </w:p>
    <w:p w14:paraId="7B4A9450">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一般防渗区：包括空压机站、净水站、除盐水处理站、循环水站、渣池、物料输送管网以及主厂房其他区域等区域或部位。防渗层的防渗性能不应低于1.5m厚渗透系数1×10-7cm/s的等效黏土层的防渗性能。</w:t>
      </w:r>
    </w:p>
    <w:p w14:paraId="6BEFD327">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简单防渗区：包括办公区、厂区道路、绿化区等，划为简单防渗区。一般地面硬化。</w:t>
      </w:r>
    </w:p>
    <w:p w14:paraId="1DBF83E8">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③渗滤液输送管道及污水管道应采用防腐蚀、防渗材料，且应采取地上敷设、实现可视化，并设置管道保护沟，保护沟应全部硬化并做好防渗处理，可以暂存因管道爆裂事故排放的少量污水，同时保护沟顶部加活动盖板。</w:t>
      </w:r>
    </w:p>
    <w:p w14:paraId="58D11ACE">
      <w:pPr>
        <w:pStyle w:val="17"/>
        <w:bidi w:val="0"/>
        <w:rPr>
          <w:rFonts w:hint="eastAsia" w:ascii="仿宋_GB2312" w:hAnsi="仿宋_GB2312" w:eastAsia="仿宋_GB2312" w:cs="仿宋_GB2312"/>
        </w:rPr>
      </w:pPr>
      <w:bookmarkStart w:id="161" w:name="bookmark206"/>
      <w:bookmarkStart w:id="162" w:name="bookmark207"/>
      <w:bookmarkStart w:id="163" w:name="bookmark209"/>
      <w:bookmarkStart w:id="164" w:name="_Toc3343"/>
      <w:r>
        <w:rPr>
          <w:rFonts w:hint="eastAsia" w:ascii="仿宋_GB2312" w:hAnsi="仿宋_GB2312" w:eastAsia="仿宋_GB2312" w:cs="仿宋_GB2312"/>
          <w:lang w:val="zh-CN" w:eastAsia="zh-CN"/>
        </w:rPr>
        <w:t>3</w:t>
      </w:r>
      <w:r>
        <w:rPr>
          <w:rFonts w:hint="eastAsia" w:ascii="仿宋_GB2312" w:hAnsi="仿宋_GB2312" w:eastAsia="仿宋_GB2312" w:cs="仿宋_GB2312"/>
          <w:lang w:val="en-US" w:eastAsia="zh-CN"/>
        </w:rPr>
        <w:t>.</w:t>
      </w:r>
      <w:r>
        <w:rPr>
          <w:rFonts w:hint="eastAsia" w:ascii="仿宋_GB2312" w:hAnsi="仿宋_GB2312" w:eastAsia="仿宋_GB2312" w:cs="仿宋_GB2312"/>
        </w:rPr>
        <w:t>排查方法</w:t>
      </w:r>
      <w:bookmarkEnd w:id="161"/>
      <w:bookmarkEnd w:id="162"/>
      <w:bookmarkEnd w:id="163"/>
      <w:bookmarkEnd w:id="164"/>
    </w:p>
    <w:p w14:paraId="40D38832">
      <w:pPr>
        <w:pStyle w:val="25"/>
        <w:bidi w:val="0"/>
        <w:rPr>
          <w:rFonts w:hint="eastAsia" w:ascii="仿宋_GB2312" w:hAnsi="仿宋_GB2312" w:eastAsia="仿宋_GB2312" w:cs="仿宋_GB2312"/>
        </w:rPr>
      </w:pPr>
      <w:bookmarkStart w:id="165" w:name="bookmark213"/>
      <w:bookmarkEnd w:id="165"/>
      <w:bookmarkStart w:id="166" w:name="_Toc21975"/>
      <w:bookmarkStart w:id="167" w:name="bookmark211"/>
      <w:bookmarkStart w:id="168" w:name="bookmark214"/>
      <w:bookmarkStart w:id="169" w:name="bookmark210"/>
      <w:r>
        <w:rPr>
          <w:rFonts w:hint="eastAsia" w:ascii="仿宋_GB2312" w:hAnsi="仿宋_GB2312" w:eastAsia="仿宋_GB2312" w:cs="仿宋_GB2312"/>
          <w:lang w:val="en-US" w:eastAsia="zh-CN"/>
        </w:rPr>
        <w:t>3.</w:t>
      </w:r>
      <w:r>
        <w:rPr>
          <w:rFonts w:hint="eastAsia" w:ascii="仿宋_GB2312" w:hAnsi="仿宋_GB2312" w:eastAsia="仿宋_GB2312" w:cs="仿宋_GB2312"/>
        </w:rPr>
        <w:t>1资料收集</w:t>
      </w:r>
      <w:bookmarkEnd w:id="166"/>
      <w:bookmarkEnd w:id="167"/>
      <w:bookmarkEnd w:id="168"/>
      <w:bookmarkEnd w:id="169"/>
    </w:p>
    <w:p w14:paraId="1E8B4CE9">
      <w:pPr>
        <w:pStyle w:val="27"/>
        <w:bidi w:val="0"/>
        <w:rPr>
          <w:rFonts w:hint="eastAsia" w:ascii="仿宋_GB2312" w:hAnsi="仿宋_GB2312" w:eastAsia="仿宋_GB2312" w:cs="仿宋_GB2312"/>
        </w:rPr>
      </w:pPr>
      <w:r>
        <w:rPr>
          <w:rFonts w:hint="eastAsia" w:ascii="仿宋_GB2312" w:hAnsi="仿宋_GB2312" w:eastAsia="仿宋_GB2312" w:cs="仿宋_GB2312"/>
        </w:rPr>
        <w:t>资料收集包括有企业基本信息、生产信息资料、环境管理信息资料、重点场所及设施设备管理信息等，详细描述如下：</w:t>
      </w:r>
    </w:p>
    <w:p w14:paraId="40D97F28">
      <w:pPr>
        <w:pStyle w:val="27"/>
        <w:bidi w:val="0"/>
        <w:rPr>
          <w:rFonts w:hint="eastAsia" w:ascii="仿宋_GB2312" w:hAnsi="仿宋_GB2312" w:eastAsia="仿宋_GB2312" w:cs="仿宋_GB2312"/>
        </w:rPr>
      </w:pPr>
      <w:bookmarkStart w:id="170" w:name="bookmark215"/>
      <w:r>
        <w:rPr>
          <w:rFonts w:hint="eastAsia" w:ascii="仿宋_GB2312" w:hAnsi="仿宋_GB2312" w:eastAsia="仿宋_GB2312" w:cs="仿宋_GB2312"/>
        </w:rPr>
        <w:t>1</w:t>
      </w:r>
      <w:bookmarkEnd w:id="170"/>
      <w:r>
        <w:rPr>
          <w:rFonts w:hint="eastAsia" w:ascii="仿宋_GB2312" w:hAnsi="仿宋_GB2312" w:eastAsia="仿宋_GB2312" w:cs="仿宋_GB2312"/>
        </w:rPr>
        <w:t>、企业基本信息收集情况：企业总平面图布置图及面积、重点设施设备分布图、雨污管线分布图等。</w:t>
      </w:r>
    </w:p>
    <w:p w14:paraId="7B6A611A">
      <w:pPr>
        <w:pStyle w:val="27"/>
        <w:bidi w:val="0"/>
        <w:rPr>
          <w:rFonts w:hint="eastAsia" w:ascii="仿宋_GB2312" w:hAnsi="仿宋_GB2312" w:eastAsia="仿宋_GB2312" w:cs="仿宋_GB2312"/>
        </w:rPr>
      </w:pPr>
      <w:bookmarkStart w:id="171" w:name="bookmark216"/>
      <w:r>
        <w:rPr>
          <w:rFonts w:hint="eastAsia" w:ascii="仿宋_GB2312" w:hAnsi="仿宋_GB2312" w:eastAsia="仿宋_GB2312" w:cs="仿宋_GB2312"/>
        </w:rPr>
        <w:t>2</w:t>
      </w:r>
      <w:bookmarkEnd w:id="171"/>
      <w:r>
        <w:rPr>
          <w:rFonts w:hint="eastAsia" w:ascii="仿宋_GB2312" w:hAnsi="仿宋_GB2312" w:eastAsia="仿宋_GB2312" w:cs="仿宋_GB2312"/>
        </w:rPr>
        <w:t>、企业生产信息收集情况：企业生产工艺流程图、化学品信息，特别是有毒有害物质生产、使用、转运储存等情况，涉及化学品的相关生产设备防渗漏、流失、扬散涉及和建设信息，相关管理制度和台账等。</w:t>
      </w:r>
    </w:p>
    <w:p w14:paraId="23F36049">
      <w:pPr>
        <w:pStyle w:val="27"/>
        <w:bidi w:val="0"/>
        <w:rPr>
          <w:rFonts w:hint="eastAsia" w:ascii="仿宋_GB2312" w:hAnsi="仿宋_GB2312" w:eastAsia="仿宋_GB2312" w:cs="仿宋_GB2312"/>
        </w:rPr>
      </w:pPr>
      <w:bookmarkStart w:id="172" w:name="bookmark217"/>
      <w:r>
        <w:rPr>
          <w:rFonts w:hint="eastAsia" w:ascii="仿宋_GB2312" w:hAnsi="仿宋_GB2312" w:eastAsia="仿宋_GB2312" w:cs="仿宋_GB2312"/>
        </w:rPr>
        <w:t>3</w:t>
      </w:r>
      <w:bookmarkEnd w:id="172"/>
      <w:r>
        <w:rPr>
          <w:rFonts w:hint="eastAsia" w:ascii="仿宋_GB2312" w:hAnsi="仿宋_GB2312" w:eastAsia="仿宋_GB2312" w:cs="仿宋_GB2312"/>
        </w:rPr>
        <w:t>、企业环境管理信息收集情况：建设项目环境影响报告书（表）、竣工环保验收报告、环境影响后评价报告、清洁生产报告、排污许可证、环境</w:t>
      </w:r>
      <w:r>
        <w:rPr>
          <w:rFonts w:hint="eastAsia" w:ascii="仿宋_GB2312" w:hAnsi="仿宋_GB2312" w:eastAsia="仿宋_GB2312" w:cs="仿宋_GB2312"/>
          <w:lang w:val="en-US" w:eastAsia="zh-CN"/>
        </w:rPr>
        <w:t>评估</w:t>
      </w:r>
      <w:r>
        <w:rPr>
          <w:rFonts w:hint="eastAsia" w:ascii="仿宋_GB2312" w:hAnsi="仿宋_GB2312" w:eastAsia="仿宋_GB2312" w:cs="仿宋_GB2312"/>
        </w:rPr>
        <w:t>报告、突发环境事件风险评估报告、应急预案等。</w:t>
      </w:r>
    </w:p>
    <w:p w14:paraId="1AA3F625">
      <w:pPr>
        <w:pStyle w:val="27"/>
        <w:bidi w:val="0"/>
        <w:rPr>
          <w:rFonts w:hint="eastAsia" w:ascii="仿宋_GB2312" w:hAnsi="仿宋_GB2312" w:eastAsia="仿宋_GB2312" w:cs="仿宋_GB2312"/>
        </w:rPr>
      </w:pPr>
      <w:bookmarkStart w:id="173" w:name="bookmark218"/>
      <w:r>
        <w:rPr>
          <w:rFonts w:hint="eastAsia" w:ascii="仿宋_GB2312" w:hAnsi="仿宋_GB2312" w:eastAsia="仿宋_GB2312" w:cs="仿宋_GB2312"/>
        </w:rPr>
        <w:t>4</w:t>
      </w:r>
      <w:bookmarkEnd w:id="173"/>
      <w:r>
        <w:rPr>
          <w:rFonts w:hint="eastAsia" w:ascii="仿宋_GB2312" w:hAnsi="仿宋_GB2312" w:eastAsia="仿宋_GB2312" w:cs="仿宋_GB2312"/>
        </w:rPr>
        <w:t>、废气、废水收集、处理及排放，固体废物产生、贮存、利用和处理处置等情况，包括相关处理、贮存设施设备防渗漏、流失、扬散涉及和建设信息，相关管理制度和台账等。</w:t>
      </w:r>
    </w:p>
    <w:p w14:paraId="03E47E6C">
      <w:pPr>
        <w:pStyle w:val="27"/>
        <w:bidi w:val="0"/>
        <w:rPr>
          <w:rFonts w:hint="eastAsia" w:ascii="仿宋_GB2312" w:hAnsi="仿宋_GB2312" w:eastAsia="仿宋_GB2312" w:cs="仿宋_GB2312"/>
        </w:rPr>
      </w:pPr>
      <w:bookmarkStart w:id="174" w:name="bookmark219"/>
      <w:r>
        <w:rPr>
          <w:rFonts w:hint="eastAsia" w:ascii="仿宋_GB2312" w:hAnsi="仿宋_GB2312" w:eastAsia="仿宋_GB2312" w:cs="仿宋_GB2312"/>
        </w:rPr>
        <w:t>5</w:t>
      </w:r>
      <w:bookmarkEnd w:id="174"/>
      <w:r>
        <w:rPr>
          <w:rFonts w:hint="eastAsia" w:ascii="仿宋_GB2312" w:hAnsi="仿宋_GB2312" w:eastAsia="仿宋_GB2312" w:cs="仿宋_GB2312"/>
        </w:rPr>
        <w:t>、土壤和地下水环境调查监测数据、历史污染记录，已有的隐患排查及整改台账等。</w:t>
      </w:r>
    </w:p>
    <w:p w14:paraId="3124C639">
      <w:pPr>
        <w:pStyle w:val="27"/>
        <w:bidi w:val="0"/>
        <w:rPr>
          <w:rFonts w:hint="eastAsia" w:ascii="仿宋_GB2312" w:hAnsi="仿宋_GB2312" w:eastAsia="仿宋_GB2312" w:cs="仿宋_GB2312"/>
        </w:rPr>
      </w:pPr>
      <w:bookmarkStart w:id="175" w:name="bookmark220"/>
      <w:r>
        <w:rPr>
          <w:rFonts w:hint="eastAsia" w:ascii="仿宋_GB2312" w:hAnsi="仿宋_GB2312" w:eastAsia="仿宋_GB2312" w:cs="仿宋_GB2312"/>
        </w:rPr>
        <w:t>6</w:t>
      </w:r>
      <w:bookmarkEnd w:id="175"/>
      <w:r>
        <w:rPr>
          <w:rFonts w:hint="eastAsia" w:ascii="仿宋_GB2312" w:hAnsi="仿宋_GB2312" w:eastAsia="仿宋_GB2312" w:cs="仿宋_GB2312"/>
        </w:rPr>
        <w:t>、重点场所、设施设备管理情况：重点设施、设备的定期维护、操作手册以及人员培训情况，重点场所的警示牌、操作规程的设定情况等。</w:t>
      </w:r>
    </w:p>
    <w:p w14:paraId="2DE4AA6B">
      <w:pPr>
        <w:pStyle w:val="27"/>
        <w:keepNext w:val="0"/>
        <w:keepLines w:val="0"/>
        <w:pageBreakBefore w:val="0"/>
        <w:widowControl w:val="0"/>
        <w:kinsoku/>
        <w:wordWrap/>
        <w:overflowPunct/>
        <w:topLinePunct w:val="0"/>
        <w:autoSpaceDE/>
        <w:autoSpaceDN/>
        <w:bidi w:val="0"/>
        <w:adjustRightInd/>
        <w:snapToGrid/>
        <w:textAlignment w:val="auto"/>
        <w:rPr>
          <w:color w:val="000000"/>
          <w:spacing w:val="0"/>
          <w:w w:val="100"/>
          <w:position w:val="0"/>
        </w:rPr>
      </w:pPr>
      <w:r>
        <w:rPr>
          <w:rFonts w:hint="eastAsia" w:ascii="仿宋_GB2312" w:hAnsi="仿宋_GB2312" w:eastAsia="仿宋_GB2312" w:cs="仿宋_GB2312"/>
        </w:rPr>
        <w:t>具体收集的资料清单详</w:t>
      </w:r>
      <w:r>
        <w:rPr>
          <w:rFonts w:hint="eastAsia" w:ascii="仿宋_GB2312" w:hAnsi="仿宋_GB2312" w:eastAsia="仿宋_GB2312" w:cs="仿宋_GB2312"/>
          <w:color w:val="000000"/>
          <w:spacing w:val="0"/>
          <w:w w:val="100"/>
          <w:position w:val="0"/>
        </w:rPr>
        <w:t>见表3.1。</w:t>
      </w:r>
    </w:p>
    <w:p w14:paraId="0AEDB611">
      <w:pPr>
        <w:pStyle w:val="27"/>
        <w:keepNext w:val="0"/>
        <w:keepLines w:val="0"/>
        <w:widowControl w:val="0"/>
        <w:shd w:val="clear" w:color="auto" w:fill="auto"/>
        <w:tabs>
          <w:tab w:val="left" w:pos="3581"/>
        </w:tabs>
        <w:bidi w:val="0"/>
        <w:spacing w:before="0" w:after="180" w:line="240" w:lineRule="auto"/>
        <w:ind w:left="0" w:right="0" w:firstLine="960"/>
        <w:jc w:val="both"/>
      </w:pPr>
      <w:r>
        <w:rPr>
          <w:rFonts w:hint="eastAsia" w:ascii="仿宋_GB2312" w:hAnsi="仿宋_GB2312" w:eastAsia="仿宋_GB2312" w:cs="仿宋_GB2312"/>
          <w:color w:val="000000"/>
          <w:spacing w:val="0"/>
          <w:w w:val="100"/>
          <w:position w:val="0"/>
        </w:rPr>
        <w:t>表</w:t>
      </w:r>
      <w:r>
        <w:rPr>
          <w:rFonts w:hint="eastAsia" w:ascii="仿宋_GB2312" w:hAnsi="仿宋_GB2312" w:eastAsia="仿宋_GB2312" w:cs="仿宋_GB2312"/>
          <w:color w:val="000000"/>
          <w:spacing w:val="0"/>
          <w:w w:val="100"/>
          <w:position w:val="0"/>
          <w:lang w:val="en-US" w:eastAsia="en-US" w:bidi="en-US"/>
        </w:rPr>
        <w:t>3.1</w:t>
      </w:r>
      <w:r>
        <w:rPr>
          <w:rFonts w:hint="eastAsia" w:ascii="仿宋_GB2312" w:hAnsi="仿宋_GB2312" w:eastAsia="仿宋_GB2312" w:cs="仿宋_GB2312"/>
          <w:color w:val="000000"/>
          <w:spacing w:val="0"/>
          <w:w w:val="100"/>
          <w:position w:val="0"/>
          <w:lang w:val="en-US" w:eastAsia="en-US" w:bidi="en-US"/>
        </w:rPr>
        <w:tab/>
      </w:r>
      <w:r>
        <w:rPr>
          <w:rFonts w:hint="eastAsia" w:ascii="仿宋_GB2312" w:hAnsi="仿宋_GB2312" w:eastAsia="仿宋_GB2312" w:cs="仿宋_GB2312"/>
          <w:color w:val="000000"/>
          <w:spacing w:val="0"/>
          <w:w w:val="100"/>
          <w:position w:val="0"/>
        </w:rPr>
        <w:t>企业资料收集情况一览表</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581"/>
        <w:gridCol w:w="1104"/>
        <w:gridCol w:w="2746"/>
        <w:gridCol w:w="725"/>
        <w:gridCol w:w="3792"/>
      </w:tblGrid>
      <w:tr w14:paraId="05B95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94" w:hRule="exact"/>
          <w:jc w:val="center"/>
        </w:trPr>
        <w:tc>
          <w:tcPr>
            <w:shd w:val="clear" w:color="auto" w:fill="FFFFFF"/>
            <w:vAlign w:val="center"/>
          </w:tcPr>
          <w:p w14:paraId="261388B3">
            <w:pPr>
              <w:pStyle w:val="33"/>
              <w:keepNext w:val="0"/>
              <w:keepLines w:val="0"/>
              <w:widowControl w:val="0"/>
              <w:shd w:val="clear" w:color="auto" w:fill="auto"/>
              <w:bidi w:val="0"/>
              <w:spacing w:before="0" w:after="0" w:line="240" w:lineRule="auto"/>
              <w:ind w:left="0" w:right="0" w:firstLine="0"/>
              <w:jc w:val="left"/>
              <w:rPr>
                <w:rFonts w:hint="eastAsia" w:ascii="仿宋_GB2312" w:hAnsi="仿宋_GB2312" w:eastAsia="仿宋_GB2312" w:cs="仿宋_GB2312"/>
                <w:sz w:val="21"/>
                <w:szCs w:val="21"/>
              </w:rPr>
            </w:pPr>
            <w:r>
              <w:rPr>
                <w:rFonts w:hint="eastAsia" w:ascii="仿宋_GB2312" w:hAnsi="仿宋_GB2312" w:eastAsia="仿宋_GB2312" w:cs="仿宋_GB2312"/>
                <w:b/>
                <w:bCs/>
                <w:color w:val="000000"/>
                <w:spacing w:val="0"/>
                <w:w w:val="100"/>
                <w:position w:val="0"/>
                <w:sz w:val="21"/>
                <w:szCs w:val="21"/>
              </w:rPr>
              <w:t>序号</w:t>
            </w:r>
          </w:p>
        </w:tc>
        <w:tc>
          <w:tcPr>
            <w:gridSpan w:val="2"/>
            <w:shd w:val="clear" w:color="auto" w:fill="FFFFFF"/>
            <w:vAlign w:val="center"/>
          </w:tcPr>
          <w:p w14:paraId="0F50E441">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b/>
                <w:bCs/>
                <w:color w:val="000000"/>
                <w:spacing w:val="0"/>
                <w:w w:val="100"/>
                <w:position w:val="0"/>
                <w:sz w:val="21"/>
                <w:szCs w:val="21"/>
              </w:rPr>
              <w:t>资料信息</w:t>
            </w:r>
          </w:p>
        </w:tc>
        <w:tc>
          <w:tcPr>
            <w:shd w:val="clear" w:color="auto" w:fill="FFFFFF"/>
            <w:vAlign w:val="center"/>
          </w:tcPr>
          <w:p w14:paraId="7E25CD98">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b/>
                <w:bCs/>
                <w:color w:val="000000"/>
                <w:spacing w:val="0"/>
                <w:w w:val="100"/>
                <w:position w:val="0"/>
                <w:sz w:val="21"/>
                <w:szCs w:val="21"/>
              </w:rPr>
              <w:t>有/无</w:t>
            </w:r>
          </w:p>
        </w:tc>
        <w:tc>
          <w:tcPr>
            <w:shd w:val="clear" w:color="auto" w:fill="FFFFFF"/>
            <w:vAlign w:val="center"/>
          </w:tcPr>
          <w:p w14:paraId="2FA283C1">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b/>
                <w:bCs/>
                <w:color w:val="000000"/>
                <w:spacing w:val="0"/>
                <w:w w:val="100"/>
                <w:position w:val="0"/>
                <w:sz w:val="21"/>
                <w:szCs w:val="21"/>
              </w:rPr>
              <w:t>收集方式及结果</w:t>
            </w:r>
          </w:p>
        </w:tc>
      </w:tr>
      <w:tr w14:paraId="58353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6" w:hRule="exact"/>
          <w:jc w:val="center"/>
        </w:trPr>
        <w:tc>
          <w:tcPr>
            <w:vMerge w:val="restart"/>
            <w:shd w:val="clear" w:color="auto" w:fill="FFFFFF"/>
            <w:vAlign w:val="center"/>
          </w:tcPr>
          <w:p w14:paraId="75C324F4">
            <w:pPr>
              <w:pStyle w:val="33"/>
              <w:keepNext w:val="0"/>
              <w:keepLines w:val="0"/>
              <w:widowControl w:val="0"/>
              <w:shd w:val="clear" w:color="auto" w:fill="auto"/>
              <w:bidi w:val="0"/>
              <w:spacing w:before="0" w:after="0" w:line="240" w:lineRule="auto"/>
              <w:ind w:left="0" w:right="0" w:firstLine="24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1</w:t>
            </w:r>
          </w:p>
        </w:tc>
        <w:tc>
          <w:tcPr>
            <w:vMerge w:val="restart"/>
            <w:shd w:val="clear" w:color="auto" w:fill="FFFFFF"/>
            <w:vAlign w:val="center"/>
          </w:tcPr>
          <w:p w14:paraId="2A9671A2">
            <w:pPr>
              <w:pStyle w:val="33"/>
              <w:keepNext w:val="0"/>
              <w:keepLines w:val="0"/>
              <w:widowControl w:val="0"/>
              <w:shd w:val="clear" w:color="auto" w:fill="auto"/>
              <w:bidi w:val="0"/>
              <w:spacing w:before="0" w:after="0" w:line="250" w:lineRule="exact"/>
              <w:ind w:left="0" w:right="0" w:firstLine="0"/>
              <w:jc w:val="both"/>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企业基本信息</w:t>
            </w:r>
          </w:p>
        </w:tc>
        <w:tc>
          <w:tcPr>
            <w:shd w:val="clear" w:color="auto" w:fill="FFFFFF"/>
            <w:vAlign w:val="top"/>
          </w:tcPr>
          <w:p w14:paraId="12E6A136">
            <w:pPr>
              <w:pStyle w:val="33"/>
              <w:keepNext w:val="0"/>
              <w:keepLines w:val="0"/>
              <w:widowControl w:val="0"/>
              <w:shd w:val="clear" w:color="auto" w:fill="auto"/>
              <w:bidi w:val="0"/>
              <w:spacing w:before="0" w:after="0" w:line="240" w:lineRule="auto"/>
              <w:ind w:left="0" w:right="0" w:firstLine="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企业总平面图布置图及面积</w:t>
            </w:r>
          </w:p>
        </w:tc>
        <w:tc>
          <w:tcPr>
            <w:shd w:val="clear" w:color="auto" w:fill="FFFFFF"/>
            <w:vAlign w:val="top"/>
          </w:tcPr>
          <w:p w14:paraId="4B49EAA5">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有</w:t>
            </w:r>
          </w:p>
        </w:tc>
        <w:tc>
          <w:tcPr>
            <w:vMerge w:val="restart"/>
            <w:shd w:val="clear" w:color="auto" w:fill="FFFFFF"/>
            <w:vAlign w:val="top"/>
          </w:tcPr>
          <w:p w14:paraId="298E890B">
            <w:pPr>
              <w:pStyle w:val="33"/>
              <w:keepNext w:val="0"/>
              <w:keepLines w:val="0"/>
              <w:widowControl w:val="0"/>
              <w:shd w:val="clear" w:color="auto" w:fill="auto"/>
              <w:bidi w:val="0"/>
              <w:spacing w:before="0" w:after="0" w:line="241" w:lineRule="exact"/>
              <w:ind w:left="0" w:right="0" w:firstLine="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项目人员通过现场踏勘及人员访谈收集了企业总平面布置情况以及重点设施设备分布情况；通过收集企业土地证以及管线设计图纸,获取了企业总用地面积及雨污管线分布情况。</w:t>
            </w:r>
          </w:p>
        </w:tc>
      </w:tr>
      <w:tr w14:paraId="73D1B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41" w:hRule="exact"/>
          <w:jc w:val="center"/>
        </w:trPr>
        <w:tc>
          <w:tcPr>
            <w:vMerge w:val="continue"/>
            <w:shd w:val="clear" w:color="auto" w:fill="FFFFFF"/>
            <w:vAlign w:val="center"/>
          </w:tcPr>
          <w:p w14:paraId="7E289BE5">
            <w:pPr>
              <w:rPr>
                <w:rFonts w:hint="eastAsia" w:ascii="仿宋_GB2312" w:hAnsi="仿宋_GB2312" w:eastAsia="仿宋_GB2312" w:cs="仿宋_GB2312"/>
                <w:sz w:val="21"/>
                <w:szCs w:val="21"/>
              </w:rPr>
            </w:pPr>
          </w:p>
        </w:tc>
        <w:tc>
          <w:tcPr>
            <w:vMerge w:val="continue"/>
            <w:shd w:val="clear" w:color="auto" w:fill="FFFFFF"/>
            <w:vAlign w:val="bottom"/>
          </w:tcPr>
          <w:p w14:paraId="5B2FC356">
            <w:pPr>
              <w:rPr>
                <w:rFonts w:hint="eastAsia" w:ascii="仿宋_GB2312" w:hAnsi="仿宋_GB2312" w:eastAsia="仿宋_GB2312" w:cs="仿宋_GB2312"/>
                <w:sz w:val="21"/>
                <w:szCs w:val="21"/>
              </w:rPr>
            </w:pPr>
          </w:p>
        </w:tc>
        <w:tc>
          <w:tcPr>
            <w:shd w:val="clear" w:color="auto" w:fill="FFFFFF"/>
            <w:vAlign w:val="top"/>
          </w:tcPr>
          <w:p w14:paraId="7EA5664B">
            <w:pPr>
              <w:pStyle w:val="33"/>
              <w:keepNext w:val="0"/>
              <w:keepLines w:val="0"/>
              <w:widowControl w:val="0"/>
              <w:shd w:val="clear" w:color="auto" w:fill="auto"/>
              <w:bidi w:val="0"/>
              <w:spacing w:before="0" w:after="0" w:line="240" w:lineRule="auto"/>
              <w:ind w:left="0" w:right="0" w:firstLine="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重点设施设备分布图</w:t>
            </w:r>
          </w:p>
        </w:tc>
        <w:tc>
          <w:tcPr>
            <w:shd w:val="clear" w:color="auto" w:fill="FFFFFF"/>
            <w:vAlign w:val="top"/>
          </w:tcPr>
          <w:p w14:paraId="6CCB37ED">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有</w:t>
            </w:r>
          </w:p>
        </w:tc>
        <w:tc>
          <w:tcPr>
            <w:vMerge w:val="continue"/>
            <w:shd w:val="clear" w:color="auto" w:fill="FFFFFF"/>
            <w:vAlign w:val="top"/>
          </w:tcPr>
          <w:p w14:paraId="6E657E69">
            <w:pPr>
              <w:rPr>
                <w:rFonts w:hint="eastAsia" w:ascii="仿宋_GB2312" w:hAnsi="仿宋_GB2312" w:eastAsia="仿宋_GB2312" w:cs="仿宋_GB2312"/>
                <w:sz w:val="21"/>
                <w:szCs w:val="21"/>
              </w:rPr>
            </w:pPr>
          </w:p>
        </w:tc>
      </w:tr>
      <w:tr w14:paraId="7DFAF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93" w:hRule="exact"/>
          <w:jc w:val="center"/>
        </w:trPr>
        <w:tc>
          <w:tcPr>
            <w:vMerge w:val="continue"/>
            <w:shd w:val="clear" w:color="auto" w:fill="FFFFFF"/>
            <w:vAlign w:val="center"/>
          </w:tcPr>
          <w:p w14:paraId="5EFD2A9C">
            <w:pPr>
              <w:rPr>
                <w:rFonts w:hint="eastAsia" w:ascii="仿宋_GB2312" w:hAnsi="仿宋_GB2312" w:eastAsia="仿宋_GB2312" w:cs="仿宋_GB2312"/>
                <w:sz w:val="21"/>
                <w:szCs w:val="21"/>
              </w:rPr>
            </w:pPr>
          </w:p>
        </w:tc>
        <w:tc>
          <w:tcPr>
            <w:vMerge w:val="continue"/>
            <w:shd w:val="clear" w:color="auto" w:fill="FFFFFF"/>
            <w:vAlign w:val="bottom"/>
          </w:tcPr>
          <w:p w14:paraId="311A25A6">
            <w:pPr>
              <w:rPr>
                <w:rFonts w:hint="eastAsia" w:ascii="仿宋_GB2312" w:hAnsi="仿宋_GB2312" w:eastAsia="仿宋_GB2312" w:cs="仿宋_GB2312"/>
                <w:sz w:val="21"/>
                <w:szCs w:val="21"/>
              </w:rPr>
            </w:pPr>
          </w:p>
        </w:tc>
        <w:tc>
          <w:tcPr>
            <w:shd w:val="clear" w:color="auto" w:fill="FFFFFF"/>
            <w:vAlign w:val="center"/>
          </w:tcPr>
          <w:p w14:paraId="6D1B99BA">
            <w:pPr>
              <w:pStyle w:val="33"/>
              <w:keepNext w:val="0"/>
              <w:keepLines w:val="0"/>
              <w:widowControl w:val="0"/>
              <w:shd w:val="clear" w:color="auto" w:fill="auto"/>
              <w:bidi w:val="0"/>
              <w:spacing w:before="0" w:after="0" w:line="240" w:lineRule="auto"/>
              <w:ind w:left="0" w:right="0" w:firstLine="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雨污管线分布图</w:t>
            </w:r>
          </w:p>
        </w:tc>
        <w:tc>
          <w:tcPr>
            <w:shd w:val="clear" w:color="auto" w:fill="FFFFFF"/>
            <w:vAlign w:val="center"/>
          </w:tcPr>
          <w:p w14:paraId="68AB8409">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有</w:t>
            </w:r>
          </w:p>
        </w:tc>
        <w:tc>
          <w:tcPr>
            <w:vMerge w:val="continue"/>
            <w:shd w:val="clear" w:color="auto" w:fill="FFFFFF"/>
            <w:vAlign w:val="top"/>
          </w:tcPr>
          <w:p w14:paraId="1A2E1287">
            <w:pPr>
              <w:rPr>
                <w:rFonts w:hint="eastAsia" w:ascii="仿宋_GB2312" w:hAnsi="仿宋_GB2312" w:eastAsia="仿宋_GB2312" w:cs="仿宋_GB2312"/>
                <w:sz w:val="21"/>
                <w:szCs w:val="21"/>
              </w:rPr>
            </w:pPr>
          </w:p>
        </w:tc>
      </w:tr>
      <w:tr w14:paraId="37250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73" w:hRule="exact"/>
          <w:jc w:val="center"/>
        </w:trPr>
        <w:tc>
          <w:tcPr>
            <w:vMerge w:val="restart"/>
            <w:shd w:val="clear" w:color="auto" w:fill="FFFFFF"/>
            <w:vAlign w:val="center"/>
          </w:tcPr>
          <w:p w14:paraId="33C96FAC">
            <w:pPr>
              <w:pStyle w:val="33"/>
              <w:keepNext w:val="0"/>
              <w:keepLines w:val="0"/>
              <w:widowControl w:val="0"/>
              <w:shd w:val="clear" w:color="auto" w:fill="auto"/>
              <w:bidi w:val="0"/>
              <w:spacing w:before="0" w:after="0" w:line="240" w:lineRule="auto"/>
              <w:ind w:left="0" w:right="0" w:firstLine="24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2</w:t>
            </w:r>
          </w:p>
        </w:tc>
        <w:tc>
          <w:tcPr>
            <w:vMerge w:val="restart"/>
            <w:shd w:val="clear" w:color="auto" w:fill="FFFFFF"/>
            <w:vAlign w:val="center"/>
          </w:tcPr>
          <w:p w14:paraId="2741A4EE">
            <w:pPr>
              <w:pStyle w:val="33"/>
              <w:keepNext w:val="0"/>
              <w:keepLines w:val="0"/>
              <w:widowControl w:val="0"/>
              <w:shd w:val="clear" w:color="auto" w:fill="auto"/>
              <w:bidi w:val="0"/>
              <w:spacing w:before="0" w:after="0" w:line="250" w:lineRule="exact"/>
              <w:ind w:left="0" w:right="0"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企业生产信息</w:t>
            </w:r>
          </w:p>
        </w:tc>
        <w:tc>
          <w:tcPr>
            <w:shd w:val="clear" w:color="auto" w:fill="FFFFFF"/>
            <w:vAlign w:val="center"/>
          </w:tcPr>
          <w:p w14:paraId="19927764">
            <w:pPr>
              <w:pStyle w:val="33"/>
              <w:keepNext w:val="0"/>
              <w:keepLines w:val="0"/>
              <w:widowControl w:val="0"/>
              <w:shd w:val="clear" w:color="auto" w:fill="auto"/>
              <w:bidi w:val="0"/>
              <w:spacing w:before="0" w:after="0" w:line="240" w:lineRule="auto"/>
              <w:ind w:left="0" w:right="0" w:firstLine="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企业生产工艺流程图</w:t>
            </w:r>
          </w:p>
        </w:tc>
        <w:tc>
          <w:tcPr>
            <w:shd w:val="clear" w:color="auto" w:fill="FFFFFF"/>
            <w:vAlign w:val="center"/>
          </w:tcPr>
          <w:p w14:paraId="74B10451">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有</w:t>
            </w:r>
          </w:p>
        </w:tc>
        <w:tc>
          <w:tcPr>
            <w:shd w:val="clear" w:color="auto" w:fill="FFFFFF"/>
            <w:vAlign w:val="top"/>
          </w:tcPr>
          <w:p w14:paraId="51494D93">
            <w:pPr>
              <w:pStyle w:val="33"/>
              <w:keepNext w:val="0"/>
              <w:keepLines w:val="0"/>
              <w:widowControl w:val="0"/>
              <w:shd w:val="clear" w:color="auto" w:fill="auto"/>
              <w:bidi w:val="0"/>
              <w:spacing w:before="0" w:after="0" w:line="242" w:lineRule="exact"/>
              <w:ind w:left="0" w:right="0" w:firstLine="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项目人员通过企业环评文件、现场踏勘及人员访谈收集了企业生产工艺流程及产污环节信息；</w:t>
            </w:r>
          </w:p>
        </w:tc>
      </w:tr>
      <w:tr w14:paraId="3675D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10" w:hRule="exact"/>
          <w:jc w:val="center"/>
        </w:trPr>
        <w:tc>
          <w:tcPr>
            <w:vMerge w:val="continue"/>
            <w:shd w:val="clear" w:color="auto" w:fill="FFFFFF"/>
            <w:vAlign w:val="center"/>
          </w:tcPr>
          <w:p w14:paraId="52F33C48">
            <w:pPr>
              <w:rPr>
                <w:rFonts w:hint="eastAsia" w:ascii="仿宋_GB2312" w:hAnsi="仿宋_GB2312" w:eastAsia="仿宋_GB2312" w:cs="仿宋_GB2312"/>
                <w:sz w:val="21"/>
                <w:szCs w:val="21"/>
              </w:rPr>
            </w:pPr>
          </w:p>
        </w:tc>
        <w:tc>
          <w:tcPr>
            <w:vMerge w:val="continue"/>
            <w:shd w:val="clear" w:color="auto" w:fill="FFFFFF"/>
            <w:vAlign w:val="center"/>
          </w:tcPr>
          <w:p w14:paraId="6454A7A4">
            <w:pPr>
              <w:rPr>
                <w:rFonts w:hint="eastAsia" w:ascii="仿宋_GB2312" w:hAnsi="仿宋_GB2312" w:eastAsia="仿宋_GB2312" w:cs="仿宋_GB2312"/>
                <w:sz w:val="21"/>
                <w:szCs w:val="21"/>
              </w:rPr>
            </w:pPr>
          </w:p>
        </w:tc>
        <w:tc>
          <w:tcPr>
            <w:shd w:val="clear" w:color="auto" w:fill="FFFFFF"/>
            <w:vAlign w:val="center"/>
          </w:tcPr>
          <w:p w14:paraId="6F55CCA2">
            <w:pPr>
              <w:pStyle w:val="33"/>
              <w:keepNext w:val="0"/>
              <w:keepLines w:val="0"/>
              <w:widowControl w:val="0"/>
              <w:shd w:val="clear" w:color="auto" w:fill="auto"/>
              <w:bidi w:val="0"/>
              <w:spacing w:before="0" w:after="0" w:line="240" w:lineRule="auto"/>
              <w:ind w:left="0" w:right="0" w:firstLine="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化学品信息</w:t>
            </w:r>
          </w:p>
        </w:tc>
        <w:tc>
          <w:tcPr>
            <w:shd w:val="clear" w:color="auto" w:fill="FFFFFF"/>
            <w:vAlign w:val="center"/>
          </w:tcPr>
          <w:p w14:paraId="08BA8638">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有</w:t>
            </w:r>
          </w:p>
        </w:tc>
        <w:tc>
          <w:tcPr>
            <w:shd w:val="clear" w:color="auto" w:fill="FFFFFF"/>
            <w:vAlign w:val="top"/>
          </w:tcPr>
          <w:p w14:paraId="74DE857A">
            <w:pPr>
              <w:pStyle w:val="33"/>
              <w:keepNext w:val="0"/>
              <w:keepLines w:val="0"/>
              <w:widowControl w:val="0"/>
              <w:shd w:val="clear" w:color="auto" w:fill="auto"/>
              <w:bidi w:val="0"/>
              <w:spacing w:before="0" w:after="0" w:line="254" w:lineRule="exact"/>
              <w:ind w:left="0" w:right="0" w:firstLine="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项目人员通过企业环评文件、现场踏勘及人员访谈收集了企业涉及化学品信息。</w:t>
            </w:r>
          </w:p>
        </w:tc>
      </w:tr>
      <w:tr w14:paraId="307B8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34" w:hRule="exact"/>
          <w:jc w:val="center"/>
        </w:trPr>
        <w:tc>
          <w:tcPr>
            <w:vMerge w:val="continue"/>
            <w:shd w:val="clear" w:color="auto" w:fill="FFFFFF"/>
            <w:vAlign w:val="center"/>
          </w:tcPr>
          <w:p w14:paraId="7D8C9142">
            <w:pPr>
              <w:rPr>
                <w:rFonts w:hint="eastAsia" w:ascii="仿宋_GB2312" w:hAnsi="仿宋_GB2312" w:eastAsia="仿宋_GB2312" w:cs="仿宋_GB2312"/>
                <w:sz w:val="21"/>
                <w:szCs w:val="21"/>
              </w:rPr>
            </w:pPr>
          </w:p>
        </w:tc>
        <w:tc>
          <w:tcPr>
            <w:vMerge w:val="continue"/>
            <w:shd w:val="clear" w:color="auto" w:fill="FFFFFF"/>
            <w:vAlign w:val="center"/>
          </w:tcPr>
          <w:p w14:paraId="25E7F818">
            <w:pPr>
              <w:rPr>
                <w:rFonts w:hint="eastAsia" w:ascii="仿宋_GB2312" w:hAnsi="仿宋_GB2312" w:eastAsia="仿宋_GB2312" w:cs="仿宋_GB2312"/>
                <w:sz w:val="21"/>
                <w:szCs w:val="21"/>
              </w:rPr>
            </w:pPr>
          </w:p>
        </w:tc>
        <w:tc>
          <w:tcPr>
            <w:shd w:val="clear" w:color="auto" w:fill="FFFFFF"/>
            <w:vAlign w:val="top"/>
          </w:tcPr>
          <w:p w14:paraId="05FAD8C9">
            <w:pPr>
              <w:pStyle w:val="33"/>
              <w:keepNext w:val="0"/>
              <w:keepLines w:val="0"/>
              <w:widowControl w:val="0"/>
              <w:shd w:val="clear" w:color="auto" w:fill="auto"/>
              <w:bidi w:val="0"/>
              <w:spacing w:before="0" w:after="0" w:line="245" w:lineRule="exact"/>
              <w:ind w:left="0" w:right="0" w:firstLine="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有毒有害物质生产、使用、转运储存</w:t>
            </w:r>
          </w:p>
        </w:tc>
        <w:tc>
          <w:tcPr>
            <w:shd w:val="clear" w:color="auto" w:fill="FFFFFF"/>
            <w:vAlign w:val="center"/>
          </w:tcPr>
          <w:p w14:paraId="17C440A6">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无</w:t>
            </w:r>
          </w:p>
        </w:tc>
        <w:tc>
          <w:tcPr>
            <w:shd w:val="clear" w:color="auto" w:fill="FFFFFF"/>
            <w:vAlign w:val="top"/>
          </w:tcPr>
          <w:p w14:paraId="1191AF19">
            <w:pPr>
              <w:pStyle w:val="33"/>
              <w:keepNext w:val="0"/>
              <w:keepLines w:val="0"/>
              <w:widowControl w:val="0"/>
              <w:shd w:val="clear" w:color="auto" w:fill="auto"/>
              <w:bidi w:val="0"/>
              <w:spacing w:before="0" w:after="0" w:line="235" w:lineRule="exact"/>
              <w:ind w:left="0" w:right="0" w:firstLine="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项目不涉及有毒有害物质生产、使用、转运储存。</w:t>
            </w:r>
          </w:p>
        </w:tc>
      </w:tr>
      <w:tr w14:paraId="05F2B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36" w:hRule="exact"/>
          <w:jc w:val="center"/>
        </w:trPr>
        <w:tc>
          <w:tcPr>
            <w:vMerge w:val="continue"/>
            <w:shd w:val="clear" w:color="auto" w:fill="FFFFFF"/>
            <w:vAlign w:val="center"/>
          </w:tcPr>
          <w:p w14:paraId="584C5780">
            <w:pPr>
              <w:rPr>
                <w:rFonts w:hint="eastAsia" w:ascii="仿宋_GB2312" w:hAnsi="仿宋_GB2312" w:eastAsia="仿宋_GB2312" w:cs="仿宋_GB2312"/>
                <w:sz w:val="21"/>
                <w:szCs w:val="21"/>
              </w:rPr>
            </w:pPr>
          </w:p>
        </w:tc>
        <w:tc>
          <w:tcPr>
            <w:vMerge w:val="continue"/>
            <w:shd w:val="clear" w:color="auto" w:fill="FFFFFF"/>
            <w:vAlign w:val="center"/>
          </w:tcPr>
          <w:p w14:paraId="4AA059FC">
            <w:pPr>
              <w:rPr>
                <w:rFonts w:hint="eastAsia" w:ascii="仿宋_GB2312" w:hAnsi="仿宋_GB2312" w:eastAsia="仿宋_GB2312" w:cs="仿宋_GB2312"/>
                <w:sz w:val="21"/>
                <w:szCs w:val="21"/>
              </w:rPr>
            </w:pPr>
          </w:p>
        </w:tc>
        <w:tc>
          <w:tcPr>
            <w:shd w:val="clear" w:color="auto" w:fill="FFFFFF"/>
            <w:vAlign w:val="top"/>
          </w:tcPr>
          <w:p w14:paraId="1FEE7B0A">
            <w:pPr>
              <w:pStyle w:val="33"/>
              <w:keepNext w:val="0"/>
              <w:keepLines w:val="0"/>
              <w:widowControl w:val="0"/>
              <w:shd w:val="clear" w:color="auto" w:fill="auto"/>
              <w:bidi w:val="0"/>
              <w:spacing w:before="0" w:after="0" w:line="240" w:lineRule="exact"/>
              <w:ind w:left="0" w:right="0" w:firstLine="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涉及化学品的相关生产设备防渗漏、流失、扬散设计和建设信息</w:t>
            </w:r>
          </w:p>
        </w:tc>
        <w:tc>
          <w:tcPr>
            <w:shd w:val="clear" w:color="auto" w:fill="FFFFFF"/>
            <w:vAlign w:val="center"/>
          </w:tcPr>
          <w:p w14:paraId="0D09E7B0">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有</w:t>
            </w:r>
          </w:p>
        </w:tc>
        <w:tc>
          <w:tcPr>
            <w:shd w:val="clear" w:color="auto" w:fill="FFFFFF"/>
            <w:vAlign w:val="top"/>
          </w:tcPr>
          <w:p w14:paraId="0E24651C">
            <w:pPr>
              <w:pStyle w:val="33"/>
              <w:keepNext w:val="0"/>
              <w:keepLines w:val="0"/>
              <w:widowControl w:val="0"/>
              <w:shd w:val="clear" w:color="auto" w:fill="auto"/>
              <w:bidi w:val="0"/>
              <w:spacing w:before="0" w:after="0" w:line="242" w:lineRule="exact"/>
              <w:ind w:left="0" w:right="0" w:firstLine="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通过现场踏勘及人员访谈，项目生产车间地面均已硬化及防渗处理，项目储罐区均设置了围堰。</w:t>
            </w:r>
          </w:p>
        </w:tc>
      </w:tr>
      <w:tr w14:paraId="7A6FB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5" w:hRule="exact"/>
          <w:jc w:val="center"/>
        </w:trPr>
        <w:tc>
          <w:tcPr>
            <w:vMerge w:val="continue"/>
            <w:shd w:val="clear" w:color="auto" w:fill="FFFFFF"/>
            <w:vAlign w:val="center"/>
          </w:tcPr>
          <w:p w14:paraId="318F7197">
            <w:pPr>
              <w:rPr>
                <w:rFonts w:hint="eastAsia" w:ascii="仿宋_GB2312" w:hAnsi="仿宋_GB2312" w:eastAsia="仿宋_GB2312" w:cs="仿宋_GB2312"/>
                <w:sz w:val="21"/>
                <w:szCs w:val="21"/>
              </w:rPr>
            </w:pPr>
          </w:p>
        </w:tc>
        <w:tc>
          <w:tcPr>
            <w:vMerge w:val="continue"/>
            <w:shd w:val="clear" w:color="auto" w:fill="FFFFFF"/>
            <w:vAlign w:val="center"/>
          </w:tcPr>
          <w:p w14:paraId="1D870C4B">
            <w:pPr>
              <w:rPr>
                <w:rFonts w:hint="eastAsia" w:ascii="仿宋_GB2312" w:hAnsi="仿宋_GB2312" w:eastAsia="仿宋_GB2312" w:cs="仿宋_GB2312"/>
                <w:sz w:val="21"/>
                <w:szCs w:val="21"/>
              </w:rPr>
            </w:pPr>
          </w:p>
        </w:tc>
        <w:tc>
          <w:tcPr>
            <w:shd w:val="clear" w:color="auto" w:fill="FFFFFF"/>
            <w:vAlign w:val="bottom"/>
          </w:tcPr>
          <w:p w14:paraId="37DA57E3">
            <w:pPr>
              <w:pStyle w:val="33"/>
              <w:keepNext w:val="0"/>
              <w:keepLines w:val="0"/>
              <w:widowControl w:val="0"/>
              <w:shd w:val="clear" w:color="auto" w:fill="auto"/>
              <w:bidi w:val="0"/>
              <w:spacing w:before="0" w:after="0" w:line="240" w:lineRule="auto"/>
              <w:ind w:left="0" w:right="0" w:firstLine="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相关管理制度和台账</w:t>
            </w:r>
          </w:p>
        </w:tc>
        <w:tc>
          <w:tcPr>
            <w:shd w:val="clear" w:color="auto" w:fill="FFFFFF"/>
            <w:vAlign w:val="center"/>
          </w:tcPr>
          <w:p w14:paraId="23474F99">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部分有</w:t>
            </w:r>
          </w:p>
        </w:tc>
        <w:tc>
          <w:tcPr>
            <w:shd w:val="clear" w:color="auto" w:fill="FFFFFF"/>
            <w:vAlign w:val="top"/>
          </w:tcPr>
          <w:p w14:paraId="285B16C5">
            <w:pPr>
              <w:pStyle w:val="33"/>
              <w:keepNext w:val="0"/>
              <w:keepLines w:val="0"/>
              <w:widowControl w:val="0"/>
              <w:shd w:val="clear" w:color="auto" w:fill="auto"/>
              <w:bidi w:val="0"/>
              <w:spacing w:before="0" w:after="0" w:line="240" w:lineRule="exact"/>
              <w:ind w:left="0" w:right="0" w:firstLine="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企业制定了相关管理制度、部分按要求进行台账管理。</w:t>
            </w:r>
          </w:p>
        </w:tc>
      </w:tr>
      <w:tr w14:paraId="09644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584" w:hRule="exact"/>
          <w:jc w:val="center"/>
        </w:trPr>
        <w:tc>
          <w:tcPr>
            <w:vMerge w:val="restart"/>
            <w:shd w:val="clear" w:color="auto" w:fill="FFFFFF"/>
            <w:vAlign w:val="center"/>
          </w:tcPr>
          <w:p w14:paraId="01ED662C">
            <w:pPr>
              <w:pStyle w:val="33"/>
              <w:keepNext w:val="0"/>
              <w:keepLines w:val="0"/>
              <w:widowControl w:val="0"/>
              <w:shd w:val="clear" w:color="auto" w:fill="auto"/>
              <w:bidi w:val="0"/>
              <w:spacing w:before="0" w:after="0" w:line="240" w:lineRule="auto"/>
              <w:ind w:left="0" w:right="0" w:firstLine="24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3</w:t>
            </w:r>
          </w:p>
        </w:tc>
        <w:tc>
          <w:tcPr>
            <w:vMerge w:val="restart"/>
            <w:shd w:val="clear" w:color="auto" w:fill="FFFFFF"/>
            <w:vAlign w:val="center"/>
          </w:tcPr>
          <w:p w14:paraId="038225CF">
            <w:pPr>
              <w:pStyle w:val="33"/>
              <w:keepNext w:val="0"/>
              <w:keepLines w:val="0"/>
              <w:widowControl w:val="0"/>
              <w:shd w:val="clear" w:color="auto" w:fill="auto"/>
              <w:bidi w:val="0"/>
              <w:spacing w:before="0" w:after="0" w:line="250" w:lineRule="exact"/>
              <w:ind w:left="0" w:right="0"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企业环境管理信息</w:t>
            </w:r>
          </w:p>
        </w:tc>
        <w:tc>
          <w:tcPr>
            <w:shd w:val="clear" w:color="auto" w:fill="FFFFFF"/>
            <w:vAlign w:val="top"/>
          </w:tcPr>
          <w:p w14:paraId="30D084ED">
            <w:pPr>
              <w:pStyle w:val="33"/>
              <w:keepNext w:val="0"/>
              <w:keepLines w:val="0"/>
              <w:widowControl w:val="0"/>
              <w:shd w:val="clear" w:color="auto" w:fill="auto"/>
              <w:bidi w:val="0"/>
              <w:spacing w:before="0" w:after="0" w:line="242" w:lineRule="exact"/>
              <w:ind w:left="0" w:right="0" w:firstLine="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建设项目环境影响报告书</w:t>
            </w:r>
          </w:p>
          <w:p w14:paraId="1A6AFA66">
            <w:pPr>
              <w:pStyle w:val="33"/>
              <w:keepNext w:val="0"/>
              <w:keepLines w:val="0"/>
              <w:widowControl w:val="0"/>
              <w:shd w:val="clear" w:color="auto" w:fill="auto"/>
              <w:bidi w:val="0"/>
              <w:spacing w:before="0" w:after="0" w:line="242" w:lineRule="exact"/>
              <w:ind w:left="0" w:right="0" w:firstLine="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（表）、竣工环保验收报告、环境影响后评价报告、清洁生产报告、排污许可证、环境审计报告、突发环境事件风险评估报告、应急预案</w:t>
            </w:r>
          </w:p>
        </w:tc>
        <w:tc>
          <w:tcPr>
            <w:shd w:val="clear" w:color="auto" w:fill="FFFFFF"/>
            <w:vAlign w:val="center"/>
          </w:tcPr>
          <w:p w14:paraId="326C3EF6">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部分有</w:t>
            </w:r>
          </w:p>
        </w:tc>
        <w:tc>
          <w:tcPr>
            <w:shd w:val="clear" w:color="auto" w:fill="FFFFFF"/>
            <w:vAlign w:val="center"/>
          </w:tcPr>
          <w:p w14:paraId="755E2A41">
            <w:pPr>
              <w:pStyle w:val="33"/>
              <w:keepNext w:val="0"/>
              <w:keepLines w:val="0"/>
              <w:widowControl w:val="0"/>
              <w:shd w:val="clear" w:color="auto" w:fill="auto"/>
              <w:bidi w:val="0"/>
              <w:spacing w:before="0" w:after="0" w:line="241" w:lineRule="exact"/>
              <w:ind w:left="0" w:right="0" w:firstLine="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企业已按要求进行了环境影响评价及竣工环境保护验收，编制了突发环境事件应急预案并已至生态环境主管部门备案，企业已申领排污许可证，未见清洁生产。</w:t>
            </w:r>
          </w:p>
        </w:tc>
      </w:tr>
      <w:tr w14:paraId="220F6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520" w:hRule="exact"/>
          <w:jc w:val="center"/>
        </w:trPr>
        <w:tc>
          <w:tcPr>
            <w:vMerge w:val="continue"/>
            <w:shd w:val="clear" w:color="auto" w:fill="FFFFFF"/>
            <w:vAlign w:val="center"/>
          </w:tcPr>
          <w:p w14:paraId="2D1985FA">
            <w:pPr>
              <w:rPr>
                <w:rFonts w:hint="eastAsia" w:ascii="仿宋_GB2312" w:hAnsi="仿宋_GB2312" w:eastAsia="仿宋_GB2312" w:cs="仿宋_GB2312"/>
                <w:sz w:val="21"/>
                <w:szCs w:val="21"/>
              </w:rPr>
            </w:pPr>
          </w:p>
        </w:tc>
        <w:tc>
          <w:tcPr>
            <w:vMerge w:val="continue"/>
            <w:shd w:val="clear" w:color="auto" w:fill="FFFFFF"/>
            <w:vAlign w:val="center"/>
          </w:tcPr>
          <w:p w14:paraId="61C72AFD">
            <w:pPr>
              <w:rPr>
                <w:rFonts w:hint="eastAsia" w:ascii="仿宋_GB2312" w:hAnsi="仿宋_GB2312" w:eastAsia="仿宋_GB2312" w:cs="仿宋_GB2312"/>
                <w:sz w:val="21"/>
                <w:szCs w:val="21"/>
              </w:rPr>
            </w:pPr>
          </w:p>
        </w:tc>
        <w:tc>
          <w:tcPr>
            <w:shd w:val="clear" w:color="auto" w:fill="FFFFFF"/>
            <w:vAlign w:val="top"/>
          </w:tcPr>
          <w:p w14:paraId="78CD4F40">
            <w:pPr>
              <w:pStyle w:val="33"/>
              <w:keepNext w:val="0"/>
              <w:keepLines w:val="0"/>
              <w:widowControl w:val="0"/>
              <w:shd w:val="clear" w:color="auto" w:fill="auto"/>
              <w:bidi w:val="0"/>
              <w:spacing w:before="0" w:after="0" w:line="238" w:lineRule="exact"/>
              <w:ind w:left="0" w:right="0" w:firstLine="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废气、废水收集、处理及排放,固体废物产生、贮存、利用和处理处置等情况，包括相关处理、贮存设施设备防渗漏、流失、扬散涉及和建设信息，相关管理制度和台账等</w:t>
            </w:r>
          </w:p>
        </w:tc>
        <w:tc>
          <w:tcPr>
            <w:shd w:val="clear" w:color="auto" w:fill="FFFFFF"/>
            <w:vAlign w:val="center"/>
          </w:tcPr>
          <w:p w14:paraId="78962D14">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有</w:t>
            </w:r>
          </w:p>
        </w:tc>
        <w:tc>
          <w:tcPr>
            <w:shd w:val="clear" w:color="auto" w:fill="FFFFFF"/>
            <w:vAlign w:val="top"/>
          </w:tcPr>
          <w:p w14:paraId="4A6DE16A">
            <w:pPr>
              <w:pStyle w:val="33"/>
              <w:keepNext w:val="0"/>
              <w:keepLines w:val="0"/>
              <w:widowControl w:val="0"/>
              <w:shd w:val="clear" w:color="auto" w:fill="auto"/>
              <w:bidi w:val="0"/>
              <w:spacing w:before="0" w:after="0" w:line="235" w:lineRule="exact"/>
              <w:ind w:left="0" w:right="0" w:firstLine="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项目人员对照企业环评文件、验收文件并通过现场踏勘及人员访谈核实了项目废水、废气、固废的产生、处理、排放等情况，项目三废处置均符合环评及批复的要求。</w:t>
            </w:r>
          </w:p>
        </w:tc>
      </w:tr>
      <w:tr w14:paraId="2B971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34" w:hRule="exact"/>
          <w:jc w:val="center"/>
        </w:trPr>
        <w:tc>
          <w:tcPr>
            <w:vMerge w:val="continue"/>
            <w:shd w:val="clear" w:color="auto" w:fill="FFFFFF"/>
            <w:vAlign w:val="center"/>
          </w:tcPr>
          <w:p w14:paraId="0AFD35CF">
            <w:pPr>
              <w:rPr>
                <w:rFonts w:hint="eastAsia" w:ascii="仿宋_GB2312" w:hAnsi="仿宋_GB2312" w:eastAsia="仿宋_GB2312" w:cs="仿宋_GB2312"/>
                <w:sz w:val="21"/>
                <w:szCs w:val="21"/>
              </w:rPr>
            </w:pPr>
          </w:p>
        </w:tc>
        <w:tc>
          <w:tcPr>
            <w:vMerge w:val="continue"/>
            <w:shd w:val="clear" w:color="auto" w:fill="FFFFFF"/>
            <w:vAlign w:val="center"/>
          </w:tcPr>
          <w:p w14:paraId="1BC68304">
            <w:pPr>
              <w:rPr>
                <w:rFonts w:hint="eastAsia" w:ascii="仿宋_GB2312" w:hAnsi="仿宋_GB2312" w:eastAsia="仿宋_GB2312" w:cs="仿宋_GB2312"/>
                <w:sz w:val="21"/>
                <w:szCs w:val="21"/>
              </w:rPr>
            </w:pPr>
          </w:p>
        </w:tc>
        <w:tc>
          <w:tcPr>
            <w:shd w:val="clear" w:color="auto" w:fill="FFFFFF"/>
            <w:vAlign w:val="top"/>
          </w:tcPr>
          <w:p w14:paraId="4ED6D1C7">
            <w:pPr>
              <w:pStyle w:val="33"/>
              <w:keepNext w:val="0"/>
              <w:keepLines w:val="0"/>
              <w:widowControl w:val="0"/>
              <w:shd w:val="clear" w:color="auto" w:fill="auto"/>
              <w:bidi w:val="0"/>
              <w:spacing w:before="0" w:after="0" w:line="240" w:lineRule="exact"/>
              <w:ind w:left="0" w:right="0" w:firstLine="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土壤和地下水环境调查监测数据、历史污染记录</w:t>
            </w:r>
          </w:p>
        </w:tc>
        <w:tc>
          <w:tcPr>
            <w:shd w:val="clear" w:color="auto" w:fill="FFFFFF"/>
            <w:vAlign w:val="center"/>
          </w:tcPr>
          <w:p w14:paraId="5B5F7728">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有</w:t>
            </w:r>
          </w:p>
        </w:tc>
        <w:tc>
          <w:tcPr>
            <w:shd w:val="clear" w:color="auto" w:fill="FFFFFF"/>
            <w:vAlign w:val="top"/>
          </w:tcPr>
          <w:p w14:paraId="6C9965A0">
            <w:pPr>
              <w:pStyle w:val="33"/>
              <w:keepNext w:val="0"/>
              <w:keepLines w:val="0"/>
              <w:widowControl w:val="0"/>
              <w:shd w:val="clear" w:color="auto" w:fill="auto"/>
              <w:bidi w:val="0"/>
              <w:spacing w:before="0" w:after="0" w:line="226" w:lineRule="exact"/>
              <w:ind w:left="0" w:right="0" w:firstLine="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项目人员收集了企业环评文件编制阶段进行的土壤和地下水的监测数据，</w:t>
            </w:r>
          </w:p>
        </w:tc>
      </w:tr>
      <w:tr w14:paraId="410EA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66" w:hRule="exact"/>
          <w:jc w:val="center"/>
        </w:trPr>
        <w:tc>
          <w:tcPr>
            <w:vMerge w:val="continue"/>
            <w:shd w:val="clear" w:color="auto" w:fill="FFFFFF"/>
            <w:vAlign w:val="center"/>
          </w:tcPr>
          <w:p w14:paraId="475F0299">
            <w:pPr>
              <w:rPr>
                <w:rFonts w:hint="eastAsia" w:ascii="仿宋_GB2312" w:hAnsi="仿宋_GB2312" w:eastAsia="仿宋_GB2312" w:cs="仿宋_GB2312"/>
                <w:sz w:val="21"/>
                <w:szCs w:val="21"/>
              </w:rPr>
            </w:pPr>
          </w:p>
        </w:tc>
        <w:tc>
          <w:tcPr>
            <w:vMerge w:val="continue"/>
            <w:shd w:val="clear" w:color="auto" w:fill="FFFFFF"/>
            <w:vAlign w:val="center"/>
          </w:tcPr>
          <w:p w14:paraId="1C7FE517">
            <w:pPr>
              <w:rPr>
                <w:rFonts w:hint="eastAsia" w:ascii="仿宋_GB2312" w:hAnsi="仿宋_GB2312" w:eastAsia="仿宋_GB2312" w:cs="仿宋_GB2312"/>
                <w:sz w:val="21"/>
                <w:szCs w:val="21"/>
              </w:rPr>
            </w:pPr>
          </w:p>
        </w:tc>
        <w:tc>
          <w:tcPr>
            <w:shd w:val="clear" w:color="auto" w:fill="FFFFFF"/>
            <w:vAlign w:val="top"/>
          </w:tcPr>
          <w:p w14:paraId="033B08CE">
            <w:pPr>
              <w:pStyle w:val="33"/>
              <w:keepNext w:val="0"/>
              <w:keepLines w:val="0"/>
              <w:widowControl w:val="0"/>
              <w:shd w:val="clear" w:color="auto" w:fill="auto"/>
              <w:bidi w:val="0"/>
              <w:spacing w:before="0" w:after="0" w:line="240" w:lineRule="auto"/>
              <w:ind w:left="0" w:right="0" w:firstLine="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已有的隐患排查及整改台账</w:t>
            </w:r>
          </w:p>
        </w:tc>
        <w:tc>
          <w:tcPr>
            <w:shd w:val="clear" w:color="auto" w:fill="FFFFFF"/>
            <w:vAlign w:val="center"/>
          </w:tcPr>
          <w:p w14:paraId="5C9B6959">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无</w:t>
            </w:r>
          </w:p>
        </w:tc>
        <w:tc>
          <w:tcPr>
            <w:shd w:val="clear" w:color="auto" w:fill="FFFFFF"/>
            <w:vAlign w:val="top"/>
          </w:tcPr>
          <w:p w14:paraId="1BC428C1">
            <w:pPr>
              <w:pStyle w:val="33"/>
              <w:keepNext w:val="0"/>
              <w:keepLines w:val="0"/>
              <w:widowControl w:val="0"/>
              <w:shd w:val="clear" w:color="auto" w:fill="auto"/>
              <w:bidi w:val="0"/>
              <w:spacing w:before="0" w:after="0" w:line="240" w:lineRule="auto"/>
              <w:ind w:left="0" w:right="0" w:firstLine="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无隐患排查及整改台账。</w:t>
            </w:r>
          </w:p>
        </w:tc>
      </w:tr>
      <w:tr w14:paraId="0EB87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099" w:hRule="exact"/>
          <w:jc w:val="center"/>
        </w:trPr>
        <w:tc>
          <w:tcPr>
            <w:shd w:val="clear" w:color="auto" w:fill="FFFFFF"/>
            <w:vAlign w:val="center"/>
          </w:tcPr>
          <w:p w14:paraId="293ACFD4">
            <w:pPr>
              <w:pStyle w:val="33"/>
              <w:keepNext w:val="0"/>
              <w:keepLines w:val="0"/>
              <w:widowControl w:val="0"/>
              <w:shd w:val="clear" w:color="auto" w:fill="auto"/>
              <w:bidi w:val="0"/>
              <w:spacing w:before="0" w:after="0" w:line="240" w:lineRule="auto"/>
              <w:ind w:left="0" w:right="0" w:firstLine="240"/>
              <w:jc w:val="both"/>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4</w:t>
            </w:r>
          </w:p>
        </w:tc>
        <w:tc>
          <w:tcPr>
            <w:shd w:val="clear" w:color="auto" w:fill="FFFFFF"/>
            <w:vAlign w:val="center"/>
          </w:tcPr>
          <w:p w14:paraId="34CC728D">
            <w:pPr>
              <w:pStyle w:val="33"/>
              <w:keepNext w:val="0"/>
              <w:keepLines w:val="0"/>
              <w:widowControl w:val="0"/>
              <w:shd w:val="clear" w:color="auto" w:fill="auto"/>
              <w:bidi w:val="0"/>
              <w:spacing w:before="0" w:after="0" w:line="242" w:lineRule="exact"/>
              <w:ind w:left="0" w:right="0"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重点场所、设施设备管理情况</w:t>
            </w:r>
          </w:p>
        </w:tc>
        <w:tc>
          <w:tcPr>
            <w:shd w:val="clear" w:color="auto" w:fill="FFFFFF"/>
            <w:vAlign w:val="top"/>
          </w:tcPr>
          <w:p w14:paraId="1B129B14">
            <w:pPr>
              <w:pStyle w:val="33"/>
              <w:keepNext w:val="0"/>
              <w:keepLines w:val="0"/>
              <w:widowControl w:val="0"/>
              <w:shd w:val="clear" w:color="auto" w:fill="auto"/>
              <w:bidi w:val="0"/>
              <w:spacing w:before="0" w:after="0" w:line="240" w:lineRule="exact"/>
              <w:ind w:left="0" w:right="0" w:firstLine="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重点设施、设备的定期维护、操作手册以及人员培训情况,重点场所的警示牌、操作规程的设定情况等</w:t>
            </w:r>
          </w:p>
        </w:tc>
        <w:tc>
          <w:tcPr>
            <w:shd w:val="clear" w:color="auto" w:fill="FFFFFF"/>
            <w:vAlign w:val="center"/>
          </w:tcPr>
          <w:p w14:paraId="75DDF72F">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部分有</w:t>
            </w:r>
          </w:p>
        </w:tc>
        <w:tc>
          <w:tcPr>
            <w:shd w:val="clear" w:color="auto" w:fill="FFFFFF"/>
            <w:vAlign w:val="top"/>
          </w:tcPr>
          <w:p w14:paraId="67B455B5">
            <w:pPr>
              <w:pStyle w:val="33"/>
              <w:keepNext w:val="0"/>
              <w:keepLines w:val="0"/>
              <w:widowControl w:val="0"/>
              <w:shd w:val="clear" w:color="auto" w:fill="auto"/>
              <w:bidi w:val="0"/>
              <w:spacing w:before="0" w:after="0" w:line="242" w:lineRule="exact"/>
              <w:ind w:left="0" w:right="0" w:firstLine="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经现场踏勘及人员访谈，企业对储罐、生产设备等重点设施、设备定期进行巡查，对涉及并留守的技术人员非定期进行培训。</w:t>
            </w:r>
          </w:p>
        </w:tc>
      </w:tr>
    </w:tbl>
    <w:p w14:paraId="3781B001">
      <w:pPr>
        <w:widowControl w:val="0"/>
        <w:spacing w:after="279" w:line="1" w:lineRule="exact"/>
      </w:pPr>
    </w:p>
    <w:p w14:paraId="36F27EB0">
      <w:pPr>
        <w:pStyle w:val="25"/>
        <w:bidi w:val="0"/>
        <w:rPr>
          <w:rFonts w:hint="eastAsia" w:ascii="仿宋_GB2312" w:hAnsi="仿宋_GB2312" w:eastAsia="仿宋_GB2312" w:cs="仿宋_GB2312"/>
        </w:rPr>
      </w:pPr>
      <w:bookmarkStart w:id="176" w:name="_Toc29223"/>
      <w:bookmarkStart w:id="177" w:name="bookmark222"/>
      <w:bookmarkStart w:id="178" w:name="bookmark221"/>
      <w:bookmarkStart w:id="179" w:name="bookmark224"/>
      <w:r>
        <w:rPr>
          <w:rFonts w:hint="eastAsia" w:ascii="仿宋_GB2312" w:hAnsi="仿宋_GB2312" w:eastAsia="仿宋_GB2312" w:cs="仿宋_GB2312"/>
          <w:lang w:val="en-US" w:eastAsia="en-US"/>
        </w:rPr>
        <w:t>3.</w:t>
      </w:r>
      <w:r>
        <w:rPr>
          <w:rFonts w:hint="eastAsia" w:ascii="仿宋_GB2312" w:hAnsi="仿宋_GB2312" w:eastAsia="仿宋_GB2312" w:cs="仿宋_GB2312"/>
        </w:rPr>
        <w:t>2人员访谈</w:t>
      </w:r>
      <w:bookmarkEnd w:id="176"/>
      <w:bookmarkEnd w:id="177"/>
      <w:bookmarkEnd w:id="178"/>
      <w:bookmarkEnd w:id="179"/>
    </w:p>
    <w:p w14:paraId="6BF1DD51">
      <w:pPr>
        <w:pStyle w:val="27"/>
        <w:keepNext w:val="0"/>
        <w:keepLines w:val="0"/>
        <w:pageBreakBefore w:val="0"/>
        <w:widowControl w:val="0"/>
        <w:kinsoku/>
        <w:wordWrap/>
        <w:overflowPunct/>
        <w:topLinePunct w:val="0"/>
        <w:autoSpaceDE/>
        <w:autoSpaceDN/>
        <w:bidi w:val="0"/>
        <w:adjustRightInd/>
        <w:snapToGrid/>
        <w:spacing w:after="0" w:line="560" w:lineRule="exact"/>
        <w:ind w:firstLine="560" w:firstLineChars="200"/>
        <w:textAlignment w:val="auto"/>
        <w:rPr>
          <w:rFonts w:hint="eastAsia" w:ascii="仿宋_GB2312" w:hAnsi="仿宋_GB2312" w:eastAsia="仿宋_GB2312" w:cs="仿宋_GB2312"/>
        </w:rPr>
      </w:pPr>
      <w:r>
        <w:rPr>
          <w:rFonts w:hint="eastAsia" w:ascii="仿宋_GB2312" w:hAnsi="仿宋_GB2312" w:eastAsia="仿宋_GB2312" w:cs="仿宋_GB2312"/>
        </w:rPr>
        <w:t>在本次土壤污染隐患排查过程中，与</w:t>
      </w:r>
      <w:r>
        <w:rPr>
          <w:rFonts w:hint="eastAsia" w:ascii="仿宋_GB2312" w:hAnsi="仿宋_GB2312" w:eastAsia="仿宋_GB2312" w:cs="仿宋_GB2312"/>
          <w:lang w:val="en-US" w:eastAsia="zh-CN"/>
        </w:rPr>
        <w:t>现场</w:t>
      </w:r>
      <w:r>
        <w:rPr>
          <w:rFonts w:hint="eastAsia" w:ascii="仿宋_GB2312" w:hAnsi="仿宋_GB2312" w:eastAsia="仿宋_GB2312" w:cs="仿宋_GB2312"/>
        </w:rPr>
        <w:t>的主要负责人员</w:t>
      </w:r>
      <w:r>
        <w:rPr>
          <w:rFonts w:hint="eastAsia" w:ascii="仿宋_GB2312" w:hAnsi="仿宋_GB2312" w:eastAsia="仿宋_GB2312" w:cs="仿宋_GB2312"/>
          <w:lang w:eastAsia="zh-CN"/>
        </w:rPr>
        <w:t>及</w:t>
      </w:r>
      <w:r>
        <w:rPr>
          <w:rFonts w:hint="eastAsia" w:ascii="仿宋_GB2312" w:hAnsi="仿宋_GB2312" w:eastAsia="仿宋_GB2312" w:cs="仿宋_GB2312"/>
        </w:rPr>
        <w:t>主要工程技术人员进行了访谈，了解了企业生产、环境管理等相关信息，主要包括资料收集分析与现场踏勘工作完成后仍然存在的一些疑问，以及信息补充和已有资料的考证。受访者主要为</w:t>
      </w:r>
      <w:r>
        <w:rPr>
          <w:rFonts w:hint="eastAsia" w:ascii="仿宋_GB2312" w:hAnsi="仿宋_GB2312" w:eastAsia="仿宋_GB2312" w:cs="仿宋_GB2312"/>
          <w:lang w:val="en-US" w:eastAsia="zh-CN"/>
        </w:rPr>
        <w:t>厂址</w:t>
      </w:r>
      <w:r>
        <w:rPr>
          <w:rFonts w:hint="eastAsia" w:ascii="仿宋_GB2312" w:hAnsi="仿宋_GB2312" w:eastAsia="仿宋_GB2312" w:cs="仿宋_GB2312"/>
        </w:rPr>
        <w:t>现状或历史的知情人，原</w:t>
      </w:r>
      <w:r>
        <w:rPr>
          <w:rFonts w:hint="eastAsia" w:ascii="仿宋_GB2312" w:hAnsi="仿宋_GB2312" w:eastAsia="仿宋_GB2312" w:cs="仿宋_GB2312"/>
          <w:lang w:val="en-US" w:eastAsia="zh-CN"/>
        </w:rPr>
        <w:t>厂址</w:t>
      </w:r>
      <w:r>
        <w:rPr>
          <w:rFonts w:hint="eastAsia" w:ascii="仿宋_GB2312" w:hAnsi="仿宋_GB2312" w:eastAsia="仿宋_GB2312" w:cs="仿宋_GB2312"/>
        </w:rPr>
        <w:t>管理人员以及地块附近的居民，访谈主要以在现场踏勘过程中的当面交流的方式进行，访谈结束后，对访谈内容进行了整理，并对照已有的相关资料，对其中可疑处和不完善处进行核实和补充。根据现场踏勘和人员访谈的情况了解到厂区有毒有害物质包括废渣和遗留构</w:t>
      </w:r>
      <w:r>
        <w:rPr>
          <w:rFonts w:hint="eastAsia" w:ascii="仿宋_GB2312" w:hAnsi="仿宋_GB2312" w:eastAsia="仿宋_GB2312" w:cs="仿宋_GB2312"/>
          <w:lang w:eastAsia="zh-CN"/>
        </w:rPr>
        <w:t>、</w:t>
      </w:r>
      <w:r>
        <w:rPr>
          <w:rFonts w:hint="eastAsia" w:ascii="仿宋_GB2312" w:hAnsi="仿宋_GB2312" w:eastAsia="仿宋_GB2312" w:cs="仿宋_GB2312"/>
        </w:rPr>
        <w:t>建筑物等。</w:t>
      </w:r>
    </w:p>
    <w:p w14:paraId="4739BC93">
      <w:pPr>
        <w:pStyle w:val="25"/>
        <w:keepNext w:val="0"/>
        <w:keepLines w:val="0"/>
        <w:pageBreakBefore w:val="0"/>
        <w:widowControl w:val="0"/>
        <w:kinsoku/>
        <w:wordWrap/>
        <w:overflowPunct/>
        <w:topLinePunct w:val="0"/>
        <w:autoSpaceDE/>
        <w:autoSpaceDN/>
        <w:bidi w:val="0"/>
        <w:adjustRightInd/>
        <w:snapToGrid/>
        <w:spacing w:after="0" w:line="560" w:lineRule="exact"/>
        <w:ind w:firstLine="602" w:firstLineChars="200"/>
        <w:textAlignment w:val="auto"/>
        <w:rPr>
          <w:rFonts w:hint="eastAsia" w:ascii="仿宋_GB2312" w:hAnsi="仿宋_GB2312" w:eastAsia="仿宋_GB2312" w:cs="仿宋_GB2312"/>
        </w:rPr>
      </w:pPr>
      <w:bookmarkStart w:id="180" w:name="bookmark225"/>
      <w:bookmarkStart w:id="181" w:name="bookmark226"/>
      <w:bookmarkStart w:id="182" w:name="bookmark228"/>
      <w:bookmarkStart w:id="183" w:name="_Toc13486"/>
      <w:r>
        <w:rPr>
          <w:rFonts w:hint="eastAsia" w:ascii="仿宋_GB2312" w:hAnsi="仿宋_GB2312" w:eastAsia="仿宋_GB2312" w:cs="仿宋_GB2312"/>
          <w:lang w:val="en-US" w:eastAsia="en-US"/>
        </w:rPr>
        <w:t>3.</w:t>
      </w:r>
      <w:r>
        <w:rPr>
          <w:rFonts w:hint="eastAsia" w:ascii="仿宋_GB2312" w:hAnsi="仿宋_GB2312" w:eastAsia="仿宋_GB2312" w:cs="仿宋_GB2312"/>
        </w:rPr>
        <w:t>3重点场所或者重点设施设备确定</w:t>
      </w:r>
      <w:bookmarkEnd w:id="180"/>
      <w:bookmarkEnd w:id="181"/>
      <w:bookmarkEnd w:id="182"/>
      <w:bookmarkEnd w:id="183"/>
    </w:p>
    <w:p w14:paraId="1A337B62">
      <w:pPr>
        <w:pStyle w:val="27"/>
        <w:bidi w:val="0"/>
        <w:rPr>
          <w:rFonts w:hint="eastAsia" w:ascii="仿宋_GB2312" w:hAnsi="仿宋_GB2312" w:eastAsia="仿宋_GB2312" w:cs="仿宋_GB2312"/>
        </w:rPr>
      </w:pPr>
      <w:r>
        <w:rPr>
          <w:rFonts w:hint="eastAsia" w:ascii="仿宋_GB2312" w:hAnsi="仿宋_GB2312" w:eastAsia="仿宋_GB2312" w:cs="仿宋_GB2312"/>
        </w:rPr>
        <w:t>根据资料收集、人员访谈结果审核是否详尽识别重点监管单位内涉及有毒有害物质的重点场所或者重点设施设备，编制的土壤污染隐患重点场所重点设施设备清单是否全面、准确，若邻近的多个重点设施设备防渗漏、流失、扬散的要求相同，可合并为一个重点场所，重点场所、重点设施设备清单的确认应提供文字说明或出处截图、现场照片等支撑依据。结合表</w:t>
      </w:r>
      <w:r>
        <w:rPr>
          <w:rFonts w:hint="eastAsia" w:ascii="仿宋_GB2312" w:hAnsi="仿宋_GB2312" w:eastAsia="仿宋_GB2312" w:cs="仿宋_GB2312"/>
          <w:lang w:val="en-US" w:eastAsia="en-US"/>
        </w:rPr>
        <w:t>3.3</w:t>
      </w:r>
      <w:r>
        <w:rPr>
          <w:rFonts w:hint="eastAsia" w:ascii="仿宋_GB2312" w:hAnsi="仿宋_GB2312" w:eastAsia="仿宋_GB2312" w:cs="仿宋_GB2312"/>
        </w:rPr>
        <w:t>确定重点场所或者重点设施设备。</w:t>
      </w:r>
    </w:p>
    <w:p w14:paraId="75416765">
      <w:pPr>
        <w:pStyle w:val="27"/>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leftChars="0" w:right="0" w:firstLine="0" w:firstLineChars="0"/>
        <w:jc w:val="center"/>
        <w:textAlignment w:val="auto"/>
        <w:rPr>
          <w:rFonts w:hint="eastAsia" w:ascii="仿宋_GB2312" w:hAnsi="仿宋_GB2312" w:eastAsia="仿宋_GB2312" w:cs="仿宋_GB2312"/>
        </w:rPr>
      </w:pPr>
      <w:r>
        <w:rPr>
          <w:rFonts w:hint="eastAsia" w:ascii="仿宋_GB2312" w:hAnsi="仿宋_GB2312" w:eastAsia="仿宋_GB2312" w:cs="仿宋_GB2312"/>
          <w:color w:val="000000"/>
          <w:spacing w:val="0"/>
          <w:w w:val="100"/>
          <w:position w:val="0"/>
        </w:rPr>
        <w:t>表</w:t>
      </w:r>
      <w:r>
        <w:rPr>
          <w:rFonts w:hint="eastAsia" w:ascii="仿宋_GB2312" w:hAnsi="仿宋_GB2312" w:eastAsia="仿宋_GB2312" w:cs="仿宋_GB2312"/>
          <w:color w:val="000000"/>
          <w:spacing w:val="0"/>
          <w:w w:val="100"/>
          <w:position w:val="0"/>
          <w:lang w:val="en-US" w:eastAsia="en-US" w:bidi="en-US"/>
        </w:rPr>
        <w:t>3.3</w:t>
      </w:r>
      <w:r>
        <w:rPr>
          <w:rFonts w:hint="eastAsia" w:ascii="仿宋_GB2312" w:hAnsi="仿宋_GB2312" w:eastAsia="仿宋_GB2312" w:cs="仿宋_GB2312"/>
          <w:color w:val="000000"/>
          <w:spacing w:val="0"/>
          <w:w w:val="100"/>
          <w:position w:val="0"/>
        </w:rPr>
        <w:t>有潜在土壤污染隐患的重点场所或者重点设施设备</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186"/>
        <w:gridCol w:w="2659"/>
        <w:gridCol w:w="5107"/>
      </w:tblGrid>
      <w:tr w14:paraId="5D83F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86" w:hRule="exact"/>
          <w:jc w:val="center"/>
        </w:trPr>
        <w:tc>
          <w:tcPr>
            <w:shd w:val="clear" w:color="auto" w:fill="FFFFFF"/>
            <w:vAlign w:val="center"/>
          </w:tcPr>
          <w:p w14:paraId="40D1B821">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b/>
                <w:bCs/>
                <w:color w:val="000000"/>
                <w:spacing w:val="0"/>
                <w:w w:val="100"/>
                <w:position w:val="0"/>
                <w:sz w:val="21"/>
                <w:szCs w:val="21"/>
              </w:rPr>
              <w:t>序号</w:t>
            </w:r>
          </w:p>
        </w:tc>
        <w:tc>
          <w:tcPr>
            <w:shd w:val="clear" w:color="auto" w:fill="FFFFFF"/>
            <w:vAlign w:val="center"/>
          </w:tcPr>
          <w:p w14:paraId="4FCE8236">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b/>
                <w:bCs/>
                <w:color w:val="000000"/>
                <w:spacing w:val="0"/>
                <w:w w:val="100"/>
                <w:position w:val="0"/>
                <w:sz w:val="21"/>
                <w:szCs w:val="21"/>
              </w:rPr>
              <w:t>涉及工业活动</w:t>
            </w:r>
          </w:p>
        </w:tc>
        <w:tc>
          <w:tcPr>
            <w:shd w:val="clear" w:color="auto" w:fill="FFFFFF"/>
            <w:vAlign w:val="center"/>
          </w:tcPr>
          <w:p w14:paraId="7FFE7022">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b/>
                <w:bCs/>
                <w:color w:val="000000"/>
                <w:spacing w:val="0"/>
                <w:w w:val="100"/>
                <w:position w:val="0"/>
                <w:sz w:val="21"/>
                <w:szCs w:val="21"/>
              </w:rPr>
              <w:t>重点场所或重点设施设备</w:t>
            </w:r>
          </w:p>
        </w:tc>
      </w:tr>
      <w:tr w14:paraId="6AD7F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34" w:hRule="exact"/>
          <w:jc w:val="center"/>
        </w:trPr>
        <w:tc>
          <w:tcPr>
            <w:shd w:val="clear" w:color="auto" w:fill="FFFFFF"/>
            <w:vAlign w:val="center"/>
          </w:tcPr>
          <w:p w14:paraId="3800D517">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1</w:t>
            </w:r>
          </w:p>
        </w:tc>
        <w:tc>
          <w:tcPr>
            <w:shd w:val="clear" w:color="auto" w:fill="FFFFFF"/>
            <w:vAlign w:val="center"/>
          </w:tcPr>
          <w:p w14:paraId="7EFA6EF1">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液体储存</w:t>
            </w:r>
          </w:p>
        </w:tc>
        <w:tc>
          <w:tcPr>
            <w:shd w:val="clear" w:color="auto" w:fill="FFFFFF"/>
            <w:vAlign w:val="center"/>
          </w:tcPr>
          <w:p w14:paraId="3A625D8D">
            <w:pPr>
              <w:pStyle w:val="33"/>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lang w:val="en-US" w:eastAsia="zh-CN"/>
              </w:rPr>
              <w:t>柴油储罐、氨水储罐、硫酸储罐、渗滤液调节池</w:t>
            </w:r>
            <w:r>
              <w:rPr>
                <w:rFonts w:hint="eastAsia" w:ascii="仿宋_GB2312" w:hAnsi="仿宋_GB2312" w:eastAsia="仿宋_GB2312" w:cs="仿宋_GB2312"/>
                <w:color w:val="000000"/>
                <w:spacing w:val="0"/>
                <w:w w:val="100"/>
                <w:position w:val="0"/>
                <w:sz w:val="21"/>
                <w:szCs w:val="21"/>
              </w:rPr>
              <w:t>、初期雨水收集池</w:t>
            </w:r>
          </w:p>
        </w:tc>
      </w:tr>
      <w:tr w14:paraId="363CC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76" w:hRule="exact"/>
          <w:jc w:val="center"/>
        </w:trPr>
        <w:tc>
          <w:tcPr>
            <w:shd w:val="clear" w:color="auto" w:fill="FFFFFF"/>
            <w:vAlign w:val="center"/>
          </w:tcPr>
          <w:p w14:paraId="6EE0889C">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2</w:t>
            </w:r>
          </w:p>
        </w:tc>
        <w:tc>
          <w:tcPr>
            <w:shd w:val="clear" w:color="auto" w:fill="FFFFFF"/>
            <w:vAlign w:val="center"/>
          </w:tcPr>
          <w:p w14:paraId="2390E916">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散装液体转运与厂内运输</w:t>
            </w:r>
          </w:p>
        </w:tc>
        <w:tc>
          <w:tcPr>
            <w:shd w:val="clear" w:color="auto" w:fill="FFFFFF"/>
            <w:vAlign w:val="center"/>
          </w:tcPr>
          <w:p w14:paraId="636A53F0">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散装液体物料装卸、管道运输、传输泵</w:t>
            </w:r>
          </w:p>
        </w:tc>
      </w:tr>
      <w:tr w14:paraId="313EF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29" w:hRule="exact"/>
          <w:jc w:val="center"/>
        </w:trPr>
        <w:tc>
          <w:tcPr>
            <w:shd w:val="clear" w:color="auto" w:fill="FFFFFF"/>
            <w:vAlign w:val="center"/>
          </w:tcPr>
          <w:p w14:paraId="5F08DDCF">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3</w:t>
            </w:r>
          </w:p>
        </w:tc>
        <w:tc>
          <w:tcPr>
            <w:shd w:val="clear" w:color="auto" w:fill="FFFFFF"/>
            <w:vAlign w:val="center"/>
          </w:tcPr>
          <w:p w14:paraId="56806508">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货物的储存和传输</w:t>
            </w:r>
          </w:p>
        </w:tc>
        <w:tc>
          <w:tcPr>
            <w:shd w:val="clear" w:color="auto" w:fill="FFFFFF"/>
            <w:vAlign w:val="center"/>
          </w:tcPr>
          <w:p w14:paraId="5DA50CB3">
            <w:pPr>
              <w:pStyle w:val="33"/>
              <w:keepNext w:val="0"/>
              <w:keepLines w:val="0"/>
              <w:widowControl w:val="0"/>
              <w:shd w:val="clear" w:color="auto" w:fill="auto"/>
              <w:bidi w:val="0"/>
              <w:spacing w:before="0" w:after="0" w:line="230" w:lineRule="exact"/>
              <w:ind w:left="0" w:right="0"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散装货物储存和暂存、散装货物传输、包装货物储存和暂存、开放式装卸</w:t>
            </w:r>
          </w:p>
        </w:tc>
      </w:tr>
      <w:tr w14:paraId="6992B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81" w:hRule="exact"/>
          <w:jc w:val="center"/>
        </w:trPr>
        <w:tc>
          <w:tcPr>
            <w:shd w:val="clear" w:color="auto" w:fill="FFFFFF"/>
            <w:vAlign w:val="center"/>
          </w:tcPr>
          <w:p w14:paraId="1CD410F8">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4</w:t>
            </w:r>
          </w:p>
        </w:tc>
        <w:tc>
          <w:tcPr>
            <w:shd w:val="clear" w:color="auto" w:fill="FFFFFF"/>
            <w:vAlign w:val="center"/>
          </w:tcPr>
          <w:p w14:paraId="57A1C9EA">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生产区</w:t>
            </w:r>
          </w:p>
        </w:tc>
        <w:tc>
          <w:tcPr>
            <w:shd w:val="clear" w:color="auto" w:fill="FFFFFF"/>
            <w:vAlign w:val="center"/>
          </w:tcPr>
          <w:p w14:paraId="2235B9C8">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生产装置区</w:t>
            </w:r>
          </w:p>
        </w:tc>
      </w:tr>
      <w:tr w14:paraId="7FF0F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38" w:hRule="exact"/>
          <w:jc w:val="center"/>
        </w:trPr>
        <w:tc>
          <w:tcPr>
            <w:shd w:val="clear" w:color="auto" w:fill="FFFFFF"/>
            <w:vAlign w:val="center"/>
          </w:tcPr>
          <w:p w14:paraId="1379CA74">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5</w:t>
            </w:r>
          </w:p>
        </w:tc>
        <w:tc>
          <w:tcPr>
            <w:shd w:val="clear" w:color="auto" w:fill="FFFFFF"/>
            <w:vAlign w:val="center"/>
          </w:tcPr>
          <w:p w14:paraId="32B0E683">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其他活动区</w:t>
            </w:r>
          </w:p>
        </w:tc>
        <w:tc>
          <w:tcPr>
            <w:shd w:val="clear" w:color="auto" w:fill="FFFFFF"/>
            <w:vAlign w:val="center"/>
          </w:tcPr>
          <w:p w14:paraId="35451A0C">
            <w:pPr>
              <w:pStyle w:val="33"/>
              <w:keepNext w:val="0"/>
              <w:keepLines w:val="0"/>
              <w:widowControl w:val="0"/>
              <w:shd w:val="clear" w:color="auto" w:fill="auto"/>
              <w:bidi w:val="0"/>
              <w:spacing w:before="0" w:after="0" w:line="235" w:lineRule="exact"/>
              <w:ind w:left="0" w:right="0"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分析化验室、一般工业固体废物贮存场、危险废物</w:t>
            </w:r>
            <w:r>
              <w:rPr>
                <w:rFonts w:hint="eastAsia" w:ascii="仿宋_GB2312" w:hAnsi="仿宋_GB2312" w:eastAsia="仿宋_GB2312" w:cs="仿宋_GB2312"/>
                <w:color w:val="000000"/>
                <w:spacing w:val="0"/>
                <w:w w:val="100"/>
                <w:position w:val="0"/>
                <w:sz w:val="21"/>
                <w:szCs w:val="21"/>
                <w:lang w:val="en-US" w:eastAsia="zh-CN"/>
              </w:rPr>
              <w:t>暂</w:t>
            </w:r>
            <w:r>
              <w:rPr>
                <w:rFonts w:hint="eastAsia" w:ascii="仿宋_GB2312" w:hAnsi="仿宋_GB2312" w:eastAsia="仿宋_GB2312" w:cs="仿宋_GB2312"/>
                <w:color w:val="000000"/>
                <w:spacing w:val="0"/>
                <w:w w:val="100"/>
                <w:position w:val="0"/>
                <w:sz w:val="21"/>
                <w:szCs w:val="21"/>
              </w:rPr>
              <w:t>存库</w:t>
            </w:r>
          </w:p>
        </w:tc>
      </w:tr>
    </w:tbl>
    <w:p w14:paraId="14D0A764">
      <w:pPr>
        <w:pStyle w:val="27"/>
        <w:bidi w:val="0"/>
        <w:rPr>
          <w:rFonts w:hint="eastAsia" w:ascii="仿宋_GB2312" w:hAnsi="仿宋_GB2312" w:eastAsia="仿宋_GB2312" w:cs="仿宋_GB2312"/>
        </w:rPr>
      </w:pPr>
      <w:r>
        <w:rPr>
          <w:rFonts w:hint="eastAsia" w:ascii="仿宋_GB2312" w:hAnsi="仿宋_GB2312" w:eastAsia="仿宋_GB2312" w:cs="仿宋_GB2312"/>
        </w:rPr>
        <w:t>本项目存在的重点场所或者重点设施设备主要包括有:</w:t>
      </w:r>
      <w:r>
        <w:rPr>
          <w:rFonts w:hint="eastAsia" w:ascii="仿宋_GB2312" w:hAnsi="仿宋_GB2312" w:eastAsia="仿宋_GB2312" w:cs="仿宋_GB2312"/>
          <w:lang w:val="en-US" w:eastAsia="zh-CN"/>
        </w:rPr>
        <w:t>柴油储罐、氨水储罐、硫酸储罐、渗滤液调节池</w:t>
      </w:r>
      <w:r>
        <w:rPr>
          <w:rFonts w:hint="eastAsia" w:ascii="仿宋_GB2312" w:hAnsi="仿宋_GB2312" w:eastAsia="仿宋_GB2312" w:cs="仿宋_GB2312"/>
        </w:rPr>
        <w:t>、各类泵、输送管线、等生产设施和装置。</w:t>
      </w:r>
    </w:p>
    <w:p w14:paraId="455ED4D1">
      <w:pPr>
        <w:pStyle w:val="25"/>
        <w:bidi w:val="0"/>
        <w:rPr>
          <w:rFonts w:hint="eastAsia" w:ascii="仿宋_GB2312" w:hAnsi="仿宋_GB2312" w:eastAsia="仿宋_GB2312" w:cs="仿宋_GB2312"/>
        </w:rPr>
      </w:pPr>
      <w:bookmarkStart w:id="184" w:name="bookmark232"/>
      <w:bookmarkStart w:id="185" w:name="bookmark230"/>
      <w:bookmarkStart w:id="186" w:name="bookmark229"/>
      <w:bookmarkStart w:id="187" w:name="_Toc29794"/>
      <w:r>
        <w:rPr>
          <w:rFonts w:hint="eastAsia" w:ascii="仿宋_GB2312" w:hAnsi="仿宋_GB2312" w:eastAsia="仿宋_GB2312" w:cs="仿宋_GB2312"/>
          <w:lang w:val="en-US" w:eastAsia="en-US"/>
        </w:rPr>
        <w:t>3.4</w:t>
      </w:r>
      <w:r>
        <w:rPr>
          <w:rFonts w:hint="eastAsia" w:ascii="仿宋_GB2312" w:hAnsi="仿宋_GB2312" w:eastAsia="仿宋_GB2312" w:cs="仿宋_GB2312"/>
        </w:rPr>
        <w:t>现场排查方法</w:t>
      </w:r>
      <w:bookmarkEnd w:id="184"/>
      <w:bookmarkEnd w:id="185"/>
      <w:bookmarkEnd w:id="186"/>
      <w:bookmarkEnd w:id="187"/>
    </w:p>
    <w:p w14:paraId="7B98975D">
      <w:pPr>
        <w:pStyle w:val="27"/>
        <w:bidi w:val="0"/>
        <w:rPr>
          <w:rFonts w:hint="eastAsia" w:ascii="仿宋_GB2312" w:hAnsi="仿宋_GB2312" w:eastAsia="仿宋_GB2312" w:cs="仿宋_GB2312"/>
        </w:rPr>
      </w:pPr>
      <w:r>
        <w:rPr>
          <w:rFonts w:hint="eastAsia" w:ascii="仿宋_GB2312" w:hAnsi="仿宋_GB2312" w:eastAsia="仿宋_GB2312" w:cs="仿宋_GB2312"/>
        </w:rPr>
        <w:t>参考《重点监管单位土壤污染隐患排査指南（试行）》附录</w:t>
      </w:r>
      <w:r>
        <w:rPr>
          <w:rFonts w:hint="eastAsia" w:ascii="仿宋_GB2312" w:hAnsi="仿宋_GB2312" w:eastAsia="仿宋_GB2312" w:cs="仿宋_GB2312"/>
          <w:lang w:val="en-US" w:eastAsia="en-US"/>
        </w:rPr>
        <w:t>A</w:t>
      </w:r>
      <w:r>
        <w:rPr>
          <w:rFonts w:hint="eastAsia" w:ascii="仿宋_GB2312" w:hAnsi="仿宋_GB2312" w:eastAsia="仿宋_GB2312" w:cs="仿宋_GB2312"/>
        </w:rPr>
        <w:t>给出的土壤污染预防措施与企业实际采取的预防措施进行列表比对，排査出企业存在的隐患和不足。现场排查主要通过以下技术要求进行：</w:t>
      </w:r>
    </w:p>
    <w:p w14:paraId="0F75F19C">
      <w:pPr>
        <w:pStyle w:val="27"/>
        <w:bidi w:val="0"/>
        <w:rPr>
          <w:rFonts w:hint="eastAsia" w:ascii="仿宋_GB2312" w:hAnsi="仿宋_GB2312" w:eastAsia="仿宋_GB2312" w:cs="仿宋_GB2312"/>
        </w:rPr>
      </w:pPr>
      <w:bookmarkStart w:id="188" w:name="bookmark233"/>
      <w:r>
        <w:rPr>
          <w:rFonts w:hint="eastAsia" w:ascii="仿宋_GB2312" w:hAnsi="仿宋_GB2312" w:eastAsia="仿宋_GB2312" w:cs="仿宋_GB2312"/>
        </w:rPr>
        <w:t>1</w:t>
      </w:r>
      <w:bookmarkEnd w:id="188"/>
      <w:r>
        <w:rPr>
          <w:rFonts w:hint="eastAsia" w:ascii="仿宋_GB2312" w:hAnsi="仿宋_GB2312" w:eastAsia="仿宋_GB2312" w:cs="仿宋_GB2312"/>
        </w:rPr>
        <w:t>、重点场所和重点设施设备是否具有基本的防渗漏、流失、扬散的土壤污染预防功能（如具有腐蚀控制及防护的钢制储罐；设施能防止雨水进入，或者能及时有效排出雨水），以及有关预防土壤污染管理制度建立和执行情况。</w:t>
      </w:r>
    </w:p>
    <w:p w14:paraId="126B092C">
      <w:pPr>
        <w:pStyle w:val="27"/>
        <w:bidi w:val="0"/>
        <w:rPr>
          <w:rFonts w:hint="eastAsia" w:ascii="仿宋_GB2312" w:hAnsi="仿宋_GB2312" w:eastAsia="仿宋_GB2312" w:cs="仿宋_GB2312"/>
        </w:rPr>
      </w:pPr>
      <w:bookmarkStart w:id="189" w:name="bookmark234"/>
      <w:r>
        <w:rPr>
          <w:rFonts w:hint="eastAsia" w:ascii="仿宋_GB2312" w:hAnsi="仿宋_GB2312" w:eastAsia="仿宋_GB2312" w:cs="仿宋_GB2312"/>
        </w:rPr>
        <w:t>2</w:t>
      </w:r>
      <w:bookmarkEnd w:id="189"/>
      <w:r>
        <w:rPr>
          <w:rFonts w:hint="eastAsia" w:ascii="仿宋_GB2312" w:hAnsi="仿宋_GB2312" w:eastAsia="仿宋_GB2312" w:cs="仿宋_GB2312"/>
        </w:rPr>
        <w:t>、在发生渗漏、流失、扬散的情况下，是否具有防止污染物进入土壤的设施，包括普通阻隔设施、防滴漏设施，以及防渗阻隔系统等。</w:t>
      </w:r>
    </w:p>
    <w:p w14:paraId="41900FFF">
      <w:pPr>
        <w:pStyle w:val="27"/>
        <w:bidi w:val="0"/>
        <w:rPr>
          <w:rFonts w:hint="eastAsia" w:ascii="仿宋_GB2312" w:hAnsi="仿宋_GB2312" w:eastAsia="仿宋_GB2312" w:cs="仿宋_GB2312"/>
        </w:rPr>
      </w:pPr>
      <w:bookmarkStart w:id="190" w:name="bookmark235"/>
      <w:r>
        <w:rPr>
          <w:rFonts w:hint="eastAsia" w:ascii="仿宋_GB2312" w:hAnsi="仿宋_GB2312" w:eastAsia="仿宋_GB2312" w:cs="仿宋_GB2312"/>
        </w:rPr>
        <w:t>3</w:t>
      </w:r>
      <w:bookmarkEnd w:id="190"/>
      <w:r>
        <w:rPr>
          <w:rFonts w:hint="eastAsia" w:ascii="仿宋_GB2312" w:hAnsi="仿宋_GB2312" w:eastAsia="仿宋_GB2312" w:cs="仿宋_GB2312"/>
        </w:rPr>
        <w:t>、是否有能有效</w:t>
      </w:r>
      <w:r>
        <w:rPr>
          <w:rFonts w:hint="eastAsia" w:ascii="仿宋_GB2312" w:hAnsi="仿宋_GB2312" w:eastAsia="仿宋_GB2312" w:cs="仿宋_GB2312"/>
          <w:lang w:eastAsia="zh-CN"/>
        </w:rPr>
        <w:t>及</w:t>
      </w:r>
      <w:r>
        <w:rPr>
          <w:rFonts w:hint="eastAsia" w:ascii="仿宋_GB2312" w:hAnsi="仿宋_GB2312" w:eastAsia="仿宋_GB2312" w:cs="仿宋_GB2312"/>
        </w:rPr>
        <w:t>时发现并处理泄漏、渗漏或者土壤污染的设施或者措施。如泄漏检测设施、土壤和地下水环境定期监测、应急措施和应急物资储备等。普通阻隔设施需要更严格的管理措施，防渗阻隔系统需要定期检测防渗性能。</w:t>
      </w:r>
    </w:p>
    <w:p w14:paraId="515F60A2">
      <w:pPr>
        <w:pStyle w:val="27"/>
        <w:bidi w:val="0"/>
        <w:rPr>
          <w:rFonts w:hint="eastAsia" w:ascii="仿宋_GB2312" w:hAnsi="仿宋_GB2312" w:eastAsia="仿宋_GB2312" w:cs="仿宋_GB2312"/>
        </w:rPr>
      </w:pPr>
      <w:r>
        <w:rPr>
          <w:rFonts w:hint="eastAsia" w:ascii="仿宋_GB2312" w:hAnsi="仿宋_GB2312" w:eastAsia="仿宋_GB2312" w:cs="仿宋_GB2312"/>
        </w:rPr>
        <w:t>隐患排查按《重点监管单位土壤污染隐患排查指南（试行）》中附录</w:t>
      </w:r>
      <w:r>
        <w:rPr>
          <w:rFonts w:hint="eastAsia" w:ascii="仿宋_GB2312" w:hAnsi="仿宋_GB2312" w:eastAsia="仿宋_GB2312" w:cs="仿宋_GB2312"/>
          <w:lang w:val="en-US" w:eastAsia="en-US"/>
        </w:rPr>
        <w:t>A</w:t>
      </w:r>
      <w:r>
        <w:rPr>
          <w:rFonts w:hint="eastAsia" w:ascii="仿宋_GB2312" w:hAnsi="仿宋_GB2312" w:eastAsia="仿宋_GB2312" w:cs="仿宋_GB2312"/>
        </w:rPr>
        <w:t>进行，通过现场预防设施和措施与附录</w:t>
      </w:r>
      <w:r>
        <w:rPr>
          <w:rFonts w:hint="eastAsia" w:ascii="仿宋_GB2312" w:hAnsi="仿宋_GB2312" w:eastAsia="仿宋_GB2312" w:cs="仿宋_GB2312"/>
          <w:lang w:val="en-US" w:eastAsia="en-US"/>
        </w:rPr>
        <w:t>A</w:t>
      </w:r>
      <w:r>
        <w:rPr>
          <w:rFonts w:hint="eastAsia" w:ascii="仿宋_GB2312" w:hAnsi="仿宋_GB2312" w:eastAsia="仿宋_GB2312" w:cs="仿宋_GB2312"/>
        </w:rPr>
        <w:t>列举的组合进行查漏补缺，具体如下：</w:t>
      </w:r>
    </w:p>
    <w:p w14:paraId="6FD63640">
      <w:pPr>
        <w:pStyle w:val="27"/>
        <w:bidi w:val="0"/>
        <w:rPr>
          <w:rFonts w:hint="eastAsia" w:ascii="仿宋_GB2312" w:hAnsi="仿宋_GB2312" w:eastAsia="仿宋_GB2312" w:cs="仿宋_GB2312"/>
        </w:rPr>
      </w:pPr>
      <w:r>
        <w:rPr>
          <w:rFonts w:hint="eastAsia" w:ascii="仿宋_GB2312" w:hAnsi="仿宋_GB2312" w:eastAsia="仿宋_GB2312" w:cs="仿宋_GB2312"/>
        </w:rPr>
        <w:t>（1）液体储存</w:t>
      </w:r>
    </w:p>
    <w:p w14:paraId="06DEE3B6">
      <w:pPr>
        <w:pStyle w:val="27"/>
        <w:bidi w:val="0"/>
        <w:rPr>
          <w:rFonts w:hint="eastAsia" w:ascii="仿宋_GB2312" w:hAnsi="仿宋_GB2312" w:eastAsia="仿宋_GB2312" w:cs="仿宋_GB2312"/>
        </w:rPr>
      </w:pPr>
      <w:r>
        <w:rPr>
          <w:rFonts w:hint="eastAsia" w:ascii="仿宋_GB2312" w:hAnsi="仿宋_GB2312" w:eastAsia="仿宋_GB2312" w:cs="仿宋_GB2312"/>
        </w:rPr>
        <w:t>①储罐类储存设施</w:t>
      </w:r>
    </w:p>
    <w:p w14:paraId="418A14E4">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rPr>
        <w:t>储罐类储存设施包括柴油储罐、氨水储罐、硫酸储罐等。造成土壤污染主要是罐体的内、外腐蚀造成液体物料泄漏、渗涌。可参考</w:t>
      </w:r>
      <w:r>
        <w:rPr>
          <w:rFonts w:hint="eastAsia" w:ascii="仿宋_GB2312" w:hAnsi="仿宋_GB2312" w:eastAsia="仿宋_GB2312" w:cs="仿宋_GB2312"/>
          <w:lang w:val="en-US" w:eastAsia="zh-CN"/>
        </w:rPr>
        <w:t>下</w:t>
      </w:r>
      <w:r>
        <w:rPr>
          <w:rFonts w:hint="eastAsia" w:ascii="仿宋_GB2312" w:hAnsi="仿宋_GB2312" w:eastAsia="仿宋_GB2312" w:cs="仿宋_GB2312"/>
        </w:rPr>
        <w:t>表开展排查和整改</w:t>
      </w:r>
      <w:r>
        <w:rPr>
          <w:rFonts w:hint="eastAsia" w:ascii="仿宋_GB2312" w:hAnsi="仿宋_GB2312" w:eastAsia="仿宋_GB2312" w:cs="仿宋_GB2312"/>
          <w:lang w:eastAsia="zh-CN"/>
        </w:rPr>
        <w:t>。</w:t>
      </w:r>
    </w:p>
    <w:tbl>
      <w:tblPr>
        <w:tblStyle w:val="9"/>
        <w:tblW w:w="0" w:type="auto"/>
        <w:jc w:val="center"/>
        <w:tblLayout w:type="fixed"/>
        <w:tblCellMar>
          <w:top w:w="0" w:type="dxa"/>
          <w:left w:w="10" w:type="dxa"/>
          <w:bottom w:w="0" w:type="dxa"/>
          <w:right w:w="10" w:type="dxa"/>
        </w:tblCellMar>
      </w:tblPr>
      <w:tblGrid>
        <w:gridCol w:w="1267"/>
        <w:gridCol w:w="3634"/>
        <w:gridCol w:w="4070"/>
      </w:tblGrid>
      <w:tr w14:paraId="084DA95C">
        <w:tblPrEx>
          <w:tblCellMar>
            <w:top w:w="0" w:type="dxa"/>
            <w:left w:w="10" w:type="dxa"/>
            <w:bottom w:w="0" w:type="dxa"/>
            <w:right w:w="10" w:type="dxa"/>
          </w:tblCellMar>
        </w:tblPrEx>
        <w:trPr>
          <w:trHeight w:val="586" w:hRule="exact"/>
          <w:jc w:val="center"/>
        </w:trPr>
        <w:tc>
          <w:tcPr>
            <w:tcBorders>
              <w:top w:val="single" w:color="auto" w:sz="4" w:space="0"/>
              <w:left w:val="single" w:color="auto" w:sz="4" w:space="0"/>
              <w:bottom w:val="single" w:color="auto" w:sz="4" w:space="0"/>
              <w:right w:val="single" w:color="auto" w:sz="4" w:space="0"/>
            </w:tcBorders>
            <w:shd w:val="clear" w:color="auto" w:fill="FFFFFF"/>
            <w:vAlign w:val="center"/>
          </w:tcPr>
          <w:p w14:paraId="5DB53C2B">
            <w:pPr>
              <w:pStyle w:val="33"/>
              <w:keepNext w:val="0"/>
              <w:keepLines w:val="0"/>
              <w:widowControl w:val="0"/>
              <w:shd w:val="clear" w:color="auto" w:fill="auto"/>
              <w:bidi w:val="0"/>
              <w:spacing w:before="0" w:after="0" w:line="240" w:lineRule="auto"/>
              <w:ind w:left="0" w:right="0" w:firstLine="580"/>
              <w:jc w:val="left"/>
              <w:rPr>
                <w:rFonts w:hint="eastAsia" w:ascii="仿宋_GB2312" w:hAnsi="仿宋_GB2312" w:eastAsia="仿宋_GB2312" w:cs="仿宋_GB2312"/>
                <w:sz w:val="21"/>
                <w:szCs w:val="21"/>
                <w:lang w:eastAsia="zh-CN"/>
              </w:rPr>
            </w:pPr>
            <w:r>
              <w:rPr>
                <w:rFonts w:hint="eastAsia" w:ascii="仿宋_GB2312" w:hAnsi="仿宋_GB2312" w:eastAsia="仿宋_GB2312" w:cs="仿宋_GB2312"/>
                <w:b/>
                <w:bCs/>
                <w:color w:val="000000"/>
                <w:spacing w:val="0"/>
                <w:w w:val="100"/>
                <w:position w:val="0"/>
                <w:sz w:val="21"/>
                <w:szCs w:val="21"/>
                <w:lang w:eastAsia="zh-CN"/>
              </w:rPr>
              <w:t>序号</w:t>
            </w:r>
          </w:p>
        </w:tc>
        <w:tc>
          <w:tcPr>
            <w:tcBorders>
              <w:top w:val="single" w:color="auto" w:sz="4" w:space="0"/>
              <w:left w:val="single" w:color="auto" w:sz="4" w:space="0"/>
              <w:bottom w:val="single" w:color="auto" w:sz="4" w:space="0"/>
              <w:right w:val="single" w:color="auto" w:sz="4" w:space="0"/>
            </w:tcBorders>
            <w:shd w:val="clear" w:color="auto" w:fill="FFFFFF"/>
            <w:vAlign w:val="center"/>
          </w:tcPr>
          <w:p w14:paraId="621FD451">
            <w:pPr>
              <w:pStyle w:val="33"/>
              <w:keepNext w:val="0"/>
              <w:keepLines w:val="0"/>
              <w:widowControl w:val="0"/>
              <w:shd w:val="clear" w:color="auto" w:fill="auto"/>
              <w:bidi w:val="0"/>
              <w:spacing w:before="0" w:after="0" w:line="240" w:lineRule="auto"/>
              <w:ind w:left="0" w:right="0" w:firstLine="880"/>
              <w:jc w:val="left"/>
              <w:rPr>
                <w:rFonts w:hint="eastAsia" w:ascii="仿宋_GB2312" w:hAnsi="仿宋_GB2312" w:eastAsia="仿宋_GB2312" w:cs="仿宋_GB2312"/>
                <w:sz w:val="21"/>
                <w:szCs w:val="21"/>
              </w:rPr>
            </w:pPr>
            <w:r>
              <w:rPr>
                <w:rFonts w:hint="eastAsia" w:ascii="仿宋_GB2312" w:hAnsi="仿宋_GB2312" w:eastAsia="仿宋_GB2312" w:cs="仿宋_GB2312"/>
                <w:b/>
                <w:bCs/>
                <w:color w:val="000000"/>
                <w:spacing w:val="0"/>
                <w:w w:val="100"/>
                <w:position w:val="0"/>
                <w:sz w:val="21"/>
                <w:szCs w:val="21"/>
              </w:rPr>
              <w:t>土壤污染预防设施/功能</w:t>
            </w:r>
          </w:p>
        </w:tc>
        <w:tc>
          <w:tcPr>
            <w:tcBorders>
              <w:top w:val="single" w:color="auto" w:sz="4" w:space="0"/>
              <w:left w:val="single" w:color="auto" w:sz="4" w:space="0"/>
              <w:bottom w:val="single" w:color="auto" w:sz="4" w:space="0"/>
              <w:right w:val="single" w:color="auto" w:sz="4" w:space="0"/>
            </w:tcBorders>
            <w:shd w:val="clear" w:color="auto" w:fill="FFFFFF"/>
            <w:vAlign w:val="center"/>
          </w:tcPr>
          <w:p w14:paraId="589AAA3A">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b/>
                <w:bCs/>
                <w:color w:val="000000"/>
                <w:spacing w:val="0"/>
                <w:w w:val="100"/>
                <w:position w:val="0"/>
                <w:sz w:val="21"/>
                <w:szCs w:val="21"/>
              </w:rPr>
              <w:t>土壤污染预防措施</w:t>
            </w:r>
          </w:p>
        </w:tc>
      </w:tr>
      <w:tr w14:paraId="2F4AE44A">
        <w:tblPrEx>
          <w:tblCellMar>
            <w:top w:w="0" w:type="dxa"/>
            <w:left w:w="10" w:type="dxa"/>
            <w:bottom w:w="0" w:type="dxa"/>
            <w:right w:w="10" w:type="dxa"/>
          </w:tblCellMar>
        </w:tblPrEx>
        <w:trPr>
          <w:trHeight w:val="576" w:hRule="exact"/>
          <w:jc w:val="center"/>
        </w:trPr>
        <w:tc>
          <w:tcPr>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5472C8BC">
            <w:pPr>
              <w:pStyle w:val="33"/>
              <w:keepNext w:val="0"/>
              <w:keepLines w:val="0"/>
              <w:widowControl w:val="0"/>
              <w:shd w:val="clear" w:color="auto" w:fill="auto"/>
              <w:bidi w:val="0"/>
              <w:spacing w:before="0" w:after="0" w:line="240" w:lineRule="auto"/>
              <w:ind w:left="0" w:right="0" w:firstLine="42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一、</w:t>
            </w:r>
            <w:r>
              <w:rPr>
                <w:rFonts w:hint="eastAsia" w:ascii="仿宋_GB2312" w:hAnsi="仿宋_GB2312" w:eastAsia="仿宋_GB2312" w:cs="仿宋_GB2312"/>
                <w:color w:val="000000"/>
                <w:spacing w:val="0"/>
                <w:w w:val="100"/>
                <w:position w:val="0"/>
                <w:sz w:val="21"/>
                <w:szCs w:val="21"/>
                <w:lang w:val="en-US" w:eastAsia="zh-CN"/>
              </w:rPr>
              <w:t>硫酸</w:t>
            </w:r>
            <w:r>
              <w:rPr>
                <w:rFonts w:hint="eastAsia" w:ascii="仿宋_GB2312" w:hAnsi="仿宋_GB2312" w:eastAsia="仿宋_GB2312" w:cs="仿宋_GB2312"/>
                <w:color w:val="000000"/>
                <w:spacing w:val="0"/>
                <w:w w:val="100"/>
                <w:position w:val="0"/>
                <w:sz w:val="21"/>
                <w:szCs w:val="21"/>
              </w:rPr>
              <w:t>储罐</w:t>
            </w:r>
          </w:p>
        </w:tc>
      </w:tr>
      <w:tr w14:paraId="28B0FB95">
        <w:tblPrEx>
          <w:tblCellMar>
            <w:top w:w="0" w:type="dxa"/>
            <w:left w:w="10" w:type="dxa"/>
            <w:bottom w:w="0" w:type="dxa"/>
            <w:right w:w="10" w:type="dxa"/>
          </w:tblCellMar>
        </w:tblPrEx>
        <w:trPr>
          <w:trHeight w:val="1076" w:hRule="exact"/>
          <w:jc w:val="center"/>
        </w:trPr>
        <w:tc>
          <w:tcPr>
            <w:tcBorders>
              <w:top w:val="single" w:color="auto" w:sz="4" w:space="0"/>
              <w:left w:val="single" w:color="auto" w:sz="4" w:space="0"/>
              <w:bottom w:val="single" w:color="auto" w:sz="4" w:space="0"/>
              <w:right w:val="single" w:color="auto" w:sz="4" w:space="0"/>
            </w:tcBorders>
            <w:shd w:val="clear" w:color="auto" w:fill="FFFFFF"/>
            <w:vAlign w:val="center"/>
          </w:tcPr>
          <w:p w14:paraId="76D78DD3">
            <w:pPr>
              <w:pStyle w:val="33"/>
              <w:keepNext w:val="0"/>
              <w:keepLines w:val="0"/>
              <w:widowControl w:val="0"/>
              <w:shd w:val="clear" w:color="auto" w:fill="auto"/>
              <w:bidi w:val="0"/>
              <w:spacing w:before="0" w:after="0" w:line="240" w:lineRule="auto"/>
              <w:ind w:left="0" w:right="0" w:firstLine="400"/>
              <w:jc w:val="both"/>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1</w:t>
            </w:r>
          </w:p>
        </w:tc>
        <w:tc>
          <w:tcPr>
            <w:tcBorders>
              <w:top w:val="single" w:color="auto" w:sz="4" w:space="0"/>
              <w:left w:val="single" w:color="auto" w:sz="4" w:space="0"/>
              <w:bottom w:val="single" w:color="auto" w:sz="4" w:space="0"/>
              <w:right w:val="single" w:color="auto" w:sz="4" w:space="0"/>
            </w:tcBorders>
            <w:shd w:val="clear" w:color="auto" w:fill="FFFFFF"/>
            <w:vAlign w:val="center"/>
          </w:tcPr>
          <w:p w14:paraId="47707B5A">
            <w:pPr>
              <w:pStyle w:val="33"/>
              <w:keepNext w:val="0"/>
              <w:keepLines w:val="0"/>
              <w:widowControl w:val="0"/>
              <w:shd w:val="clear" w:color="auto" w:fill="auto"/>
              <w:bidi w:val="0"/>
              <w:spacing w:before="0" w:after="0" w:line="240" w:lineRule="auto"/>
              <w:ind w:left="0" w:right="0" w:firstLine="320"/>
              <w:jc w:val="both"/>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•单层钢制储罐</w:t>
            </w:r>
          </w:p>
          <w:p w14:paraId="324F2E94">
            <w:pPr>
              <w:pStyle w:val="33"/>
              <w:keepNext w:val="0"/>
              <w:keepLines w:val="0"/>
              <w:widowControl w:val="0"/>
              <w:shd w:val="clear" w:color="auto" w:fill="auto"/>
              <w:bidi w:val="0"/>
              <w:spacing w:before="0" w:after="0" w:line="240" w:lineRule="auto"/>
              <w:ind w:left="0" w:right="0" w:firstLine="320"/>
              <w:jc w:val="both"/>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•阴极保护系统</w:t>
            </w:r>
          </w:p>
          <w:p w14:paraId="6E6A4095">
            <w:pPr>
              <w:pStyle w:val="33"/>
              <w:keepNext w:val="0"/>
              <w:keepLines w:val="0"/>
              <w:widowControl w:val="0"/>
              <w:shd w:val="clear" w:color="auto" w:fill="auto"/>
              <w:bidi w:val="0"/>
              <w:spacing w:before="0" w:after="0" w:line="240" w:lineRule="auto"/>
              <w:ind w:left="0" w:right="0" w:firstLine="320"/>
              <w:jc w:val="both"/>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•地下水或者土壤气监测井</w:t>
            </w:r>
          </w:p>
        </w:tc>
        <w:tc>
          <w:tcPr>
            <w:tcBorders>
              <w:top w:val="single" w:color="auto" w:sz="4" w:space="0"/>
              <w:left w:val="single" w:color="auto" w:sz="4" w:space="0"/>
              <w:bottom w:val="single" w:color="auto" w:sz="4" w:space="0"/>
              <w:right w:val="single" w:color="auto" w:sz="4" w:space="0"/>
            </w:tcBorders>
            <w:shd w:val="clear" w:color="auto" w:fill="FFFFFF"/>
            <w:vAlign w:val="center"/>
          </w:tcPr>
          <w:p w14:paraId="5C47D6C2">
            <w:pPr>
              <w:pStyle w:val="33"/>
              <w:keepNext w:val="0"/>
              <w:keepLines w:val="0"/>
              <w:widowControl w:val="0"/>
              <w:shd w:val="clear" w:color="auto" w:fill="auto"/>
              <w:bidi w:val="0"/>
              <w:spacing w:before="0" w:after="0" w:line="269" w:lineRule="exact"/>
              <w:ind w:left="400" w:right="0" w:firstLine="20"/>
              <w:jc w:val="both"/>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•定期开展阴极保护有效性检查•定期开展地下水或者土壤气监测</w:t>
            </w:r>
          </w:p>
        </w:tc>
      </w:tr>
      <w:tr w14:paraId="3B76A31C">
        <w:tblPrEx>
          <w:tblCellMar>
            <w:top w:w="0" w:type="dxa"/>
            <w:left w:w="10" w:type="dxa"/>
            <w:bottom w:w="0" w:type="dxa"/>
            <w:right w:w="10" w:type="dxa"/>
          </w:tblCellMar>
        </w:tblPrEx>
        <w:trPr>
          <w:trHeight w:val="629" w:hRule="exact"/>
          <w:jc w:val="center"/>
        </w:trPr>
        <w:tc>
          <w:tcPr>
            <w:tcBorders>
              <w:top w:val="single" w:color="auto" w:sz="4" w:space="0"/>
              <w:left w:val="single" w:color="auto" w:sz="4" w:space="0"/>
              <w:bottom w:val="single" w:color="auto" w:sz="4" w:space="0"/>
              <w:right w:val="single" w:color="auto" w:sz="4" w:space="0"/>
            </w:tcBorders>
            <w:shd w:val="clear" w:color="auto" w:fill="FFFFFF"/>
            <w:vAlign w:val="center"/>
          </w:tcPr>
          <w:p w14:paraId="0D015CCC">
            <w:pPr>
              <w:pStyle w:val="33"/>
              <w:keepNext w:val="0"/>
              <w:keepLines w:val="0"/>
              <w:widowControl w:val="0"/>
              <w:shd w:val="clear" w:color="auto" w:fill="auto"/>
              <w:bidi w:val="0"/>
              <w:spacing w:before="0" w:after="0" w:line="240" w:lineRule="auto"/>
              <w:ind w:left="0" w:right="0" w:firstLine="400"/>
              <w:jc w:val="both"/>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2</w:t>
            </w:r>
          </w:p>
        </w:tc>
        <w:tc>
          <w:tcPr>
            <w:tcBorders>
              <w:top w:val="single" w:color="auto" w:sz="4" w:space="0"/>
              <w:left w:val="single" w:color="auto" w:sz="4" w:space="0"/>
              <w:bottom w:val="single" w:color="auto" w:sz="4" w:space="0"/>
              <w:right w:val="single" w:color="auto" w:sz="4" w:space="0"/>
            </w:tcBorders>
            <w:shd w:val="clear" w:color="auto" w:fill="FFFFFF"/>
            <w:vAlign w:val="bottom"/>
          </w:tcPr>
          <w:p w14:paraId="05B1A029">
            <w:pPr>
              <w:pStyle w:val="33"/>
              <w:keepNext w:val="0"/>
              <w:keepLines w:val="0"/>
              <w:widowControl w:val="0"/>
              <w:shd w:val="clear" w:color="auto" w:fill="auto"/>
              <w:bidi w:val="0"/>
              <w:spacing w:before="0" w:after="0" w:line="269" w:lineRule="exact"/>
              <w:ind w:left="320" w:right="0" w:firstLine="2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•单层耐腐蚀非金属材质储罐•地下水或者土壤气监测井</w:t>
            </w:r>
          </w:p>
        </w:tc>
        <w:tc>
          <w:tcPr>
            <w:tcBorders>
              <w:top w:val="single" w:color="auto" w:sz="4" w:space="0"/>
              <w:left w:val="single" w:color="auto" w:sz="4" w:space="0"/>
              <w:bottom w:val="single" w:color="auto" w:sz="4" w:space="0"/>
              <w:right w:val="single" w:color="auto" w:sz="4" w:space="0"/>
            </w:tcBorders>
            <w:shd w:val="clear" w:color="auto" w:fill="FFFFFF"/>
            <w:vAlign w:val="center"/>
          </w:tcPr>
          <w:p w14:paraId="6262C71F">
            <w:pPr>
              <w:pStyle w:val="33"/>
              <w:keepNext w:val="0"/>
              <w:keepLines w:val="0"/>
              <w:widowControl w:val="0"/>
              <w:shd w:val="clear" w:color="auto" w:fill="auto"/>
              <w:bidi w:val="0"/>
              <w:spacing w:before="0" w:after="0" w:line="240" w:lineRule="auto"/>
              <w:ind w:left="400" w:right="0" w:firstLine="20"/>
              <w:jc w:val="both"/>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•定期开展地下水或者土壤气监测</w:t>
            </w:r>
          </w:p>
        </w:tc>
      </w:tr>
      <w:tr w14:paraId="1B514DEA">
        <w:tblPrEx>
          <w:tblCellMar>
            <w:top w:w="0" w:type="dxa"/>
            <w:left w:w="10" w:type="dxa"/>
            <w:bottom w:w="0" w:type="dxa"/>
            <w:right w:w="10" w:type="dxa"/>
          </w:tblCellMar>
        </w:tblPrEx>
        <w:trPr>
          <w:trHeight w:val="710" w:hRule="exact"/>
          <w:jc w:val="center"/>
        </w:trPr>
        <w:tc>
          <w:tcPr>
            <w:tcBorders>
              <w:top w:val="single" w:color="auto" w:sz="4" w:space="0"/>
              <w:left w:val="single" w:color="auto" w:sz="4" w:space="0"/>
              <w:bottom w:val="single" w:color="auto" w:sz="4" w:space="0"/>
              <w:right w:val="single" w:color="auto" w:sz="4" w:space="0"/>
            </w:tcBorders>
            <w:shd w:val="clear" w:color="auto" w:fill="FFFFFF"/>
            <w:vAlign w:val="center"/>
          </w:tcPr>
          <w:p w14:paraId="7EF9BE5E">
            <w:pPr>
              <w:pStyle w:val="33"/>
              <w:keepNext w:val="0"/>
              <w:keepLines w:val="0"/>
              <w:widowControl w:val="0"/>
              <w:shd w:val="clear" w:color="auto" w:fill="auto"/>
              <w:bidi w:val="0"/>
              <w:spacing w:before="0" w:after="0" w:line="240" w:lineRule="auto"/>
              <w:ind w:left="0" w:right="0" w:firstLine="400"/>
              <w:jc w:val="both"/>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3</w:t>
            </w:r>
          </w:p>
        </w:tc>
        <w:tc>
          <w:tcPr>
            <w:tcBorders>
              <w:top w:val="single" w:color="auto" w:sz="4" w:space="0"/>
              <w:left w:val="single" w:color="auto" w:sz="4" w:space="0"/>
              <w:bottom w:val="single" w:color="auto" w:sz="4" w:space="0"/>
              <w:right w:val="single" w:color="auto" w:sz="4" w:space="0"/>
            </w:tcBorders>
            <w:shd w:val="clear" w:color="auto" w:fill="FFFFFF"/>
            <w:vAlign w:val="center"/>
          </w:tcPr>
          <w:p w14:paraId="251405FA">
            <w:pPr>
              <w:pStyle w:val="33"/>
              <w:keepNext w:val="0"/>
              <w:keepLines w:val="0"/>
              <w:widowControl w:val="0"/>
              <w:shd w:val="clear" w:color="auto" w:fill="auto"/>
              <w:bidi w:val="0"/>
              <w:spacing w:before="0" w:after="40" w:line="240" w:lineRule="auto"/>
              <w:ind w:left="0" w:right="0" w:firstLine="320"/>
              <w:jc w:val="both"/>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•双层储罐</w:t>
            </w:r>
          </w:p>
          <w:p w14:paraId="095EF766">
            <w:pPr>
              <w:pStyle w:val="33"/>
              <w:keepNext w:val="0"/>
              <w:keepLines w:val="0"/>
              <w:widowControl w:val="0"/>
              <w:shd w:val="clear" w:color="auto" w:fill="auto"/>
              <w:bidi w:val="0"/>
              <w:spacing w:before="0" w:after="0" w:line="240" w:lineRule="auto"/>
              <w:ind w:left="0" w:right="0" w:firstLine="320"/>
              <w:jc w:val="both"/>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•泄漏检测设施</w:t>
            </w:r>
          </w:p>
        </w:tc>
        <w:tc>
          <w:tcPr>
            <w:tcBorders>
              <w:top w:val="single" w:color="auto" w:sz="4" w:space="0"/>
              <w:left w:val="single" w:color="auto" w:sz="4" w:space="0"/>
              <w:bottom w:val="single" w:color="auto" w:sz="4" w:space="0"/>
              <w:right w:val="single" w:color="auto" w:sz="4" w:space="0"/>
            </w:tcBorders>
            <w:shd w:val="clear" w:color="auto" w:fill="FFFFFF"/>
            <w:vAlign w:val="center"/>
          </w:tcPr>
          <w:p w14:paraId="667EADEB">
            <w:pPr>
              <w:pStyle w:val="33"/>
              <w:keepNext w:val="0"/>
              <w:keepLines w:val="0"/>
              <w:widowControl w:val="0"/>
              <w:shd w:val="clear" w:color="auto" w:fill="auto"/>
              <w:bidi w:val="0"/>
              <w:spacing w:before="0" w:after="0" w:line="254" w:lineRule="exact"/>
              <w:ind w:left="0" w:right="0" w:firstLine="420"/>
              <w:jc w:val="both"/>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•定期检查泄漏检测设施，确保正常运行</w:t>
            </w:r>
          </w:p>
        </w:tc>
      </w:tr>
      <w:tr w14:paraId="45E7687B">
        <w:tblPrEx>
          <w:tblCellMar>
            <w:top w:w="0" w:type="dxa"/>
            <w:left w:w="10" w:type="dxa"/>
            <w:bottom w:w="0" w:type="dxa"/>
            <w:right w:w="10" w:type="dxa"/>
          </w:tblCellMar>
        </w:tblPrEx>
        <w:trPr>
          <w:trHeight w:val="992" w:hRule="exact"/>
          <w:jc w:val="center"/>
        </w:trPr>
        <w:tc>
          <w:tcPr>
            <w:tcBorders>
              <w:top w:val="single" w:color="auto" w:sz="4" w:space="0"/>
              <w:left w:val="single" w:color="auto" w:sz="4" w:space="0"/>
              <w:bottom w:val="single" w:color="auto" w:sz="4" w:space="0"/>
              <w:right w:val="single" w:color="auto" w:sz="4" w:space="0"/>
            </w:tcBorders>
            <w:shd w:val="clear" w:color="auto" w:fill="FFFFFF"/>
            <w:vAlign w:val="center"/>
          </w:tcPr>
          <w:p w14:paraId="75C83EBF">
            <w:pPr>
              <w:pStyle w:val="33"/>
              <w:keepNext w:val="0"/>
              <w:keepLines w:val="0"/>
              <w:widowControl w:val="0"/>
              <w:shd w:val="clear" w:color="auto" w:fill="auto"/>
              <w:tabs>
                <w:tab w:val="left" w:pos="1197"/>
              </w:tabs>
              <w:bidi w:val="0"/>
              <w:spacing w:before="0" w:after="0" w:line="240" w:lineRule="auto"/>
              <w:ind w:left="0" w:right="0" w:firstLine="400"/>
              <w:jc w:val="both"/>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4</w:t>
            </w:r>
          </w:p>
        </w:tc>
        <w:tc>
          <w:tcPr>
            <w:tcBorders>
              <w:top w:val="single" w:color="auto" w:sz="4" w:space="0"/>
              <w:left w:val="single" w:color="auto" w:sz="4" w:space="0"/>
              <w:bottom w:val="single" w:color="auto" w:sz="4" w:space="0"/>
              <w:right w:val="single" w:color="auto" w:sz="4" w:space="0"/>
            </w:tcBorders>
            <w:shd w:val="clear" w:color="auto" w:fill="FFFFFF"/>
            <w:vAlign w:val="bottom"/>
          </w:tcPr>
          <w:p w14:paraId="6ADB451B">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32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•位于阻隔设施（如水泥池等）内</w:t>
            </w:r>
          </w:p>
          <w:p w14:paraId="298C0E59">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22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单层储罐</w:t>
            </w:r>
          </w:p>
          <w:p w14:paraId="5F879C3C">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320"/>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•阻隔设施内加装泄漏检测设施</w:t>
            </w:r>
          </w:p>
        </w:tc>
        <w:tc>
          <w:tcPr>
            <w:tcBorders>
              <w:top w:val="single" w:color="auto" w:sz="4" w:space="0"/>
              <w:left w:val="single" w:color="auto" w:sz="4" w:space="0"/>
              <w:bottom w:val="single" w:color="auto" w:sz="4" w:space="0"/>
              <w:right w:val="single" w:color="auto" w:sz="4" w:space="0"/>
            </w:tcBorders>
            <w:shd w:val="clear" w:color="auto" w:fill="FFFFFF"/>
            <w:vAlign w:val="center"/>
          </w:tcPr>
          <w:p w14:paraId="06F2B24C">
            <w:pPr>
              <w:pStyle w:val="33"/>
              <w:keepNext w:val="0"/>
              <w:keepLines w:val="0"/>
              <w:widowControl w:val="0"/>
              <w:shd w:val="clear" w:color="auto" w:fill="auto"/>
              <w:bidi w:val="0"/>
              <w:spacing w:before="0" w:after="0" w:line="264" w:lineRule="exact"/>
              <w:ind w:left="0" w:right="0" w:firstLine="420"/>
              <w:jc w:val="both"/>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•定期检查泄漏检测设施，确保正常运行</w:t>
            </w:r>
          </w:p>
        </w:tc>
      </w:tr>
      <w:tr w14:paraId="27FB3C9C">
        <w:tblPrEx>
          <w:tblCellMar>
            <w:top w:w="0" w:type="dxa"/>
            <w:left w:w="10" w:type="dxa"/>
            <w:bottom w:w="0" w:type="dxa"/>
            <w:right w:w="10" w:type="dxa"/>
          </w:tblCellMar>
        </w:tblPrEx>
        <w:trPr>
          <w:trHeight w:val="581" w:hRule="exact"/>
          <w:jc w:val="center"/>
        </w:trPr>
        <w:tc>
          <w:tcPr>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30994002">
            <w:pPr>
              <w:pStyle w:val="33"/>
              <w:keepNext w:val="0"/>
              <w:keepLines w:val="0"/>
              <w:widowControl w:val="0"/>
              <w:shd w:val="clear" w:color="auto" w:fill="auto"/>
              <w:bidi w:val="0"/>
              <w:spacing w:before="0" w:after="0" w:line="240" w:lineRule="auto"/>
              <w:ind w:left="0" w:right="0" w:firstLine="420"/>
              <w:jc w:val="left"/>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color w:val="000000"/>
                <w:spacing w:val="0"/>
                <w:w w:val="100"/>
                <w:position w:val="0"/>
                <w:sz w:val="21"/>
                <w:szCs w:val="21"/>
              </w:rPr>
              <w:t>二、</w:t>
            </w:r>
            <w:r>
              <w:rPr>
                <w:rFonts w:hint="eastAsia" w:ascii="仿宋_GB2312" w:hAnsi="仿宋_GB2312" w:eastAsia="仿宋_GB2312" w:cs="仿宋_GB2312"/>
                <w:color w:val="000000"/>
                <w:spacing w:val="0"/>
                <w:w w:val="100"/>
                <w:position w:val="0"/>
                <w:sz w:val="21"/>
                <w:szCs w:val="21"/>
                <w:lang w:val="en-US" w:eastAsia="zh-CN"/>
              </w:rPr>
              <w:t>柴油</w:t>
            </w:r>
            <w:r>
              <w:rPr>
                <w:rFonts w:hint="eastAsia" w:ascii="仿宋_GB2312" w:hAnsi="仿宋_GB2312" w:eastAsia="仿宋_GB2312" w:cs="仿宋_GB2312"/>
                <w:color w:val="000000"/>
                <w:spacing w:val="0"/>
                <w:w w:val="100"/>
                <w:position w:val="0"/>
                <w:sz w:val="21"/>
                <w:szCs w:val="21"/>
              </w:rPr>
              <w:t>储罐</w:t>
            </w:r>
            <w:r>
              <w:rPr>
                <w:rFonts w:hint="eastAsia" w:ascii="仿宋_GB2312" w:hAnsi="仿宋_GB2312" w:eastAsia="仿宋_GB2312" w:cs="仿宋_GB2312"/>
                <w:color w:val="000000"/>
                <w:spacing w:val="0"/>
                <w:w w:val="100"/>
                <w:position w:val="0"/>
                <w:sz w:val="21"/>
                <w:szCs w:val="21"/>
                <w:lang w:eastAsia="zh-CN"/>
              </w:rPr>
              <w:t>、</w:t>
            </w:r>
            <w:r>
              <w:rPr>
                <w:rFonts w:hint="eastAsia" w:ascii="仿宋_GB2312" w:hAnsi="仿宋_GB2312" w:eastAsia="仿宋_GB2312" w:cs="仿宋_GB2312"/>
                <w:color w:val="000000"/>
                <w:spacing w:val="0"/>
                <w:w w:val="100"/>
                <w:position w:val="0"/>
                <w:sz w:val="21"/>
                <w:szCs w:val="21"/>
                <w:lang w:val="en-US" w:eastAsia="zh-CN"/>
              </w:rPr>
              <w:t>氨水储罐</w:t>
            </w:r>
          </w:p>
        </w:tc>
      </w:tr>
      <w:tr w14:paraId="4F09D663">
        <w:tblPrEx>
          <w:tblCellMar>
            <w:top w:w="0" w:type="dxa"/>
            <w:left w:w="10" w:type="dxa"/>
            <w:bottom w:w="0" w:type="dxa"/>
            <w:right w:w="10" w:type="dxa"/>
          </w:tblCellMar>
        </w:tblPrEx>
        <w:trPr>
          <w:trHeight w:val="1081" w:hRule="exact"/>
          <w:jc w:val="center"/>
        </w:trPr>
        <w:tc>
          <w:tcPr>
            <w:tcBorders>
              <w:top w:val="single" w:color="auto" w:sz="4" w:space="0"/>
              <w:left w:val="single" w:color="auto" w:sz="4" w:space="0"/>
              <w:bottom w:val="single" w:color="auto" w:sz="4" w:space="0"/>
            </w:tcBorders>
            <w:shd w:val="clear" w:color="auto" w:fill="FFFFFF"/>
            <w:vAlign w:val="center"/>
          </w:tcPr>
          <w:p w14:paraId="56F772FC">
            <w:pPr>
              <w:pStyle w:val="33"/>
              <w:keepNext w:val="0"/>
              <w:keepLines w:val="0"/>
              <w:widowControl w:val="0"/>
              <w:shd w:val="clear" w:color="auto" w:fill="auto"/>
              <w:bidi w:val="0"/>
              <w:spacing w:before="0" w:after="0" w:line="240" w:lineRule="auto"/>
              <w:ind w:left="0" w:right="0" w:firstLine="400"/>
              <w:jc w:val="both"/>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1</w:t>
            </w:r>
          </w:p>
        </w:tc>
        <w:tc>
          <w:tcPr>
            <w:tcBorders>
              <w:top w:val="single" w:color="auto" w:sz="4" w:space="0"/>
              <w:left w:val="single" w:color="auto" w:sz="4" w:space="0"/>
              <w:bottom w:val="single" w:color="auto" w:sz="4" w:space="0"/>
            </w:tcBorders>
            <w:shd w:val="clear" w:color="auto" w:fill="FFFFFF"/>
            <w:vAlign w:val="center"/>
          </w:tcPr>
          <w:p w14:paraId="3C0EBE72">
            <w:pPr>
              <w:pStyle w:val="33"/>
              <w:keepNext w:val="0"/>
              <w:keepLines w:val="0"/>
              <w:widowControl w:val="0"/>
              <w:shd w:val="clear" w:color="auto" w:fill="auto"/>
              <w:bidi w:val="0"/>
              <w:spacing w:before="0" w:after="0" w:line="275" w:lineRule="exact"/>
              <w:ind w:left="460" w:right="0" w:firstLine="0"/>
              <w:jc w:val="both"/>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•单层钢制储罐•阴极保护系统•泄漏检测设施•普通阻隔设施</w:t>
            </w:r>
          </w:p>
        </w:tc>
        <w:tc>
          <w:tcPr>
            <w:tcBorders>
              <w:top w:val="single" w:color="auto" w:sz="4" w:space="0"/>
              <w:left w:val="single" w:color="auto" w:sz="4" w:space="0"/>
              <w:bottom w:val="single" w:color="auto" w:sz="4" w:space="0"/>
              <w:right w:val="single" w:color="auto" w:sz="4" w:space="0"/>
            </w:tcBorders>
            <w:shd w:val="clear" w:color="auto" w:fill="FFFFFF"/>
            <w:vAlign w:val="bottom"/>
          </w:tcPr>
          <w:p w14:paraId="678E59D1">
            <w:pPr>
              <w:pStyle w:val="33"/>
              <w:keepNext w:val="0"/>
              <w:keepLines w:val="0"/>
              <w:widowControl w:val="0"/>
              <w:shd w:val="clear" w:color="auto" w:fill="auto"/>
              <w:bidi w:val="0"/>
              <w:spacing w:before="0" w:after="0" w:line="262" w:lineRule="exact"/>
              <w:ind w:left="0" w:right="0" w:firstLine="420"/>
              <w:jc w:val="both"/>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•定期开展阴极保护有效性检查</w:t>
            </w:r>
          </w:p>
          <w:p w14:paraId="2A5CF4EC">
            <w:pPr>
              <w:pStyle w:val="33"/>
              <w:keepNext w:val="0"/>
              <w:keepLines w:val="0"/>
              <w:widowControl w:val="0"/>
              <w:shd w:val="clear" w:color="auto" w:fill="auto"/>
              <w:bidi w:val="0"/>
              <w:spacing w:before="0" w:after="0" w:line="262" w:lineRule="exact"/>
              <w:ind w:left="0" w:right="0" w:firstLine="420"/>
              <w:jc w:val="both"/>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•定期检查泄漏检测设施，确保正常运行</w:t>
            </w:r>
          </w:p>
          <w:p w14:paraId="2618CE1B">
            <w:pPr>
              <w:pStyle w:val="33"/>
              <w:keepNext w:val="0"/>
              <w:keepLines w:val="0"/>
              <w:widowControl w:val="0"/>
              <w:shd w:val="clear" w:color="auto" w:fill="auto"/>
              <w:bidi w:val="0"/>
              <w:spacing w:before="0" w:after="0" w:line="262" w:lineRule="exact"/>
              <w:ind w:left="0" w:right="0" w:firstLine="420"/>
              <w:jc w:val="both"/>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•日常维护（如及时解决泄漏问题，及时清理泄漏的污染物，下同）</w:t>
            </w:r>
          </w:p>
        </w:tc>
      </w:tr>
      <w:tr w14:paraId="056AA907">
        <w:tblPrEx>
          <w:tblCellMar>
            <w:top w:w="0" w:type="dxa"/>
            <w:left w:w="10" w:type="dxa"/>
            <w:bottom w:w="0" w:type="dxa"/>
            <w:right w:w="10" w:type="dxa"/>
          </w:tblCellMar>
        </w:tblPrEx>
        <w:trPr>
          <w:trHeight w:val="1211" w:hRule="exact"/>
          <w:jc w:val="center"/>
        </w:trPr>
        <w:tc>
          <w:tcPr>
            <w:tcBorders>
              <w:top w:val="single" w:color="auto" w:sz="4" w:space="0"/>
              <w:left w:val="single" w:color="auto" w:sz="4" w:space="0"/>
              <w:bottom w:val="single" w:color="auto" w:sz="4" w:space="0"/>
              <w:right w:val="single" w:color="auto" w:sz="4" w:space="0"/>
            </w:tcBorders>
            <w:shd w:val="clear" w:color="auto" w:fill="FFFFFF"/>
            <w:vAlign w:val="center"/>
          </w:tcPr>
          <w:p w14:paraId="091D5611">
            <w:pPr>
              <w:pStyle w:val="33"/>
              <w:keepNext w:val="0"/>
              <w:keepLines w:val="0"/>
              <w:widowControl w:val="0"/>
              <w:shd w:val="clear" w:color="auto" w:fill="auto"/>
              <w:bidi w:val="0"/>
              <w:spacing w:before="0" w:after="0" w:line="240" w:lineRule="auto"/>
              <w:ind w:left="0" w:right="0" w:firstLine="400"/>
              <w:jc w:val="both"/>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2</w:t>
            </w:r>
          </w:p>
        </w:tc>
        <w:tc>
          <w:tcPr>
            <w:tcBorders>
              <w:top w:val="single" w:color="auto" w:sz="4" w:space="0"/>
              <w:left w:val="single" w:color="auto" w:sz="4" w:space="0"/>
              <w:bottom w:val="single" w:color="auto" w:sz="4" w:space="0"/>
              <w:right w:val="single" w:color="auto" w:sz="4" w:space="0"/>
            </w:tcBorders>
            <w:shd w:val="clear" w:color="auto" w:fill="FFFFFF"/>
            <w:vAlign w:val="center"/>
          </w:tcPr>
          <w:p w14:paraId="31060EEC">
            <w:pPr>
              <w:pStyle w:val="33"/>
              <w:keepNext w:val="0"/>
              <w:keepLines w:val="0"/>
              <w:widowControl w:val="0"/>
              <w:shd w:val="clear" w:color="auto" w:fill="auto"/>
              <w:bidi w:val="0"/>
              <w:spacing w:before="0" w:after="40" w:line="240" w:lineRule="auto"/>
              <w:ind w:left="0" w:right="0" w:firstLine="46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•单层耐腐蚀非金属材质储罐</w:t>
            </w:r>
          </w:p>
          <w:p w14:paraId="7DD586FC">
            <w:pPr>
              <w:pStyle w:val="33"/>
              <w:keepNext w:val="0"/>
              <w:keepLines w:val="0"/>
              <w:widowControl w:val="0"/>
              <w:shd w:val="clear" w:color="auto" w:fill="auto"/>
              <w:bidi w:val="0"/>
              <w:spacing w:before="0" w:after="40" w:line="240" w:lineRule="auto"/>
              <w:ind w:left="0" w:right="0" w:firstLine="460"/>
              <w:jc w:val="both"/>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•泄漏检测设施</w:t>
            </w:r>
          </w:p>
          <w:p w14:paraId="600E7B39">
            <w:pPr>
              <w:pStyle w:val="33"/>
              <w:keepNext w:val="0"/>
              <w:keepLines w:val="0"/>
              <w:widowControl w:val="0"/>
              <w:shd w:val="clear" w:color="auto" w:fill="auto"/>
              <w:bidi w:val="0"/>
              <w:spacing w:before="0" w:after="40" w:line="240" w:lineRule="auto"/>
              <w:ind w:left="0" w:right="0" w:firstLine="460"/>
              <w:jc w:val="both"/>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•普通阻隔设施</w:t>
            </w:r>
          </w:p>
        </w:tc>
        <w:tc>
          <w:tcPr>
            <w:tcBorders>
              <w:top w:val="single" w:color="auto" w:sz="4" w:space="0"/>
              <w:left w:val="single" w:color="auto" w:sz="4" w:space="0"/>
              <w:bottom w:val="single" w:color="auto" w:sz="4" w:space="0"/>
              <w:right w:val="single" w:color="auto" w:sz="4" w:space="0"/>
            </w:tcBorders>
            <w:shd w:val="clear" w:color="auto" w:fill="FFFFFF"/>
            <w:vAlign w:val="top"/>
          </w:tcPr>
          <w:p w14:paraId="6FA3E01D">
            <w:pPr>
              <w:pStyle w:val="33"/>
              <w:keepNext w:val="0"/>
              <w:keepLines w:val="0"/>
              <w:widowControl w:val="0"/>
              <w:shd w:val="clear" w:color="auto" w:fill="auto"/>
              <w:bidi w:val="0"/>
              <w:spacing w:before="0" w:after="0" w:line="254" w:lineRule="exact"/>
              <w:ind w:left="0" w:right="0" w:firstLine="420"/>
              <w:jc w:val="both"/>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•定期检查泄漏检测设施，确保正常运行</w:t>
            </w:r>
          </w:p>
          <w:p w14:paraId="31702480">
            <w:pPr>
              <w:pStyle w:val="33"/>
              <w:keepNext w:val="0"/>
              <w:keepLines w:val="0"/>
              <w:widowControl w:val="0"/>
              <w:shd w:val="clear" w:color="auto" w:fill="auto"/>
              <w:bidi w:val="0"/>
              <w:spacing w:before="0" w:after="0" w:line="254" w:lineRule="exact"/>
              <w:ind w:left="0" w:right="0" w:firstLine="420"/>
              <w:jc w:val="both"/>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•日常维护</w:t>
            </w:r>
          </w:p>
        </w:tc>
      </w:tr>
      <w:tr w14:paraId="7E8FBDFD">
        <w:tblPrEx>
          <w:tblCellMar>
            <w:top w:w="0" w:type="dxa"/>
            <w:left w:w="10" w:type="dxa"/>
            <w:bottom w:w="0" w:type="dxa"/>
            <w:right w:w="10" w:type="dxa"/>
          </w:tblCellMar>
        </w:tblPrEx>
        <w:trPr>
          <w:trHeight w:val="623" w:hRule="exact"/>
          <w:jc w:val="center"/>
        </w:trPr>
        <w:tc>
          <w:tcPr>
            <w:tcBorders>
              <w:top w:val="single" w:color="auto" w:sz="4" w:space="0"/>
              <w:left w:val="single" w:color="auto" w:sz="4" w:space="0"/>
              <w:bottom w:val="single" w:color="auto" w:sz="4" w:space="0"/>
              <w:right w:val="single" w:color="auto" w:sz="4" w:space="0"/>
            </w:tcBorders>
            <w:shd w:val="clear" w:color="auto" w:fill="FFFFFF"/>
            <w:vAlign w:val="center"/>
          </w:tcPr>
          <w:p w14:paraId="30FB6BFD">
            <w:pPr>
              <w:pStyle w:val="33"/>
              <w:keepNext w:val="0"/>
              <w:keepLines w:val="0"/>
              <w:widowControl w:val="0"/>
              <w:shd w:val="clear" w:color="auto" w:fill="auto"/>
              <w:bidi w:val="0"/>
              <w:spacing w:before="0" w:after="0" w:line="240" w:lineRule="auto"/>
              <w:ind w:left="0" w:right="0" w:firstLine="400"/>
              <w:jc w:val="both"/>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3</w:t>
            </w:r>
          </w:p>
        </w:tc>
        <w:tc>
          <w:tcPr>
            <w:tcBorders>
              <w:top w:val="single" w:color="auto" w:sz="4" w:space="0"/>
              <w:left w:val="single" w:color="auto" w:sz="4" w:space="0"/>
              <w:bottom w:val="single" w:color="auto" w:sz="4" w:space="0"/>
              <w:right w:val="single" w:color="auto" w:sz="4" w:space="0"/>
            </w:tcBorders>
            <w:shd w:val="clear" w:color="auto" w:fill="FFFFFF"/>
            <w:vAlign w:val="center"/>
          </w:tcPr>
          <w:p w14:paraId="33302160">
            <w:pPr>
              <w:pStyle w:val="33"/>
              <w:keepNext w:val="0"/>
              <w:keepLines w:val="0"/>
              <w:widowControl w:val="0"/>
              <w:shd w:val="clear" w:color="auto" w:fill="auto"/>
              <w:bidi w:val="0"/>
              <w:spacing w:before="0" w:after="0" w:line="274" w:lineRule="exact"/>
              <w:ind w:left="460" w:right="0" w:firstLine="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•双层储罐•泄漏检测设施</w:t>
            </w:r>
          </w:p>
        </w:tc>
        <w:tc>
          <w:tcPr>
            <w:tcBorders>
              <w:top w:val="single" w:color="auto" w:sz="4" w:space="0"/>
              <w:left w:val="single" w:color="auto" w:sz="4" w:space="0"/>
              <w:bottom w:val="single" w:color="auto" w:sz="4" w:space="0"/>
              <w:right w:val="single" w:color="auto" w:sz="4" w:space="0"/>
            </w:tcBorders>
            <w:shd w:val="clear" w:color="auto" w:fill="FFFFFF"/>
            <w:vAlign w:val="top"/>
          </w:tcPr>
          <w:p w14:paraId="6D9D943B">
            <w:pPr>
              <w:pStyle w:val="33"/>
              <w:keepNext w:val="0"/>
              <w:keepLines w:val="0"/>
              <w:widowControl w:val="0"/>
              <w:shd w:val="clear" w:color="auto" w:fill="auto"/>
              <w:bidi w:val="0"/>
              <w:spacing w:before="0" w:after="0" w:line="259" w:lineRule="exact"/>
              <w:ind w:left="0" w:right="0" w:firstLine="420"/>
              <w:jc w:val="both"/>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•定期检查泄漏检测设施，确保正常运行</w:t>
            </w:r>
          </w:p>
          <w:p w14:paraId="36E0149F">
            <w:pPr>
              <w:pStyle w:val="33"/>
              <w:keepNext w:val="0"/>
              <w:keepLines w:val="0"/>
              <w:widowControl w:val="0"/>
              <w:shd w:val="clear" w:color="auto" w:fill="auto"/>
              <w:bidi w:val="0"/>
              <w:spacing w:before="0" w:after="0" w:line="259" w:lineRule="exact"/>
              <w:ind w:left="0" w:right="0" w:firstLine="420"/>
              <w:jc w:val="both"/>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•日常维护</w:t>
            </w:r>
          </w:p>
        </w:tc>
      </w:tr>
      <w:tr w14:paraId="11075F78">
        <w:tblPrEx>
          <w:tblCellMar>
            <w:top w:w="0" w:type="dxa"/>
            <w:left w:w="10" w:type="dxa"/>
            <w:bottom w:w="0" w:type="dxa"/>
            <w:right w:w="10" w:type="dxa"/>
          </w:tblCellMar>
        </w:tblPrEx>
        <w:trPr>
          <w:trHeight w:val="1300" w:hRule="exact"/>
          <w:jc w:val="center"/>
        </w:trPr>
        <w:tc>
          <w:tcPr>
            <w:tcBorders>
              <w:top w:val="single" w:color="auto" w:sz="4" w:space="0"/>
              <w:left w:val="single" w:color="auto" w:sz="4" w:space="0"/>
              <w:bottom w:val="single" w:color="auto" w:sz="4" w:space="0"/>
              <w:right w:val="single" w:color="auto" w:sz="4" w:space="0"/>
            </w:tcBorders>
            <w:shd w:val="clear" w:color="auto" w:fill="FFFFFF"/>
            <w:vAlign w:val="center"/>
          </w:tcPr>
          <w:p w14:paraId="4013ED0F">
            <w:pPr>
              <w:pStyle w:val="33"/>
              <w:keepNext w:val="0"/>
              <w:keepLines w:val="0"/>
              <w:widowControl w:val="0"/>
              <w:shd w:val="clear" w:color="auto" w:fill="auto"/>
              <w:bidi w:val="0"/>
              <w:spacing w:before="0" w:after="0" w:line="240" w:lineRule="auto"/>
              <w:ind w:left="0" w:right="0" w:firstLine="400"/>
              <w:jc w:val="both"/>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4</w:t>
            </w:r>
          </w:p>
        </w:tc>
        <w:tc>
          <w:tcPr>
            <w:tcBorders>
              <w:top w:val="single" w:color="auto" w:sz="4" w:space="0"/>
              <w:left w:val="single" w:color="auto" w:sz="4" w:space="0"/>
              <w:bottom w:val="single" w:color="auto" w:sz="4" w:space="0"/>
              <w:right w:val="single" w:color="auto" w:sz="4" w:space="0"/>
            </w:tcBorders>
            <w:shd w:val="clear" w:color="auto" w:fill="FFFFFF"/>
            <w:vAlign w:val="center"/>
          </w:tcPr>
          <w:p w14:paraId="758DF1FF">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right="0" w:firstLine="420" w:firstLineChars="200"/>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•防渗阻隔系统，且能防止雨水进入，或者及时有效排出雨水</w:t>
            </w:r>
          </w:p>
          <w:p w14:paraId="1B607821">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420" w:firstLineChars="200"/>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•渗漏、流失的液体能得到有效</w:t>
            </w:r>
          </w:p>
          <w:p w14:paraId="491F2170">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收集并定期清理</w:t>
            </w:r>
          </w:p>
        </w:tc>
        <w:tc>
          <w:tcPr>
            <w:tcBorders>
              <w:top w:val="single" w:color="auto" w:sz="4" w:space="0"/>
              <w:left w:val="single" w:color="auto" w:sz="4" w:space="0"/>
              <w:bottom w:val="single" w:color="auto" w:sz="4" w:space="0"/>
              <w:right w:val="single" w:color="auto" w:sz="4" w:space="0"/>
            </w:tcBorders>
            <w:shd w:val="clear" w:color="auto" w:fill="FFFFFF"/>
            <w:vAlign w:val="center"/>
          </w:tcPr>
          <w:p w14:paraId="06377D9B">
            <w:pPr>
              <w:pStyle w:val="33"/>
              <w:keepNext w:val="0"/>
              <w:keepLines w:val="0"/>
              <w:widowControl w:val="0"/>
              <w:shd w:val="clear" w:color="auto" w:fill="auto"/>
              <w:bidi w:val="0"/>
              <w:spacing w:before="0" w:after="0" w:line="254" w:lineRule="exact"/>
              <w:ind w:left="0" w:right="0" w:firstLine="420"/>
              <w:jc w:val="both"/>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•定期开展防渗效果检查（如物探检测、注水试验检测等，下同）</w:t>
            </w:r>
          </w:p>
          <w:p w14:paraId="3670681B">
            <w:pPr>
              <w:pStyle w:val="33"/>
              <w:keepNext w:val="0"/>
              <w:keepLines w:val="0"/>
              <w:widowControl w:val="0"/>
              <w:shd w:val="clear" w:color="auto" w:fill="auto"/>
              <w:bidi w:val="0"/>
              <w:spacing w:before="0" w:after="0" w:line="240" w:lineRule="exact"/>
              <w:ind w:left="0" w:right="0" w:firstLine="420"/>
              <w:jc w:val="both"/>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•定期釆用专业设备开展罐体专项检查</w:t>
            </w:r>
          </w:p>
          <w:p w14:paraId="3F22D36A">
            <w:pPr>
              <w:pStyle w:val="33"/>
              <w:keepNext w:val="0"/>
              <w:keepLines w:val="0"/>
              <w:widowControl w:val="0"/>
              <w:shd w:val="clear" w:color="auto" w:fill="auto"/>
              <w:bidi w:val="0"/>
              <w:spacing w:before="0" w:after="0" w:line="247" w:lineRule="exact"/>
              <w:ind w:left="0" w:right="0" w:firstLine="420"/>
              <w:jc w:val="both"/>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•日常维护</w:t>
            </w:r>
          </w:p>
        </w:tc>
      </w:tr>
    </w:tbl>
    <w:p w14:paraId="6B193789">
      <w:pPr>
        <w:pStyle w:val="27"/>
        <w:bidi w:val="0"/>
        <w:rPr>
          <w:rFonts w:hint="eastAsia" w:ascii="仿宋_GB2312" w:hAnsi="仿宋_GB2312" w:eastAsia="仿宋_GB2312" w:cs="仿宋_GB2312"/>
        </w:rPr>
      </w:pPr>
      <w:r>
        <w:rPr>
          <w:rFonts w:hint="eastAsia" w:ascii="仿宋_GB2312" w:hAnsi="仿宋_GB2312" w:eastAsia="仿宋_GB2312" w:cs="仿宋_GB2312"/>
        </w:rPr>
        <w:t>(2)散装液体转运与厂内运输</w:t>
      </w:r>
    </w:p>
    <w:p w14:paraId="56350307">
      <w:pPr>
        <w:pStyle w:val="27"/>
        <w:bidi w:val="0"/>
        <w:rPr>
          <w:rFonts w:hint="eastAsia" w:ascii="仿宋_GB2312" w:hAnsi="仿宋_GB2312" w:eastAsia="仿宋_GB2312" w:cs="仿宋_GB2312"/>
        </w:rPr>
      </w:pPr>
      <w:r>
        <w:rPr>
          <w:rFonts w:hint="eastAsia" w:ascii="仿宋_GB2312" w:hAnsi="仿宋_GB2312" w:eastAsia="仿宋_GB2312" w:cs="仿宋_GB2312"/>
        </w:rPr>
        <w:t>①散装液体物料装卸</w:t>
      </w:r>
    </w:p>
    <w:p w14:paraId="23E94C56">
      <w:pPr>
        <w:pStyle w:val="27"/>
        <w:bidi w:val="0"/>
        <w:rPr>
          <w:rFonts w:hint="eastAsia" w:ascii="仿宋_GB2312" w:hAnsi="仿宋_GB2312" w:eastAsia="仿宋_GB2312" w:cs="仿宋_GB2312"/>
        </w:rPr>
      </w:pPr>
      <w:r>
        <w:rPr>
          <w:rFonts w:hint="eastAsia" w:ascii="仿宋_GB2312" w:hAnsi="仿宋_GB2312" w:eastAsia="仿宋_GB2312" w:cs="仿宋_GB2312"/>
        </w:rPr>
        <w:t>散装液体物料装卸造成土壤污染主要有两种情况：1)液体物料的满溢；2)装卸完成后，出料口及相关配件中残余液体物料的滴漏。</w:t>
      </w:r>
    </w:p>
    <w:p w14:paraId="37FB3C0E">
      <w:pPr>
        <w:pStyle w:val="27"/>
        <w:bidi w:val="0"/>
        <w:rPr>
          <w:rFonts w:hint="eastAsia" w:ascii="仿宋_GB2312" w:hAnsi="仿宋_GB2312" w:eastAsia="仿宋_GB2312" w:cs="仿宋_GB2312"/>
        </w:rPr>
      </w:pPr>
      <w:r>
        <w:rPr>
          <w:rFonts w:hint="eastAsia" w:ascii="仿宋_GB2312" w:hAnsi="仿宋_GB2312" w:eastAsia="仿宋_GB2312" w:cs="仿宋_GB2312"/>
        </w:rPr>
        <w:t>可参考</w:t>
      </w:r>
      <w:r>
        <w:rPr>
          <w:rFonts w:hint="eastAsia" w:ascii="仿宋_GB2312" w:hAnsi="仿宋_GB2312" w:eastAsia="仿宋_GB2312" w:cs="仿宋_GB2312"/>
          <w:lang w:val="en-US" w:eastAsia="zh-CN"/>
        </w:rPr>
        <w:t>下</w:t>
      </w:r>
      <w:r>
        <w:rPr>
          <w:rFonts w:hint="eastAsia" w:ascii="仿宋_GB2312" w:hAnsi="仿宋_GB2312" w:eastAsia="仿宋_GB2312" w:cs="仿宋_GB2312"/>
        </w:rPr>
        <w:t>表开展排查和整改。</w:t>
      </w:r>
    </w:p>
    <w:tbl>
      <w:tblPr>
        <w:tblStyle w:val="9"/>
        <w:tblW w:w="0" w:type="auto"/>
        <w:jc w:val="center"/>
        <w:tblLayout w:type="fixed"/>
        <w:tblCellMar>
          <w:top w:w="0" w:type="dxa"/>
          <w:left w:w="10" w:type="dxa"/>
          <w:bottom w:w="0" w:type="dxa"/>
          <w:right w:w="10" w:type="dxa"/>
        </w:tblCellMar>
      </w:tblPr>
      <w:tblGrid>
        <w:gridCol w:w="1186"/>
        <w:gridCol w:w="3734"/>
        <w:gridCol w:w="4056"/>
      </w:tblGrid>
      <w:tr w14:paraId="078E2D74">
        <w:tblPrEx>
          <w:tblCellMar>
            <w:top w:w="0" w:type="dxa"/>
            <w:left w:w="10" w:type="dxa"/>
            <w:bottom w:w="0" w:type="dxa"/>
            <w:right w:w="10" w:type="dxa"/>
          </w:tblCellMar>
        </w:tblPrEx>
        <w:trPr>
          <w:trHeight w:val="581" w:hRule="exact"/>
          <w:jc w:val="center"/>
        </w:trPr>
        <w:tc>
          <w:tcPr>
            <w:tcBorders>
              <w:top w:val="single" w:color="auto" w:sz="4" w:space="0"/>
              <w:left w:val="single" w:color="auto" w:sz="4" w:space="0"/>
            </w:tcBorders>
            <w:shd w:val="clear" w:color="auto" w:fill="FFFFFF"/>
            <w:vAlign w:val="center"/>
          </w:tcPr>
          <w:p w14:paraId="7E7A0A7F">
            <w:pPr>
              <w:pStyle w:val="33"/>
              <w:keepNext w:val="0"/>
              <w:keepLines w:val="0"/>
              <w:widowControl w:val="0"/>
              <w:shd w:val="clear" w:color="auto" w:fill="auto"/>
              <w:bidi w:val="0"/>
              <w:spacing w:before="0" w:after="0" w:line="240" w:lineRule="auto"/>
              <w:ind w:left="0" w:right="0" w:firstLine="580"/>
              <w:jc w:val="left"/>
              <w:rPr>
                <w:rFonts w:hint="eastAsia" w:ascii="仿宋_GB2312" w:hAnsi="仿宋_GB2312" w:eastAsia="仿宋_GB2312" w:cs="仿宋_GB2312"/>
                <w:sz w:val="21"/>
                <w:szCs w:val="21"/>
                <w:lang w:eastAsia="zh-CN"/>
              </w:rPr>
            </w:pPr>
            <w:r>
              <w:rPr>
                <w:rFonts w:hint="eastAsia" w:ascii="仿宋_GB2312" w:hAnsi="仿宋_GB2312" w:eastAsia="仿宋_GB2312" w:cs="仿宋_GB2312"/>
                <w:b/>
                <w:bCs/>
                <w:color w:val="000000"/>
                <w:spacing w:val="0"/>
                <w:w w:val="100"/>
                <w:position w:val="0"/>
                <w:sz w:val="21"/>
                <w:szCs w:val="21"/>
                <w:lang w:val="en-US" w:eastAsia="zh-CN"/>
              </w:rPr>
              <w:t>序号</w:t>
            </w:r>
          </w:p>
        </w:tc>
        <w:tc>
          <w:tcPr>
            <w:tcBorders>
              <w:top w:val="single" w:color="auto" w:sz="4" w:space="0"/>
              <w:left w:val="single" w:color="auto" w:sz="4" w:space="0"/>
            </w:tcBorders>
            <w:shd w:val="clear" w:color="auto" w:fill="FFFFFF"/>
            <w:vAlign w:val="center"/>
          </w:tcPr>
          <w:p w14:paraId="6595693F">
            <w:pPr>
              <w:pStyle w:val="33"/>
              <w:keepNext w:val="0"/>
              <w:keepLines w:val="0"/>
              <w:widowControl w:val="0"/>
              <w:shd w:val="clear" w:color="auto" w:fill="auto"/>
              <w:bidi w:val="0"/>
              <w:spacing w:before="0" w:after="0" w:line="240" w:lineRule="auto"/>
              <w:ind w:left="0" w:right="0" w:firstLine="960"/>
              <w:jc w:val="left"/>
              <w:rPr>
                <w:rFonts w:hint="eastAsia" w:ascii="仿宋_GB2312" w:hAnsi="仿宋_GB2312" w:eastAsia="仿宋_GB2312" w:cs="仿宋_GB2312"/>
                <w:sz w:val="21"/>
                <w:szCs w:val="21"/>
              </w:rPr>
            </w:pPr>
            <w:r>
              <w:rPr>
                <w:rFonts w:hint="eastAsia" w:ascii="仿宋_GB2312" w:hAnsi="仿宋_GB2312" w:eastAsia="仿宋_GB2312" w:cs="仿宋_GB2312"/>
                <w:b/>
                <w:bCs/>
                <w:color w:val="000000"/>
                <w:spacing w:val="0"/>
                <w:w w:val="100"/>
                <w:position w:val="0"/>
                <w:sz w:val="21"/>
                <w:szCs w:val="21"/>
              </w:rPr>
              <w:t>土壤污染预防设施/功能</w:t>
            </w:r>
          </w:p>
        </w:tc>
        <w:tc>
          <w:tcPr>
            <w:tcBorders>
              <w:top w:val="single" w:color="auto" w:sz="4" w:space="0"/>
              <w:left w:val="single" w:color="auto" w:sz="4" w:space="0"/>
              <w:right w:val="single" w:color="auto" w:sz="4" w:space="0"/>
            </w:tcBorders>
            <w:shd w:val="clear" w:color="auto" w:fill="FFFFFF"/>
            <w:vAlign w:val="center"/>
          </w:tcPr>
          <w:p w14:paraId="32733CE6">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b/>
                <w:bCs/>
                <w:color w:val="000000"/>
                <w:spacing w:val="0"/>
                <w:w w:val="100"/>
                <w:position w:val="0"/>
                <w:sz w:val="21"/>
                <w:szCs w:val="21"/>
              </w:rPr>
              <w:t>土壤污染预防措施</w:t>
            </w:r>
          </w:p>
        </w:tc>
      </w:tr>
      <w:tr w14:paraId="6F49FE88">
        <w:tblPrEx>
          <w:tblCellMar>
            <w:top w:w="0" w:type="dxa"/>
            <w:left w:w="10" w:type="dxa"/>
            <w:bottom w:w="0" w:type="dxa"/>
            <w:right w:w="10" w:type="dxa"/>
          </w:tblCellMar>
        </w:tblPrEx>
        <w:trPr>
          <w:trHeight w:val="576" w:hRule="exact"/>
          <w:jc w:val="center"/>
        </w:trPr>
        <w:tc>
          <w:tcPr>
            <w:gridSpan w:val="3"/>
            <w:tcBorders>
              <w:top w:val="single" w:color="auto" w:sz="4" w:space="0"/>
              <w:left w:val="single" w:color="auto" w:sz="4" w:space="0"/>
              <w:right w:val="single" w:color="auto" w:sz="4" w:space="0"/>
            </w:tcBorders>
            <w:shd w:val="clear" w:color="auto" w:fill="FFFFFF"/>
            <w:vAlign w:val="center"/>
          </w:tcPr>
          <w:p w14:paraId="17EA1CFD">
            <w:pPr>
              <w:pStyle w:val="33"/>
              <w:keepNext w:val="0"/>
              <w:keepLines w:val="0"/>
              <w:widowControl w:val="0"/>
              <w:shd w:val="clear" w:color="auto" w:fill="auto"/>
              <w:bidi w:val="0"/>
              <w:spacing w:before="0" w:after="0" w:line="240" w:lineRule="auto"/>
              <w:ind w:left="0" w:right="0" w:firstLine="42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一、顶部装载</w:t>
            </w:r>
          </w:p>
        </w:tc>
      </w:tr>
      <w:tr w14:paraId="4A5A23A7">
        <w:tblPrEx>
          <w:tblCellMar>
            <w:top w:w="0" w:type="dxa"/>
            <w:left w:w="10" w:type="dxa"/>
            <w:bottom w:w="0" w:type="dxa"/>
            <w:right w:w="10" w:type="dxa"/>
          </w:tblCellMar>
        </w:tblPrEx>
        <w:trPr>
          <w:trHeight w:val="2036" w:hRule="exact"/>
          <w:jc w:val="center"/>
        </w:trPr>
        <w:tc>
          <w:tcPr>
            <w:tcBorders>
              <w:top w:val="single" w:color="auto" w:sz="4" w:space="0"/>
              <w:left w:val="single" w:color="auto" w:sz="4" w:space="0"/>
              <w:bottom w:val="single" w:color="auto" w:sz="4" w:space="0"/>
            </w:tcBorders>
            <w:shd w:val="clear" w:color="auto" w:fill="FFFFFF"/>
            <w:vAlign w:val="center"/>
          </w:tcPr>
          <w:p w14:paraId="52FFF669">
            <w:pPr>
              <w:pStyle w:val="33"/>
              <w:keepNext w:val="0"/>
              <w:keepLines w:val="0"/>
              <w:widowControl w:val="0"/>
              <w:shd w:val="clear" w:color="auto" w:fill="auto"/>
              <w:bidi w:val="0"/>
              <w:spacing w:before="0" w:after="0" w:line="240" w:lineRule="auto"/>
              <w:ind w:left="0" w:right="0" w:firstLine="40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1</w:t>
            </w:r>
          </w:p>
        </w:tc>
        <w:tc>
          <w:tcPr>
            <w:tcBorders>
              <w:top w:val="single" w:color="auto" w:sz="4" w:space="0"/>
              <w:left w:val="single" w:color="auto" w:sz="4" w:space="0"/>
              <w:bottom w:val="single" w:color="auto" w:sz="4" w:space="0"/>
            </w:tcBorders>
            <w:shd w:val="clear" w:color="auto" w:fill="FFFFFF"/>
            <w:vAlign w:val="bottom"/>
          </w:tcPr>
          <w:p w14:paraId="24B5B540">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440"/>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•普通阻隔设施，且能防止雨水进入，或者及时有效排出雨水</w:t>
            </w:r>
          </w:p>
          <w:p w14:paraId="35EBECC7">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220" w:right="0" w:firstLine="420"/>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•出料口放置处底部设置防滴漏设施溢流保护装置</w:t>
            </w:r>
          </w:p>
          <w:p w14:paraId="5F80D6A5">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440"/>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•渗漏、流失的液体能得到有效收集并定期清理</w:t>
            </w:r>
          </w:p>
        </w:tc>
        <w:tc>
          <w:tcPr>
            <w:tcBorders>
              <w:top w:val="single" w:color="auto" w:sz="4" w:space="0"/>
              <w:left w:val="single" w:color="auto" w:sz="4" w:space="0"/>
              <w:bottom w:val="single" w:color="auto" w:sz="4" w:space="0"/>
              <w:right w:val="single" w:color="auto" w:sz="4" w:space="0"/>
            </w:tcBorders>
            <w:shd w:val="clear" w:color="auto" w:fill="FFFFFF"/>
            <w:vAlign w:val="center"/>
          </w:tcPr>
          <w:p w14:paraId="5089B701">
            <w:pPr>
              <w:pStyle w:val="33"/>
              <w:keepNext w:val="0"/>
              <w:keepLines w:val="0"/>
              <w:widowControl w:val="0"/>
              <w:shd w:val="clear" w:color="auto" w:fill="auto"/>
              <w:bidi w:val="0"/>
              <w:spacing w:before="0" w:after="0" w:line="254" w:lineRule="exact"/>
              <w:ind w:left="420" w:right="0" w:firstLine="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•定期清空防滴漏设施•日常目视检查</w:t>
            </w:r>
          </w:p>
          <w:p w14:paraId="190D29C3">
            <w:pPr>
              <w:pStyle w:val="33"/>
              <w:keepNext w:val="0"/>
              <w:keepLines w:val="0"/>
              <w:widowControl w:val="0"/>
              <w:shd w:val="clear" w:color="auto" w:fill="auto"/>
              <w:bidi w:val="0"/>
              <w:spacing w:before="0" w:after="0" w:line="274" w:lineRule="exact"/>
              <w:ind w:left="420" w:right="0" w:firstLine="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•设置清晰的灌注和抽出说明标识牌•有效应对泄漏事件</w:t>
            </w:r>
          </w:p>
        </w:tc>
      </w:tr>
      <w:tr w14:paraId="77EAF7B2">
        <w:tblPrEx>
          <w:tblCellMar>
            <w:top w:w="0" w:type="dxa"/>
            <w:left w:w="10" w:type="dxa"/>
            <w:bottom w:w="0" w:type="dxa"/>
            <w:right w:w="10" w:type="dxa"/>
          </w:tblCellMar>
        </w:tblPrEx>
        <w:trPr>
          <w:trHeight w:val="1440" w:hRule="exact"/>
          <w:jc w:val="center"/>
        </w:trPr>
        <w:tc>
          <w:tcPr>
            <w:tcBorders>
              <w:top w:val="single" w:color="auto" w:sz="4" w:space="0"/>
              <w:left w:val="single" w:color="auto" w:sz="4" w:space="0"/>
              <w:bottom w:val="single" w:color="auto" w:sz="4" w:space="0"/>
            </w:tcBorders>
            <w:shd w:val="clear" w:color="auto" w:fill="FFFFFF"/>
            <w:vAlign w:val="center"/>
          </w:tcPr>
          <w:p w14:paraId="1A26CBCB">
            <w:pPr>
              <w:pStyle w:val="33"/>
              <w:keepNext w:val="0"/>
              <w:keepLines w:val="0"/>
              <w:widowControl w:val="0"/>
              <w:shd w:val="clear" w:color="auto" w:fill="auto"/>
              <w:bidi w:val="0"/>
              <w:spacing w:before="0" w:after="0" w:line="240" w:lineRule="auto"/>
              <w:ind w:left="0" w:leftChars="0" w:right="0" w:rightChars="0" w:firstLine="400" w:firstLineChars="0"/>
              <w:jc w:val="left"/>
              <w:rPr>
                <w:rFonts w:hint="eastAsia" w:ascii="仿宋_GB2312" w:hAnsi="仿宋_GB2312" w:eastAsia="仿宋_GB2312" w:cs="仿宋_GB2312"/>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color w:val="000000"/>
                <w:spacing w:val="0"/>
                <w:w w:val="100"/>
                <w:position w:val="0"/>
                <w:sz w:val="21"/>
                <w:szCs w:val="21"/>
              </w:rPr>
              <w:t>2</w:t>
            </w:r>
          </w:p>
        </w:tc>
        <w:tc>
          <w:tcPr>
            <w:tcBorders>
              <w:top w:val="single" w:color="auto" w:sz="4" w:space="0"/>
              <w:left w:val="single" w:color="auto" w:sz="4" w:space="0"/>
              <w:bottom w:val="single" w:color="auto" w:sz="4" w:space="0"/>
            </w:tcBorders>
            <w:shd w:val="clear" w:color="auto" w:fill="FFFFFF"/>
            <w:vAlign w:val="center"/>
          </w:tcPr>
          <w:p w14:paraId="4FFD937C">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64" w:lineRule="exact"/>
              <w:ind w:left="0" w:right="0" w:firstLine="420"/>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•防渗阻隔系统，且能防止雨水进入，或者及时有效排出雨水</w:t>
            </w:r>
          </w:p>
          <w:p w14:paraId="3A27BAE4">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64" w:lineRule="exact"/>
              <w:ind w:left="0" w:right="0" w:firstLine="420"/>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•溢流保护装置</w:t>
            </w:r>
          </w:p>
          <w:p w14:paraId="67987E00">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64" w:lineRule="exact"/>
              <w:ind w:left="0" w:right="0" w:firstLine="420"/>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•渗漏、流失的液体能得到有效</w:t>
            </w:r>
          </w:p>
          <w:p w14:paraId="19C0EC40">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64" w:lineRule="exact"/>
              <w:ind w:left="0" w:leftChars="0" w:right="0" w:rightChars="0" w:firstLine="0" w:firstLineChars="0"/>
              <w:jc w:val="both"/>
              <w:textAlignment w:val="auto"/>
              <w:rPr>
                <w:rFonts w:hint="eastAsia" w:ascii="仿宋_GB2312" w:hAnsi="仿宋_GB2312" w:eastAsia="仿宋_GB2312" w:cs="仿宋_GB2312"/>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color w:val="000000"/>
                <w:spacing w:val="0"/>
                <w:w w:val="100"/>
                <w:position w:val="0"/>
                <w:sz w:val="21"/>
                <w:szCs w:val="21"/>
              </w:rPr>
              <w:t>收集并定期清理</w:t>
            </w:r>
          </w:p>
        </w:tc>
        <w:tc>
          <w:tcPr>
            <w:tcBorders>
              <w:top w:val="single" w:color="auto" w:sz="4" w:space="0"/>
              <w:left w:val="single" w:color="auto" w:sz="4" w:space="0"/>
              <w:bottom w:val="single" w:color="auto" w:sz="4" w:space="0"/>
              <w:right w:val="single" w:color="auto" w:sz="4" w:space="0"/>
            </w:tcBorders>
            <w:shd w:val="clear" w:color="auto" w:fill="FFFFFF"/>
            <w:vAlign w:val="center"/>
          </w:tcPr>
          <w:p w14:paraId="11747266">
            <w:pPr>
              <w:pStyle w:val="33"/>
              <w:keepNext w:val="0"/>
              <w:keepLines w:val="0"/>
              <w:widowControl w:val="0"/>
              <w:shd w:val="clear" w:color="auto" w:fill="auto"/>
              <w:bidi w:val="0"/>
              <w:spacing w:before="0" w:after="40" w:line="240" w:lineRule="auto"/>
              <w:ind w:left="0" w:right="0" w:firstLine="40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•定期防渗效果检查</w:t>
            </w:r>
          </w:p>
          <w:p w14:paraId="2EC1EFD2">
            <w:pPr>
              <w:pStyle w:val="33"/>
              <w:keepNext w:val="0"/>
              <w:keepLines w:val="0"/>
              <w:widowControl w:val="0"/>
              <w:shd w:val="clear" w:color="auto" w:fill="auto"/>
              <w:bidi w:val="0"/>
              <w:spacing w:before="0" w:after="40" w:line="240" w:lineRule="auto"/>
              <w:ind w:left="0" w:right="0" w:firstLine="40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•设置清晰的灌注和抽出说明标识牌</w:t>
            </w:r>
          </w:p>
          <w:p w14:paraId="1B652A5B">
            <w:pPr>
              <w:pStyle w:val="33"/>
              <w:keepNext w:val="0"/>
              <w:keepLines w:val="0"/>
              <w:widowControl w:val="0"/>
              <w:shd w:val="clear" w:color="auto" w:fill="auto"/>
              <w:bidi w:val="0"/>
              <w:spacing w:before="0" w:after="40" w:line="240" w:lineRule="auto"/>
              <w:ind w:left="0" w:leftChars="0" w:right="0" w:rightChars="0" w:firstLine="400" w:firstLineChars="0"/>
              <w:jc w:val="left"/>
              <w:rPr>
                <w:rFonts w:hint="eastAsia" w:ascii="仿宋_GB2312" w:hAnsi="仿宋_GB2312" w:eastAsia="仿宋_GB2312" w:cs="仿宋_GB2312"/>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color w:val="000000"/>
                <w:spacing w:val="0"/>
                <w:w w:val="100"/>
                <w:position w:val="0"/>
                <w:sz w:val="21"/>
                <w:szCs w:val="21"/>
              </w:rPr>
              <w:t>•日常维护</w:t>
            </w:r>
          </w:p>
        </w:tc>
      </w:tr>
      <w:tr w14:paraId="7570A2DF">
        <w:tblPrEx>
          <w:tblCellMar>
            <w:top w:w="0" w:type="dxa"/>
            <w:left w:w="10" w:type="dxa"/>
            <w:bottom w:w="0" w:type="dxa"/>
            <w:right w:w="10" w:type="dxa"/>
          </w:tblCellMar>
        </w:tblPrEx>
        <w:trPr>
          <w:trHeight w:val="417" w:hRule="exact"/>
          <w:jc w:val="center"/>
        </w:trPr>
        <w:tc>
          <w:tcPr>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36D6767D">
            <w:pPr>
              <w:pStyle w:val="33"/>
              <w:keepNext w:val="0"/>
              <w:keepLines w:val="0"/>
              <w:widowControl w:val="0"/>
              <w:shd w:val="clear" w:color="auto" w:fill="auto"/>
              <w:bidi w:val="0"/>
              <w:spacing w:before="0" w:after="40" w:line="240" w:lineRule="auto"/>
              <w:ind w:left="0" w:leftChars="0" w:right="0" w:rightChars="0" w:firstLine="400" w:firstLineChars="0"/>
              <w:jc w:val="left"/>
              <w:rPr>
                <w:rFonts w:hint="eastAsia" w:ascii="仿宋_GB2312" w:hAnsi="仿宋_GB2312" w:eastAsia="仿宋_GB2312" w:cs="仿宋_GB2312"/>
                <w:color w:val="000000"/>
                <w:spacing w:val="0"/>
                <w:w w:val="100"/>
                <w:position w:val="0"/>
                <w:sz w:val="21"/>
                <w:szCs w:val="21"/>
              </w:rPr>
            </w:pPr>
            <w:r>
              <w:rPr>
                <w:rFonts w:hint="eastAsia" w:ascii="仿宋_GB2312" w:hAnsi="仿宋_GB2312" w:eastAsia="仿宋_GB2312" w:cs="仿宋_GB2312"/>
                <w:color w:val="000000"/>
                <w:spacing w:val="0"/>
                <w:w w:val="100"/>
                <w:position w:val="0"/>
                <w:sz w:val="21"/>
                <w:szCs w:val="21"/>
              </w:rPr>
              <w:t>二、底部装卸</w:t>
            </w:r>
          </w:p>
        </w:tc>
      </w:tr>
      <w:tr w14:paraId="48872024">
        <w:tblPrEx>
          <w:tblCellMar>
            <w:top w:w="0" w:type="dxa"/>
            <w:left w:w="10" w:type="dxa"/>
            <w:bottom w:w="0" w:type="dxa"/>
            <w:right w:w="10" w:type="dxa"/>
          </w:tblCellMar>
        </w:tblPrEx>
        <w:trPr>
          <w:trHeight w:val="1543" w:hRule="exact"/>
          <w:jc w:val="center"/>
        </w:trPr>
        <w:tc>
          <w:tcPr>
            <w:tcBorders>
              <w:top w:val="single" w:color="auto" w:sz="4" w:space="0"/>
              <w:left w:val="single" w:color="auto" w:sz="4" w:space="0"/>
              <w:bottom w:val="single" w:color="auto" w:sz="4" w:space="0"/>
            </w:tcBorders>
            <w:shd w:val="clear" w:color="auto" w:fill="FFFFFF"/>
            <w:vAlign w:val="center"/>
          </w:tcPr>
          <w:p w14:paraId="320CE11B">
            <w:pPr>
              <w:pStyle w:val="33"/>
              <w:keepNext w:val="0"/>
              <w:keepLines w:val="0"/>
              <w:widowControl w:val="0"/>
              <w:shd w:val="clear" w:color="auto" w:fill="auto"/>
              <w:bidi w:val="0"/>
              <w:spacing w:before="0" w:after="0" w:line="240" w:lineRule="auto"/>
              <w:ind w:left="0" w:leftChars="0" w:right="0" w:rightChars="0" w:firstLine="400" w:firstLineChars="0"/>
              <w:jc w:val="both"/>
              <w:rPr>
                <w:rFonts w:hint="eastAsia" w:ascii="仿宋_GB2312" w:hAnsi="仿宋_GB2312" w:eastAsia="仿宋_GB2312" w:cs="仿宋_GB2312"/>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color w:val="000000"/>
                <w:spacing w:val="0"/>
                <w:w w:val="100"/>
                <w:position w:val="0"/>
                <w:sz w:val="21"/>
                <w:szCs w:val="21"/>
              </w:rPr>
              <w:t>1</w:t>
            </w:r>
          </w:p>
        </w:tc>
        <w:tc>
          <w:tcPr>
            <w:tcBorders>
              <w:top w:val="single" w:color="auto" w:sz="4" w:space="0"/>
              <w:left w:val="single" w:color="auto" w:sz="4" w:space="0"/>
              <w:bottom w:val="single" w:color="auto" w:sz="4" w:space="0"/>
            </w:tcBorders>
            <w:shd w:val="clear" w:color="auto" w:fill="FFFFFF"/>
            <w:vAlign w:val="center"/>
          </w:tcPr>
          <w:p w14:paraId="63586370">
            <w:pPr>
              <w:pStyle w:val="33"/>
              <w:keepNext w:val="0"/>
              <w:keepLines w:val="0"/>
              <w:widowControl w:val="0"/>
              <w:shd w:val="clear" w:color="auto" w:fill="auto"/>
              <w:bidi w:val="0"/>
              <w:spacing w:before="0" w:after="0" w:line="262" w:lineRule="exact"/>
              <w:ind w:left="0" w:right="0" w:firstLine="42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•普通阻隔设施，且能防止雨水进入，或者及时有效排出雨水</w:t>
            </w:r>
          </w:p>
          <w:p w14:paraId="0BDFCFA7">
            <w:pPr>
              <w:pStyle w:val="33"/>
              <w:keepNext w:val="0"/>
              <w:keepLines w:val="0"/>
              <w:widowControl w:val="0"/>
              <w:shd w:val="clear" w:color="auto" w:fill="auto"/>
              <w:bidi w:val="0"/>
              <w:spacing w:before="0" w:after="0" w:line="262" w:lineRule="exact"/>
              <w:ind w:left="0" w:right="0" w:firstLine="42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•溢流保护装置</w:t>
            </w:r>
          </w:p>
          <w:p w14:paraId="047028B1">
            <w:pPr>
              <w:pStyle w:val="33"/>
              <w:keepNext w:val="0"/>
              <w:keepLines w:val="0"/>
              <w:widowControl w:val="0"/>
              <w:shd w:val="clear" w:color="auto" w:fill="auto"/>
              <w:bidi w:val="0"/>
              <w:spacing w:before="0" w:after="0" w:line="262" w:lineRule="exact"/>
              <w:ind w:left="0" w:leftChars="0" w:right="0" w:rightChars="0" w:firstLine="420" w:firstLineChars="0"/>
              <w:jc w:val="left"/>
              <w:rPr>
                <w:rFonts w:hint="eastAsia" w:ascii="仿宋_GB2312" w:hAnsi="仿宋_GB2312" w:eastAsia="仿宋_GB2312" w:cs="仿宋_GB2312"/>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color w:val="000000"/>
                <w:spacing w:val="0"/>
                <w:w w:val="100"/>
                <w:position w:val="0"/>
                <w:sz w:val="21"/>
                <w:szCs w:val="21"/>
              </w:rPr>
              <w:t>•渗漏、流失的液体能得到有效收集并定期清理</w:t>
            </w:r>
          </w:p>
        </w:tc>
        <w:tc>
          <w:tcPr>
            <w:tcBorders>
              <w:top w:val="single" w:color="auto" w:sz="4" w:space="0"/>
              <w:left w:val="single" w:color="auto" w:sz="4" w:space="0"/>
              <w:bottom w:val="single" w:color="auto" w:sz="4" w:space="0"/>
              <w:right w:val="single" w:color="auto" w:sz="4" w:space="0"/>
            </w:tcBorders>
            <w:shd w:val="clear" w:color="auto" w:fill="FFFFFF"/>
            <w:vAlign w:val="center"/>
          </w:tcPr>
          <w:p w14:paraId="138948F1">
            <w:pPr>
              <w:pStyle w:val="33"/>
              <w:keepNext w:val="0"/>
              <w:keepLines w:val="0"/>
              <w:widowControl w:val="0"/>
              <w:shd w:val="clear" w:color="auto" w:fill="auto"/>
              <w:bidi w:val="0"/>
              <w:spacing w:before="0" w:after="0" w:line="274" w:lineRule="exact"/>
              <w:ind w:left="0" w:right="0" w:firstLine="42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•自动化控制或者由熟练工操作</w:t>
            </w:r>
          </w:p>
          <w:p w14:paraId="4987C0E9">
            <w:pPr>
              <w:pStyle w:val="33"/>
              <w:keepNext w:val="0"/>
              <w:keepLines w:val="0"/>
              <w:widowControl w:val="0"/>
              <w:shd w:val="clear" w:color="auto" w:fill="auto"/>
              <w:bidi w:val="0"/>
              <w:spacing w:before="0" w:after="0" w:line="274" w:lineRule="exact"/>
              <w:ind w:left="0" w:right="0" w:firstLine="42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•设置清晰的灌注和抽出说明标识牌，特别注意输送软管与装载车连接处</w:t>
            </w:r>
          </w:p>
          <w:p w14:paraId="4C6EED30">
            <w:pPr>
              <w:pStyle w:val="33"/>
              <w:keepNext w:val="0"/>
              <w:keepLines w:val="0"/>
              <w:widowControl w:val="0"/>
              <w:shd w:val="clear" w:color="auto" w:fill="auto"/>
              <w:bidi w:val="0"/>
              <w:spacing w:before="0" w:after="0" w:line="274" w:lineRule="exact"/>
              <w:ind w:left="0" w:leftChars="0" w:right="0" w:rightChars="0" w:firstLine="420" w:firstLineChars="0"/>
              <w:jc w:val="left"/>
              <w:rPr>
                <w:rFonts w:hint="eastAsia" w:ascii="仿宋_GB2312" w:hAnsi="仿宋_GB2312" w:eastAsia="仿宋_GB2312" w:cs="仿宋_GB2312"/>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color w:val="000000"/>
                <w:spacing w:val="0"/>
                <w:w w:val="100"/>
                <w:position w:val="0"/>
                <w:sz w:val="21"/>
                <w:szCs w:val="21"/>
              </w:rPr>
              <w:t>•有效应对泄漏事件</w:t>
            </w:r>
          </w:p>
        </w:tc>
      </w:tr>
      <w:tr w14:paraId="436601B0">
        <w:tblPrEx>
          <w:tblCellMar>
            <w:top w:w="0" w:type="dxa"/>
            <w:left w:w="10" w:type="dxa"/>
            <w:bottom w:w="0" w:type="dxa"/>
            <w:right w:w="10" w:type="dxa"/>
          </w:tblCellMar>
        </w:tblPrEx>
        <w:trPr>
          <w:trHeight w:val="2388" w:hRule="exact"/>
          <w:jc w:val="center"/>
        </w:trPr>
        <w:tc>
          <w:tcPr>
            <w:tcW w:w="1186" w:type="dxa"/>
            <w:tcBorders>
              <w:top w:val="single" w:color="auto" w:sz="4" w:space="0"/>
              <w:left w:val="single" w:color="auto" w:sz="4" w:space="0"/>
              <w:bottom w:val="single" w:color="auto" w:sz="4" w:space="0"/>
            </w:tcBorders>
            <w:shd w:val="clear" w:color="auto" w:fill="FFFFFF"/>
            <w:vAlign w:val="center"/>
          </w:tcPr>
          <w:p w14:paraId="6C7FB765">
            <w:pPr>
              <w:pStyle w:val="33"/>
              <w:keepNext w:val="0"/>
              <w:keepLines w:val="0"/>
              <w:widowControl w:val="0"/>
              <w:shd w:val="clear" w:color="auto" w:fill="auto"/>
              <w:bidi w:val="0"/>
              <w:spacing w:before="0" w:after="0" w:line="240" w:lineRule="auto"/>
              <w:ind w:left="0" w:leftChars="0" w:right="0" w:rightChars="0" w:firstLine="400" w:firstLineChars="0"/>
              <w:jc w:val="left"/>
              <w:rPr>
                <w:rFonts w:hint="eastAsia" w:ascii="仿宋_GB2312" w:hAnsi="仿宋_GB2312" w:eastAsia="仿宋_GB2312" w:cs="仿宋_GB2312"/>
                <w:color w:val="000000"/>
                <w:spacing w:val="0"/>
                <w:w w:val="100"/>
                <w:position w:val="0"/>
                <w:sz w:val="21"/>
                <w:szCs w:val="21"/>
              </w:rPr>
            </w:pPr>
            <w:r>
              <w:rPr>
                <w:rFonts w:hint="eastAsia" w:ascii="仿宋_GB2312" w:hAnsi="仿宋_GB2312" w:eastAsia="仿宋_GB2312" w:cs="仿宋_GB2312"/>
                <w:color w:val="000000"/>
                <w:spacing w:val="0"/>
                <w:w w:val="100"/>
                <w:position w:val="0"/>
                <w:sz w:val="21"/>
                <w:szCs w:val="21"/>
              </w:rPr>
              <w:t>2</w:t>
            </w:r>
          </w:p>
        </w:tc>
        <w:tc>
          <w:tcPr>
            <w:tcW w:w="3734" w:type="dxa"/>
            <w:tcBorders>
              <w:top w:val="single" w:color="auto" w:sz="4" w:space="0"/>
              <w:left w:val="single" w:color="auto" w:sz="4" w:space="0"/>
              <w:bottom w:val="single" w:color="auto" w:sz="4" w:space="0"/>
            </w:tcBorders>
            <w:shd w:val="clear" w:color="auto" w:fill="FFFFFF"/>
            <w:vAlign w:val="center"/>
          </w:tcPr>
          <w:p w14:paraId="23E55B0C">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40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•普通阻隔设施，且能防止雨</w:t>
            </w:r>
          </w:p>
          <w:p w14:paraId="2FC84192">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水进入，或者及时有效排出雨水</w:t>
            </w:r>
          </w:p>
          <w:p w14:paraId="2B8E3624">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40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•正压密闭装卸系统；或者在每个</w:t>
            </w:r>
          </w:p>
          <w:p w14:paraId="733AAB8F">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连接点（处）均设置防滴漏设施</w:t>
            </w:r>
          </w:p>
          <w:p w14:paraId="614C840B">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40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•溢流保护装置</w:t>
            </w:r>
          </w:p>
          <w:p w14:paraId="262EC971">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40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•渗漏、流失的液体能得到有效</w:t>
            </w:r>
          </w:p>
          <w:p w14:paraId="3681B31F">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both"/>
              <w:textAlignment w:val="auto"/>
              <w:rPr>
                <w:rFonts w:hint="eastAsia" w:ascii="仿宋_GB2312" w:hAnsi="仿宋_GB2312" w:eastAsia="仿宋_GB2312" w:cs="仿宋_GB2312"/>
                <w:color w:val="000000"/>
                <w:spacing w:val="0"/>
                <w:w w:val="100"/>
                <w:position w:val="0"/>
                <w:sz w:val="21"/>
                <w:szCs w:val="21"/>
              </w:rPr>
            </w:pPr>
            <w:r>
              <w:rPr>
                <w:rFonts w:hint="eastAsia" w:ascii="仿宋_GB2312" w:hAnsi="仿宋_GB2312" w:eastAsia="仿宋_GB2312" w:cs="仿宋_GB2312"/>
                <w:color w:val="000000"/>
                <w:spacing w:val="0"/>
                <w:w w:val="100"/>
                <w:position w:val="0"/>
                <w:sz w:val="21"/>
                <w:szCs w:val="21"/>
              </w:rPr>
              <w:t>收集并定期清理</w:t>
            </w:r>
          </w:p>
        </w:tc>
        <w:tc>
          <w:tcPr>
            <w:tcW w:w="4056" w:type="dxa"/>
            <w:tcBorders>
              <w:top w:val="single" w:color="auto" w:sz="4" w:space="0"/>
              <w:left w:val="single" w:color="auto" w:sz="4" w:space="0"/>
              <w:bottom w:val="single" w:color="auto" w:sz="4" w:space="0"/>
              <w:right w:val="single" w:color="auto" w:sz="4" w:space="0"/>
            </w:tcBorders>
            <w:shd w:val="clear" w:color="auto" w:fill="FFFFFF"/>
            <w:vAlign w:val="center"/>
          </w:tcPr>
          <w:p w14:paraId="1BF315F2">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400"/>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•定期清空防滴漏设施</w:t>
            </w:r>
          </w:p>
          <w:p w14:paraId="457477CA">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400"/>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•日常目视检查</w:t>
            </w:r>
          </w:p>
          <w:p w14:paraId="71AA2D40">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400"/>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•设置清晰的灌注和抽出说明标识</w:t>
            </w:r>
          </w:p>
          <w:p w14:paraId="6C8D2F92">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牌，特别注意输送软管与装载车连接处</w:t>
            </w:r>
          </w:p>
          <w:p w14:paraId="19D2F674">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400" w:firstLineChars="0"/>
              <w:jc w:val="left"/>
              <w:textAlignment w:val="auto"/>
              <w:rPr>
                <w:rFonts w:hint="eastAsia" w:ascii="仿宋_GB2312" w:hAnsi="仿宋_GB2312" w:eastAsia="仿宋_GB2312" w:cs="仿宋_GB2312"/>
                <w:color w:val="000000"/>
                <w:spacing w:val="0"/>
                <w:w w:val="100"/>
                <w:position w:val="0"/>
                <w:sz w:val="21"/>
                <w:szCs w:val="21"/>
              </w:rPr>
            </w:pPr>
            <w:r>
              <w:rPr>
                <w:rFonts w:hint="eastAsia" w:ascii="仿宋_GB2312" w:hAnsi="仿宋_GB2312" w:eastAsia="仿宋_GB2312" w:cs="仿宋_GB2312"/>
                <w:color w:val="000000"/>
                <w:spacing w:val="0"/>
                <w:w w:val="100"/>
                <w:position w:val="0"/>
                <w:sz w:val="21"/>
                <w:szCs w:val="21"/>
              </w:rPr>
              <w:t>•有效应对泄漏事件</w:t>
            </w:r>
          </w:p>
        </w:tc>
      </w:tr>
      <w:tr w14:paraId="16A63A7E">
        <w:tblPrEx>
          <w:tblCellMar>
            <w:top w:w="0" w:type="dxa"/>
            <w:left w:w="10" w:type="dxa"/>
            <w:bottom w:w="0" w:type="dxa"/>
            <w:right w:w="10" w:type="dxa"/>
          </w:tblCellMar>
        </w:tblPrEx>
        <w:trPr>
          <w:trHeight w:val="1658" w:hRule="exact"/>
          <w:jc w:val="center"/>
        </w:trPr>
        <w:tc>
          <w:tcPr>
            <w:tcW w:w="1186" w:type="dxa"/>
            <w:tcBorders>
              <w:top w:val="single" w:color="auto" w:sz="4" w:space="0"/>
              <w:left w:val="single" w:color="auto" w:sz="4" w:space="0"/>
              <w:bottom w:val="single" w:color="auto" w:sz="4" w:space="0"/>
            </w:tcBorders>
            <w:shd w:val="clear" w:color="auto" w:fill="FFFFFF"/>
            <w:vAlign w:val="center"/>
          </w:tcPr>
          <w:p w14:paraId="1A64376B">
            <w:pPr>
              <w:pStyle w:val="33"/>
              <w:keepNext w:val="0"/>
              <w:keepLines w:val="0"/>
              <w:widowControl w:val="0"/>
              <w:shd w:val="clear" w:color="auto" w:fill="auto"/>
              <w:bidi w:val="0"/>
              <w:spacing w:before="0" w:after="0" w:line="240" w:lineRule="auto"/>
              <w:ind w:left="0" w:leftChars="0" w:right="0" w:rightChars="0" w:firstLine="400" w:firstLineChars="0"/>
              <w:jc w:val="left"/>
              <w:rPr>
                <w:rFonts w:hint="eastAsia" w:ascii="仿宋_GB2312" w:hAnsi="仿宋_GB2312" w:eastAsia="仿宋_GB2312" w:cs="仿宋_GB2312"/>
                <w:color w:val="000000"/>
                <w:spacing w:val="0"/>
                <w:w w:val="100"/>
                <w:position w:val="0"/>
                <w:sz w:val="21"/>
                <w:szCs w:val="21"/>
              </w:rPr>
            </w:pPr>
            <w:r>
              <w:rPr>
                <w:rFonts w:hint="eastAsia" w:ascii="仿宋_GB2312" w:hAnsi="仿宋_GB2312" w:eastAsia="仿宋_GB2312" w:cs="仿宋_GB2312"/>
                <w:color w:val="000000"/>
                <w:spacing w:val="0"/>
                <w:w w:val="100"/>
                <w:position w:val="0"/>
                <w:sz w:val="21"/>
                <w:szCs w:val="21"/>
              </w:rPr>
              <w:t>3</w:t>
            </w:r>
          </w:p>
        </w:tc>
        <w:tc>
          <w:tcPr>
            <w:tcW w:w="3734" w:type="dxa"/>
            <w:tcBorders>
              <w:top w:val="single" w:color="auto" w:sz="4" w:space="0"/>
              <w:left w:val="single" w:color="auto" w:sz="4" w:space="0"/>
              <w:bottom w:val="single" w:color="auto" w:sz="4" w:space="0"/>
            </w:tcBorders>
            <w:shd w:val="clear" w:color="auto" w:fill="FFFFFF"/>
            <w:vAlign w:val="bottom"/>
          </w:tcPr>
          <w:p w14:paraId="2B0C706A">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54" w:lineRule="exact"/>
              <w:ind w:left="0" w:right="0" w:firstLine="400"/>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•防渗阻隔系统，且能防止雨</w:t>
            </w:r>
          </w:p>
          <w:p w14:paraId="7A19CFCA">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54" w:lineRule="exact"/>
              <w:ind w:left="0" w:right="0" w:firstLine="0"/>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水进入，或者及时有效排出雨水</w:t>
            </w:r>
          </w:p>
          <w:p w14:paraId="4E108418">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54" w:lineRule="exact"/>
              <w:ind w:left="0" w:right="0" w:firstLine="400"/>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•溢流保护装置</w:t>
            </w:r>
          </w:p>
          <w:p w14:paraId="6CE3614C">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54" w:lineRule="exact"/>
              <w:ind w:left="0" w:leftChars="0" w:right="0" w:rightChars="0" w:firstLine="420" w:firstLineChars="0"/>
              <w:jc w:val="both"/>
              <w:textAlignment w:val="auto"/>
              <w:rPr>
                <w:rFonts w:hint="eastAsia" w:ascii="仿宋_GB2312" w:hAnsi="仿宋_GB2312" w:eastAsia="仿宋_GB2312" w:cs="仿宋_GB2312"/>
                <w:color w:val="000000"/>
                <w:spacing w:val="0"/>
                <w:w w:val="100"/>
                <w:position w:val="0"/>
                <w:sz w:val="21"/>
                <w:szCs w:val="21"/>
              </w:rPr>
            </w:pPr>
            <w:r>
              <w:rPr>
                <w:rFonts w:hint="eastAsia" w:ascii="仿宋_GB2312" w:hAnsi="仿宋_GB2312" w:eastAsia="仿宋_GB2312" w:cs="仿宋_GB2312"/>
                <w:color w:val="000000"/>
                <w:spacing w:val="0"/>
                <w:w w:val="100"/>
                <w:position w:val="0"/>
                <w:sz w:val="21"/>
                <w:szCs w:val="21"/>
              </w:rPr>
              <w:t>•渗漏、流失的液体能得到有效收集并定期清理</w:t>
            </w:r>
          </w:p>
        </w:tc>
        <w:tc>
          <w:tcPr>
            <w:tcW w:w="4056" w:type="dxa"/>
            <w:tcBorders>
              <w:top w:val="single" w:color="auto" w:sz="4" w:space="0"/>
              <w:left w:val="single" w:color="auto" w:sz="4" w:space="0"/>
              <w:bottom w:val="single" w:color="auto" w:sz="4" w:space="0"/>
              <w:right w:val="single" w:color="auto" w:sz="4" w:space="0"/>
            </w:tcBorders>
            <w:shd w:val="clear" w:color="auto" w:fill="FFFFFF"/>
            <w:vAlign w:val="center"/>
          </w:tcPr>
          <w:p w14:paraId="5BC0A45A">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400"/>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•定期开展防渗效果检查</w:t>
            </w:r>
          </w:p>
          <w:p w14:paraId="5CF0E348">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400"/>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•设置清晰的灌注和抽出说明标识</w:t>
            </w:r>
          </w:p>
          <w:p w14:paraId="09C23779">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牌，特别注意输送软管与装载车连接处</w:t>
            </w:r>
          </w:p>
          <w:p w14:paraId="24601863">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400" w:firstLineChars="0"/>
              <w:jc w:val="left"/>
              <w:textAlignment w:val="auto"/>
              <w:rPr>
                <w:rFonts w:hint="eastAsia" w:ascii="仿宋_GB2312" w:hAnsi="仿宋_GB2312" w:eastAsia="仿宋_GB2312" w:cs="仿宋_GB2312"/>
                <w:color w:val="000000"/>
                <w:spacing w:val="0"/>
                <w:w w:val="100"/>
                <w:position w:val="0"/>
                <w:sz w:val="21"/>
                <w:szCs w:val="21"/>
              </w:rPr>
            </w:pPr>
            <w:r>
              <w:rPr>
                <w:rFonts w:hint="eastAsia" w:ascii="仿宋_GB2312" w:hAnsi="仿宋_GB2312" w:eastAsia="仿宋_GB2312" w:cs="仿宋_GB2312"/>
                <w:color w:val="000000"/>
                <w:spacing w:val="0"/>
                <w:w w:val="100"/>
                <w:position w:val="0"/>
                <w:sz w:val="21"/>
                <w:szCs w:val="21"/>
              </w:rPr>
              <w:t>•日常维护</w:t>
            </w:r>
          </w:p>
        </w:tc>
      </w:tr>
    </w:tbl>
    <w:p w14:paraId="279E3198">
      <w:pPr>
        <w:spacing w:line="1" w:lineRule="exact"/>
      </w:pPr>
      <w:r>
        <w:t>②管道运输</w:t>
      </w:r>
    </w:p>
    <w:p w14:paraId="02006352">
      <w:pPr>
        <w:pStyle w:val="27"/>
        <w:keepNext w:val="0"/>
        <w:keepLines w:val="0"/>
        <w:widowControl w:val="0"/>
        <w:shd w:val="clear" w:color="auto" w:fill="auto"/>
        <w:bidi w:val="0"/>
        <w:spacing w:before="0" w:after="0" w:line="540" w:lineRule="exact"/>
        <w:ind w:right="0"/>
        <w:jc w:val="left"/>
        <w:rPr>
          <w:rFonts w:hint="eastAsia" w:ascii="仿宋_GB2312" w:hAnsi="仿宋_GB2312" w:eastAsia="仿宋_GB2312" w:cs="仿宋_GB2312"/>
          <w:color w:val="000000"/>
          <w:spacing w:val="0"/>
          <w:w w:val="100"/>
          <w:position w:val="0"/>
          <w:lang w:val="en-US" w:eastAsia="zh-CN"/>
        </w:rPr>
      </w:pPr>
      <w:r>
        <w:rPr>
          <w:rFonts w:hint="eastAsia" w:ascii="仿宋_GB2312" w:hAnsi="仿宋_GB2312" w:eastAsia="仿宋_GB2312" w:cs="仿宋_GB2312"/>
          <w:color w:val="000000"/>
          <w:spacing w:val="0"/>
          <w:w w:val="100"/>
          <w:position w:val="0"/>
          <w:lang w:val="en-US" w:eastAsia="zh-CN"/>
        </w:rPr>
        <w:t>②管道运输</w:t>
      </w:r>
    </w:p>
    <w:p w14:paraId="0644DF01">
      <w:pPr>
        <w:pStyle w:val="27"/>
        <w:keepNext w:val="0"/>
        <w:keepLines w:val="0"/>
        <w:widowControl w:val="0"/>
        <w:shd w:val="clear" w:color="auto" w:fill="auto"/>
        <w:bidi w:val="0"/>
        <w:spacing w:before="0" w:after="0" w:line="540" w:lineRule="exact"/>
        <w:ind w:right="0"/>
        <w:jc w:val="left"/>
        <w:rPr>
          <w:rFonts w:hint="eastAsia" w:ascii="仿宋_GB2312" w:hAnsi="仿宋_GB2312" w:eastAsia="仿宋_GB2312" w:cs="仿宋_GB2312"/>
          <w:color w:val="000000"/>
          <w:spacing w:val="0"/>
          <w:w w:val="100"/>
          <w:position w:val="0"/>
        </w:rPr>
      </w:pPr>
      <w:r>
        <w:rPr>
          <w:rFonts w:hint="eastAsia" w:ascii="仿宋_GB2312" w:hAnsi="仿宋_GB2312" w:eastAsia="仿宋_GB2312" w:cs="仿宋_GB2312"/>
          <w:color w:val="000000"/>
          <w:spacing w:val="0"/>
          <w:w w:val="100"/>
          <w:position w:val="0"/>
        </w:rPr>
        <w:t>包括地下管道和地上管道。管道运输造成土壤污染主要是由于管道的内、外腐蚀造成泄漏、渗漏。一般而言，地下管道具有隐蔽性，土壤污染隐患更高。可参考</w:t>
      </w:r>
      <w:r>
        <w:rPr>
          <w:rFonts w:hint="eastAsia" w:ascii="仿宋_GB2312" w:hAnsi="仿宋_GB2312" w:eastAsia="仿宋_GB2312" w:cs="仿宋_GB2312"/>
          <w:color w:val="000000"/>
          <w:spacing w:val="0"/>
          <w:w w:val="100"/>
          <w:position w:val="0"/>
          <w:lang w:val="en-US" w:eastAsia="zh-CN"/>
        </w:rPr>
        <w:t>下</w:t>
      </w:r>
      <w:r>
        <w:rPr>
          <w:rFonts w:hint="eastAsia" w:ascii="仿宋_GB2312" w:hAnsi="仿宋_GB2312" w:eastAsia="仿宋_GB2312" w:cs="仿宋_GB2312"/>
          <w:color w:val="000000"/>
          <w:spacing w:val="0"/>
          <w:w w:val="100"/>
          <w:position w:val="0"/>
        </w:rPr>
        <w:t>表开展排查和整改。</w:t>
      </w:r>
    </w:p>
    <w:tbl>
      <w:tblPr>
        <w:tblStyle w:val="9"/>
        <w:tblW w:w="0" w:type="auto"/>
        <w:jc w:val="center"/>
        <w:tblLayout w:type="fixed"/>
        <w:tblCellMar>
          <w:top w:w="0" w:type="dxa"/>
          <w:left w:w="10" w:type="dxa"/>
          <w:bottom w:w="0" w:type="dxa"/>
          <w:right w:w="10" w:type="dxa"/>
        </w:tblCellMar>
      </w:tblPr>
      <w:tblGrid>
        <w:gridCol w:w="1190"/>
        <w:gridCol w:w="3730"/>
        <w:gridCol w:w="4042"/>
      </w:tblGrid>
      <w:tr w14:paraId="3773E6F3">
        <w:tblPrEx>
          <w:tblCellMar>
            <w:top w:w="0" w:type="dxa"/>
            <w:left w:w="10" w:type="dxa"/>
            <w:bottom w:w="0" w:type="dxa"/>
            <w:right w:w="10" w:type="dxa"/>
          </w:tblCellMar>
        </w:tblPrEx>
        <w:trPr>
          <w:trHeight w:val="586" w:hRule="exact"/>
          <w:jc w:val="center"/>
        </w:trPr>
        <w:tc>
          <w:tcPr>
            <w:tcBorders>
              <w:top w:val="single" w:color="auto" w:sz="4" w:space="0"/>
              <w:left w:val="single" w:color="auto" w:sz="4" w:space="0"/>
            </w:tcBorders>
            <w:shd w:val="clear" w:color="auto" w:fill="FFFFFF"/>
            <w:vAlign w:val="center"/>
          </w:tcPr>
          <w:p w14:paraId="7A01AB9D">
            <w:pPr>
              <w:pStyle w:val="33"/>
              <w:keepNext w:val="0"/>
              <w:keepLines w:val="0"/>
              <w:widowControl w:val="0"/>
              <w:shd w:val="clear" w:color="auto" w:fill="auto"/>
              <w:bidi w:val="0"/>
              <w:spacing w:before="0" w:after="0" w:line="240" w:lineRule="auto"/>
              <w:ind w:left="0" w:right="0" w:firstLine="400"/>
              <w:jc w:val="left"/>
              <w:rPr>
                <w:rFonts w:hint="eastAsia" w:ascii="仿宋_GB2312" w:hAnsi="仿宋_GB2312" w:eastAsia="仿宋_GB2312" w:cs="仿宋_GB2312"/>
                <w:sz w:val="21"/>
                <w:szCs w:val="21"/>
                <w:lang w:eastAsia="zh-CN"/>
              </w:rPr>
            </w:pPr>
            <w:r>
              <w:rPr>
                <w:rFonts w:hint="eastAsia" w:ascii="仿宋_GB2312" w:hAnsi="仿宋_GB2312" w:eastAsia="仿宋_GB2312" w:cs="仿宋_GB2312"/>
                <w:b/>
                <w:bCs/>
                <w:color w:val="000000"/>
                <w:spacing w:val="0"/>
                <w:w w:val="100"/>
                <w:position w:val="0"/>
                <w:sz w:val="21"/>
                <w:szCs w:val="21"/>
                <w:lang w:eastAsia="zh-CN"/>
              </w:rPr>
              <w:t>序号</w:t>
            </w:r>
          </w:p>
        </w:tc>
        <w:tc>
          <w:tcPr>
            <w:tcBorders>
              <w:top w:val="single" w:color="auto" w:sz="4" w:space="0"/>
              <w:left w:val="single" w:color="auto" w:sz="4" w:space="0"/>
            </w:tcBorders>
            <w:shd w:val="clear" w:color="auto" w:fill="FFFFFF"/>
            <w:vAlign w:val="center"/>
          </w:tcPr>
          <w:p w14:paraId="686177B4">
            <w:pPr>
              <w:pStyle w:val="33"/>
              <w:keepNext w:val="0"/>
              <w:keepLines w:val="0"/>
              <w:widowControl w:val="0"/>
              <w:shd w:val="clear" w:color="auto" w:fill="auto"/>
              <w:bidi w:val="0"/>
              <w:spacing w:before="0" w:after="0" w:line="240" w:lineRule="auto"/>
              <w:ind w:left="0" w:right="0" w:firstLine="400"/>
              <w:jc w:val="left"/>
              <w:rPr>
                <w:rFonts w:hint="eastAsia" w:ascii="仿宋_GB2312" w:hAnsi="仿宋_GB2312" w:eastAsia="仿宋_GB2312" w:cs="仿宋_GB2312"/>
                <w:sz w:val="21"/>
                <w:szCs w:val="21"/>
              </w:rPr>
            </w:pPr>
            <w:r>
              <w:rPr>
                <w:rFonts w:hint="eastAsia" w:ascii="仿宋_GB2312" w:hAnsi="仿宋_GB2312" w:eastAsia="仿宋_GB2312" w:cs="仿宋_GB2312"/>
                <w:b/>
                <w:bCs/>
                <w:color w:val="000000"/>
                <w:spacing w:val="0"/>
                <w:w w:val="100"/>
                <w:position w:val="0"/>
                <w:sz w:val="21"/>
                <w:szCs w:val="21"/>
              </w:rPr>
              <w:t>土壤污染预防设施/功能</w:t>
            </w:r>
          </w:p>
        </w:tc>
        <w:tc>
          <w:tcPr>
            <w:tcBorders>
              <w:top w:val="single" w:color="auto" w:sz="4" w:space="0"/>
              <w:left w:val="single" w:color="auto" w:sz="4" w:space="0"/>
              <w:right w:val="single" w:color="auto" w:sz="4" w:space="0"/>
            </w:tcBorders>
            <w:shd w:val="clear" w:color="auto" w:fill="FFFFFF"/>
            <w:vAlign w:val="center"/>
          </w:tcPr>
          <w:p w14:paraId="42DF39E9">
            <w:pPr>
              <w:pStyle w:val="33"/>
              <w:keepNext w:val="0"/>
              <w:keepLines w:val="0"/>
              <w:widowControl w:val="0"/>
              <w:shd w:val="clear" w:color="auto" w:fill="auto"/>
              <w:bidi w:val="0"/>
              <w:spacing w:before="0" w:after="0" w:line="240" w:lineRule="auto"/>
              <w:ind w:left="0" w:right="0" w:firstLine="420"/>
              <w:jc w:val="both"/>
              <w:rPr>
                <w:rFonts w:hint="eastAsia" w:ascii="仿宋_GB2312" w:hAnsi="仿宋_GB2312" w:eastAsia="仿宋_GB2312" w:cs="仿宋_GB2312"/>
                <w:sz w:val="21"/>
                <w:szCs w:val="21"/>
              </w:rPr>
            </w:pPr>
            <w:r>
              <w:rPr>
                <w:rFonts w:hint="eastAsia" w:ascii="仿宋_GB2312" w:hAnsi="仿宋_GB2312" w:eastAsia="仿宋_GB2312" w:cs="仿宋_GB2312"/>
                <w:b/>
                <w:bCs/>
                <w:color w:val="000000"/>
                <w:spacing w:val="0"/>
                <w:w w:val="100"/>
                <w:position w:val="0"/>
                <w:sz w:val="21"/>
                <w:szCs w:val="21"/>
              </w:rPr>
              <w:t>土壤污染预防措施</w:t>
            </w:r>
          </w:p>
        </w:tc>
      </w:tr>
      <w:tr w14:paraId="4709B036">
        <w:tblPrEx>
          <w:tblCellMar>
            <w:top w:w="0" w:type="dxa"/>
            <w:left w:w="10" w:type="dxa"/>
            <w:bottom w:w="0" w:type="dxa"/>
            <w:right w:w="10" w:type="dxa"/>
          </w:tblCellMar>
        </w:tblPrEx>
        <w:trPr>
          <w:trHeight w:val="576" w:hRule="exact"/>
          <w:jc w:val="center"/>
        </w:trPr>
        <w:tc>
          <w:tcPr>
            <w:gridSpan w:val="3"/>
            <w:tcBorders>
              <w:top w:val="single" w:color="auto" w:sz="4" w:space="0"/>
              <w:left w:val="single" w:color="auto" w:sz="4" w:space="0"/>
              <w:right w:val="single" w:color="auto" w:sz="4" w:space="0"/>
            </w:tcBorders>
            <w:shd w:val="clear" w:color="auto" w:fill="FFFFFF"/>
            <w:vAlign w:val="center"/>
          </w:tcPr>
          <w:p w14:paraId="0DFDDAF3">
            <w:pPr>
              <w:pStyle w:val="33"/>
              <w:keepNext w:val="0"/>
              <w:keepLines w:val="0"/>
              <w:widowControl w:val="0"/>
              <w:shd w:val="clear" w:color="auto" w:fill="auto"/>
              <w:bidi w:val="0"/>
              <w:spacing w:before="0" w:after="0" w:line="240" w:lineRule="auto"/>
              <w:ind w:left="0" w:right="0" w:firstLine="42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一、地下管道</w:t>
            </w:r>
          </w:p>
        </w:tc>
      </w:tr>
      <w:tr w14:paraId="3E2F6189">
        <w:tblPrEx>
          <w:tblCellMar>
            <w:top w:w="0" w:type="dxa"/>
            <w:left w:w="10" w:type="dxa"/>
            <w:bottom w:w="0" w:type="dxa"/>
            <w:right w:w="10" w:type="dxa"/>
          </w:tblCellMar>
        </w:tblPrEx>
        <w:trPr>
          <w:trHeight w:val="1368" w:hRule="exact"/>
          <w:jc w:val="center"/>
        </w:trPr>
        <w:tc>
          <w:tcPr>
            <w:tcBorders>
              <w:top w:val="single" w:color="auto" w:sz="4" w:space="0"/>
              <w:left w:val="single" w:color="auto" w:sz="4" w:space="0"/>
            </w:tcBorders>
            <w:shd w:val="clear" w:color="auto" w:fill="FFFFFF"/>
            <w:vAlign w:val="center"/>
          </w:tcPr>
          <w:p w14:paraId="676236B7">
            <w:pPr>
              <w:pStyle w:val="33"/>
              <w:keepNext w:val="0"/>
              <w:keepLines w:val="0"/>
              <w:widowControl w:val="0"/>
              <w:shd w:val="clear" w:color="auto" w:fill="auto"/>
              <w:bidi w:val="0"/>
              <w:spacing w:before="0" w:after="0" w:line="240" w:lineRule="auto"/>
              <w:ind w:left="0" w:right="0" w:firstLine="40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1</w:t>
            </w:r>
          </w:p>
        </w:tc>
        <w:tc>
          <w:tcPr>
            <w:tcBorders>
              <w:top w:val="single" w:color="auto" w:sz="4" w:space="0"/>
              <w:left w:val="single" w:color="auto" w:sz="4" w:space="0"/>
            </w:tcBorders>
            <w:shd w:val="clear" w:color="auto" w:fill="FFFFFF"/>
            <w:vAlign w:val="center"/>
          </w:tcPr>
          <w:p w14:paraId="146463DD">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400"/>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•单层管道</w:t>
            </w:r>
          </w:p>
        </w:tc>
        <w:tc>
          <w:tcPr>
            <w:tcBorders>
              <w:top w:val="single" w:color="auto" w:sz="4" w:space="0"/>
              <w:left w:val="single" w:color="auto" w:sz="4" w:space="0"/>
              <w:right w:val="single" w:color="auto" w:sz="4" w:space="0"/>
            </w:tcBorders>
            <w:shd w:val="clear" w:color="auto" w:fill="FFFFFF"/>
            <w:vAlign w:val="bottom"/>
          </w:tcPr>
          <w:p w14:paraId="4AAE3647">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42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•定期检测管道渗漏情况（内检测、外检测及其他专项检测）</w:t>
            </w:r>
          </w:p>
          <w:p w14:paraId="448AABF3">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42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•根据管道检测结果，制定并落实管道维护方案</w:t>
            </w:r>
          </w:p>
        </w:tc>
      </w:tr>
      <w:tr w14:paraId="18BAF958">
        <w:tblPrEx>
          <w:tblCellMar>
            <w:top w:w="0" w:type="dxa"/>
            <w:left w:w="10" w:type="dxa"/>
            <w:bottom w:w="0" w:type="dxa"/>
            <w:right w:w="10" w:type="dxa"/>
          </w:tblCellMar>
        </w:tblPrEx>
        <w:trPr>
          <w:trHeight w:val="736" w:hRule="exact"/>
          <w:jc w:val="center"/>
        </w:trPr>
        <w:tc>
          <w:tcPr>
            <w:tcBorders>
              <w:top w:val="single" w:color="auto" w:sz="4" w:space="0"/>
              <w:left w:val="single" w:color="auto" w:sz="4" w:space="0"/>
            </w:tcBorders>
            <w:shd w:val="clear" w:color="auto" w:fill="FFFFFF"/>
            <w:vAlign w:val="center"/>
          </w:tcPr>
          <w:p w14:paraId="43B0745B">
            <w:pPr>
              <w:pStyle w:val="33"/>
              <w:keepNext w:val="0"/>
              <w:keepLines w:val="0"/>
              <w:widowControl w:val="0"/>
              <w:shd w:val="clear" w:color="auto" w:fill="auto"/>
              <w:bidi w:val="0"/>
              <w:spacing w:before="0" w:after="0" w:line="240" w:lineRule="auto"/>
              <w:ind w:left="0" w:right="0" w:firstLine="40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2</w:t>
            </w:r>
          </w:p>
        </w:tc>
        <w:tc>
          <w:tcPr>
            <w:tcBorders>
              <w:top w:val="single" w:color="auto" w:sz="4" w:space="0"/>
              <w:left w:val="single" w:color="auto" w:sz="4" w:space="0"/>
            </w:tcBorders>
            <w:shd w:val="clear" w:color="auto" w:fill="FFFFFF"/>
            <w:vAlign w:val="center"/>
          </w:tcPr>
          <w:p w14:paraId="7BCEE257">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400"/>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•双层管道</w:t>
            </w:r>
          </w:p>
          <w:p w14:paraId="16D893AF">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400"/>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•泄漏检测设施</w:t>
            </w:r>
          </w:p>
        </w:tc>
        <w:tc>
          <w:tcPr>
            <w:tcBorders>
              <w:top w:val="single" w:color="auto" w:sz="4" w:space="0"/>
              <w:left w:val="single" w:color="auto" w:sz="4" w:space="0"/>
              <w:right w:val="single" w:color="auto" w:sz="4" w:space="0"/>
            </w:tcBorders>
            <w:shd w:val="clear" w:color="auto" w:fill="FFFFFF"/>
            <w:vAlign w:val="center"/>
          </w:tcPr>
          <w:p w14:paraId="4E8DC08E">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42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•定期检查泄漏检测设施，确保正常运行</w:t>
            </w:r>
          </w:p>
        </w:tc>
      </w:tr>
      <w:tr w14:paraId="725034D2">
        <w:tblPrEx>
          <w:tblCellMar>
            <w:top w:w="0" w:type="dxa"/>
            <w:left w:w="10" w:type="dxa"/>
            <w:bottom w:w="0" w:type="dxa"/>
            <w:right w:w="10" w:type="dxa"/>
          </w:tblCellMar>
        </w:tblPrEx>
        <w:trPr>
          <w:trHeight w:val="576" w:hRule="exact"/>
          <w:jc w:val="center"/>
        </w:trPr>
        <w:tc>
          <w:tcPr>
            <w:gridSpan w:val="3"/>
            <w:tcBorders>
              <w:top w:val="single" w:color="auto" w:sz="4" w:space="0"/>
              <w:left w:val="single" w:color="auto" w:sz="4" w:space="0"/>
              <w:right w:val="single" w:color="auto" w:sz="4" w:space="0"/>
            </w:tcBorders>
            <w:shd w:val="clear" w:color="auto" w:fill="FFFFFF"/>
            <w:vAlign w:val="center"/>
          </w:tcPr>
          <w:p w14:paraId="0406A289">
            <w:pPr>
              <w:pStyle w:val="33"/>
              <w:keepNext w:val="0"/>
              <w:keepLines w:val="0"/>
              <w:widowControl w:val="0"/>
              <w:shd w:val="clear" w:color="auto" w:fill="auto"/>
              <w:bidi w:val="0"/>
              <w:spacing w:before="0" w:after="0" w:line="240" w:lineRule="auto"/>
              <w:ind w:left="0" w:right="0" w:firstLine="42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二、地上管道</w:t>
            </w:r>
          </w:p>
        </w:tc>
      </w:tr>
      <w:tr w14:paraId="74CE900E">
        <w:tblPrEx>
          <w:tblCellMar>
            <w:top w:w="0" w:type="dxa"/>
            <w:left w:w="10" w:type="dxa"/>
            <w:bottom w:w="0" w:type="dxa"/>
            <w:right w:w="10" w:type="dxa"/>
          </w:tblCellMar>
        </w:tblPrEx>
        <w:trPr>
          <w:trHeight w:val="1451" w:hRule="exact"/>
          <w:jc w:val="center"/>
        </w:trPr>
        <w:tc>
          <w:tcPr>
            <w:tcBorders>
              <w:top w:val="single" w:color="auto" w:sz="4" w:space="0"/>
              <w:left w:val="single" w:color="auto" w:sz="4" w:space="0"/>
              <w:bottom w:val="single" w:color="auto" w:sz="4" w:space="0"/>
            </w:tcBorders>
            <w:shd w:val="clear" w:color="auto" w:fill="FFFFFF"/>
            <w:vAlign w:val="center"/>
          </w:tcPr>
          <w:p w14:paraId="7892C905">
            <w:pPr>
              <w:pStyle w:val="33"/>
              <w:keepNext w:val="0"/>
              <w:keepLines w:val="0"/>
              <w:widowControl w:val="0"/>
              <w:shd w:val="clear" w:color="auto" w:fill="auto"/>
              <w:bidi w:val="0"/>
              <w:spacing w:before="0" w:after="0" w:line="240" w:lineRule="auto"/>
              <w:ind w:left="0" w:right="0" w:firstLine="400"/>
              <w:jc w:val="both"/>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1</w:t>
            </w:r>
          </w:p>
        </w:tc>
        <w:tc>
          <w:tcPr>
            <w:tcBorders>
              <w:top w:val="single" w:color="auto" w:sz="4" w:space="0"/>
              <w:left w:val="single" w:color="auto" w:sz="4" w:space="0"/>
              <w:bottom w:val="single" w:color="auto" w:sz="4" w:space="0"/>
            </w:tcBorders>
            <w:shd w:val="clear" w:color="auto" w:fill="FFFFFF"/>
            <w:vAlign w:val="center"/>
          </w:tcPr>
          <w:p w14:paraId="6D33855B">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40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•注意管道附件处的渗漏、泄漏</w:t>
            </w:r>
          </w:p>
        </w:tc>
        <w:tc>
          <w:tcPr>
            <w:tcBorders>
              <w:top w:val="single" w:color="auto" w:sz="4" w:space="0"/>
              <w:left w:val="single" w:color="auto" w:sz="4" w:space="0"/>
              <w:bottom w:val="single" w:color="auto" w:sz="4" w:space="0"/>
              <w:right w:val="single" w:color="auto" w:sz="4" w:space="0"/>
            </w:tcBorders>
            <w:shd w:val="clear" w:color="auto" w:fill="FFFFFF"/>
            <w:vAlign w:val="center"/>
          </w:tcPr>
          <w:p w14:paraId="69F271F4">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42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•定期检测管道渗漏情况</w:t>
            </w:r>
          </w:p>
          <w:p w14:paraId="6F7FFD89">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42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•根据管道检测结果，制定并落实管道维护方案</w:t>
            </w:r>
          </w:p>
          <w:p w14:paraId="41A1BAF9">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42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•日常目视检查</w:t>
            </w:r>
          </w:p>
          <w:p w14:paraId="1FCD9BA8">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42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•有效应对泄漏事件</w:t>
            </w:r>
          </w:p>
        </w:tc>
      </w:tr>
    </w:tbl>
    <w:p w14:paraId="1F25C0E7">
      <w:pPr>
        <w:widowControl w:val="0"/>
        <w:spacing w:after="199" w:line="1" w:lineRule="exact"/>
      </w:pPr>
    </w:p>
    <w:p w14:paraId="0F339EF4">
      <w:pPr>
        <w:pStyle w:val="27"/>
        <w:bidi w:val="0"/>
        <w:rPr>
          <w:rFonts w:hint="eastAsia" w:ascii="仿宋_GB2312" w:hAnsi="仿宋_GB2312" w:eastAsia="仿宋_GB2312" w:cs="仿宋_GB2312"/>
        </w:rPr>
      </w:pPr>
      <w:r>
        <w:rPr>
          <w:rFonts w:hint="eastAsia" w:ascii="仿宋_GB2312" w:hAnsi="仿宋_GB2312" w:eastAsia="仿宋_GB2312" w:cs="仿宋_GB2312"/>
          <w:lang w:val="en-US" w:eastAsia="zh-CN"/>
        </w:rPr>
        <w:t>③</w:t>
      </w:r>
      <w:r>
        <w:rPr>
          <w:rFonts w:hint="eastAsia" w:ascii="仿宋_GB2312" w:hAnsi="仿宋_GB2312" w:eastAsia="仿宋_GB2312" w:cs="仿宋_GB2312"/>
        </w:rPr>
        <w:t>传输泵传输泵造成土壤污染主要有两种情况：</w:t>
      </w:r>
    </w:p>
    <w:p w14:paraId="2718B107">
      <w:pPr>
        <w:pStyle w:val="27"/>
        <w:bidi w:val="0"/>
        <w:rPr>
          <w:rFonts w:hint="eastAsia" w:ascii="仿宋_GB2312" w:hAnsi="仿宋_GB2312" w:eastAsia="仿宋_GB2312" w:cs="仿宋_GB2312"/>
        </w:rPr>
      </w:pPr>
      <w:r>
        <w:rPr>
          <w:rFonts w:hint="eastAsia" w:ascii="仿宋_GB2312" w:hAnsi="仿宋_GB2312" w:eastAsia="仿宋_GB2312" w:cs="仿宋_GB2312"/>
        </w:rPr>
        <w:t>1）驱动轴或者配件的密封处发生泄漏；</w:t>
      </w:r>
    </w:p>
    <w:p w14:paraId="390C9AD8">
      <w:pPr>
        <w:pStyle w:val="27"/>
        <w:bidi w:val="0"/>
        <w:rPr>
          <w:rFonts w:hint="eastAsia" w:ascii="仿宋_GB2312" w:hAnsi="仿宋_GB2312" w:eastAsia="仿宋_GB2312" w:cs="仿宋_GB2312"/>
        </w:rPr>
      </w:pPr>
      <w:r>
        <w:rPr>
          <w:rFonts w:hint="eastAsia" w:ascii="仿宋_GB2312" w:hAnsi="仿宋_GB2312" w:eastAsia="仿宋_GB2312" w:cs="仿宋_GB2312"/>
        </w:rPr>
        <w:t>2）润滑油的泄漏或者满溢。</w:t>
      </w:r>
    </w:p>
    <w:p w14:paraId="0E566DC8">
      <w:pPr>
        <w:pStyle w:val="27"/>
        <w:bidi w:val="0"/>
        <w:rPr>
          <w:rFonts w:hint="eastAsia" w:ascii="仿宋_GB2312" w:hAnsi="仿宋_GB2312" w:eastAsia="仿宋_GB2312" w:cs="仿宋_GB2312"/>
        </w:rPr>
      </w:pPr>
      <w:r>
        <w:rPr>
          <w:rFonts w:hint="eastAsia" w:ascii="仿宋_GB2312" w:hAnsi="仿宋_GB2312" w:eastAsia="仿宋_GB2312" w:cs="仿宋_GB2312"/>
        </w:rPr>
        <w:t>可参考</w:t>
      </w:r>
      <w:r>
        <w:rPr>
          <w:rFonts w:hint="eastAsia" w:ascii="仿宋_GB2312" w:hAnsi="仿宋_GB2312" w:eastAsia="仿宋_GB2312" w:cs="仿宋_GB2312"/>
          <w:lang w:val="en-US" w:eastAsia="zh-CN"/>
        </w:rPr>
        <w:t>下表</w:t>
      </w:r>
      <w:r>
        <w:rPr>
          <w:rFonts w:hint="eastAsia" w:ascii="仿宋_GB2312" w:hAnsi="仿宋_GB2312" w:eastAsia="仿宋_GB2312" w:cs="仿宋_GB2312"/>
        </w:rPr>
        <w:t>开展排查和整改</w:t>
      </w:r>
    </w:p>
    <w:tbl>
      <w:tblPr>
        <w:tblStyle w:val="9"/>
        <w:tblW w:w="0" w:type="auto"/>
        <w:jc w:val="center"/>
        <w:tblLayout w:type="fixed"/>
        <w:tblCellMar>
          <w:top w:w="0" w:type="dxa"/>
          <w:left w:w="10" w:type="dxa"/>
          <w:bottom w:w="0" w:type="dxa"/>
          <w:right w:w="10" w:type="dxa"/>
        </w:tblCellMar>
      </w:tblPr>
      <w:tblGrid>
        <w:gridCol w:w="1181"/>
        <w:gridCol w:w="3701"/>
        <w:gridCol w:w="4003"/>
      </w:tblGrid>
      <w:tr w14:paraId="7FAE1B55">
        <w:tblPrEx>
          <w:tblCellMar>
            <w:top w:w="0" w:type="dxa"/>
            <w:left w:w="10" w:type="dxa"/>
            <w:bottom w:w="0" w:type="dxa"/>
            <w:right w:w="10" w:type="dxa"/>
          </w:tblCellMar>
        </w:tblPrEx>
        <w:trPr>
          <w:trHeight w:val="586" w:hRule="exact"/>
          <w:jc w:val="center"/>
        </w:trPr>
        <w:tc>
          <w:tcPr>
            <w:tcBorders>
              <w:top w:val="single" w:color="auto" w:sz="4" w:space="0"/>
              <w:left w:val="single" w:color="auto" w:sz="4" w:space="0"/>
            </w:tcBorders>
            <w:shd w:val="clear" w:color="auto" w:fill="FFFFFF"/>
            <w:vAlign w:val="center"/>
          </w:tcPr>
          <w:p w14:paraId="3B7D475E">
            <w:pPr>
              <w:pStyle w:val="33"/>
              <w:keepNext w:val="0"/>
              <w:keepLines w:val="0"/>
              <w:widowControl w:val="0"/>
              <w:shd w:val="clear" w:color="auto" w:fill="auto"/>
              <w:bidi w:val="0"/>
              <w:spacing w:before="0" w:after="0" w:line="240" w:lineRule="auto"/>
              <w:ind w:left="0" w:right="0" w:firstLine="400"/>
              <w:jc w:val="left"/>
              <w:rPr>
                <w:rFonts w:hint="eastAsia" w:ascii="仿宋_GB2312" w:hAnsi="仿宋_GB2312" w:eastAsia="仿宋_GB2312" w:cs="仿宋_GB2312"/>
                <w:sz w:val="21"/>
                <w:szCs w:val="21"/>
                <w:lang w:eastAsia="zh-CN"/>
              </w:rPr>
            </w:pPr>
            <w:r>
              <w:rPr>
                <w:rFonts w:hint="eastAsia" w:ascii="仿宋_GB2312" w:hAnsi="仿宋_GB2312" w:eastAsia="仿宋_GB2312" w:cs="仿宋_GB2312"/>
                <w:b/>
                <w:bCs/>
                <w:color w:val="000000"/>
                <w:spacing w:val="0"/>
                <w:w w:val="100"/>
                <w:position w:val="0"/>
                <w:sz w:val="21"/>
                <w:szCs w:val="21"/>
                <w:lang w:eastAsia="zh-CN"/>
              </w:rPr>
              <w:t>序号</w:t>
            </w:r>
          </w:p>
        </w:tc>
        <w:tc>
          <w:tcPr>
            <w:tcBorders>
              <w:top w:val="single" w:color="auto" w:sz="4" w:space="0"/>
              <w:left w:val="single" w:color="auto" w:sz="4" w:space="0"/>
            </w:tcBorders>
            <w:shd w:val="clear" w:color="auto" w:fill="FFFFFF"/>
            <w:vAlign w:val="center"/>
          </w:tcPr>
          <w:p w14:paraId="3A6ADE2A">
            <w:pPr>
              <w:pStyle w:val="33"/>
              <w:keepNext w:val="0"/>
              <w:keepLines w:val="0"/>
              <w:widowControl w:val="0"/>
              <w:shd w:val="clear" w:color="auto" w:fill="auto"/>
              <w:bidi w:val="0"/>
              <w:spacing w:before="0" w:after="0" w:line="240" w:lineRule="auto"/>
              <w:ind w:left="0" w:right="0" w:firstLine="420"/>
              <w:jc w:val="left"/>
              <w:rPr>
                <w:rFonts w:hint="eastAsia" w:ascii="仿宋_GB2312" w:hAnsi="仿宋_GB2312" w:eastAsia="仿宋_GB2312" w:cs="仿宋_GB2312"/>
                <w:sz w:val="21"/>
                <w:szCs w:val="21"/>
              </w:rPr>
            </w:pPr>
            <w:r>
              <w:rPr>
                <w:rFonts w:hint="eastAsia" w:ascii="仿宋_GB2312" w:hAnsi="仿宋_GB2312" w:eastAsia="仿宋_GB2312" w:cs="仿宋_GB2312"/>
                <w:b/>
                <w:bCs/>
                <w:color w:val="000000"/>
                <w:spacing w:val="0"/>
                <w:w w:val="100"/>
                <w:position w:val="0"/>
                <w:sz w:val="21"/>
                <w:szCs w:val="21"/>
              </w:rPr>
              <w:t>土壤污染预防设施/功能</w:t>
            </w:r>
          </w:p>
        </w:tc>
        <w:tc>
          <w:tcPr>
            <w:tcBorders>
              <w:top w:val="single" w:color="auto" w:sz="4" w:space="0"/>
              <w:left w:val="single" w:color="auto" w:sz="4" w:space="0"/>
              <w:right w:val="single" w:color="auto" w:sz="4" w:space="0"/>
            </w:tcBorders>
            <w:shd w:val="clear" w:color="auto" w:fill="FFFFFF"/>
            <w:vAlign w:val="center"/>
          </w:tcPr>
          <w:p w14:paraId="6C0B82E3">
            <w:pPr>
              <w:pStyle w:val="33"/>
              <w:keepNext w:val="0"/>
              <w:keepLines w:val="0"/>
              <w:widowControl w:val="0"/>
              <w:shd w:val="clear" w:color="auto" w:fill="auto"/>
              <w:bidi w:val="0"/>
              <w:spacing w:before="0" w:after="0" w:line="240" w:lineRule="auto"/>
              <w:ind w:left="400" w:right="0" w:firstLine="20"/>
              <w:jc w:val="left"/>
              <w:rPr>
                <w:rFonts w:hint="eastAsia" w:ascii="仿宋_GB2312" w:hAnsi="仿宋_GB2312" w:eastAsia="仿宋_GB2312" w:cs="仿宋_GB2312"/>
                <w:sz w:val="21"/>
                <w:szCs w:val="21"/>
              </w:rPr>
            </w:pPr>
            <w:r>
              <w:rPr>
                <w:rFonts w:hint="eastAsia" w:ascii="仿宋_GB2312" w:hAnsi="仿宋_GB2312" w:eastAsia="仿宋_GB2312" w:cs="仿宋_GB2312"/>
                <w:b/>
                <w:bCs/>
                <w:color w:val="000000"/>
                <w:spacing w:val="0"/>
                <w:w w:val="100"/>
                <w:position w:val="0"/>
                <w:sz w:val="21"/>
                <w:szCs w:val="21"/>
              </w:rPr>
              <w:t>土壤污染预防措施</w:t>
            </w:r>
          </w:p>
        </w:tc>
      </w:tr>
      <w:tr w14:paraId="4013401B">
        <w:tblPrEx>
          <w:tblCellMar>
            <w:top w:w="0" w:type="dxa"/>
            <w:left w:w="10" w:type="dxa"/>
            <w:bottom w:w="0" w:type="dxa"/>
            <w:right w:w="10" w:type="dxa"/>
          </w:tblCellMar>
        </w:tblPrEx>
        <w:trPr>
          <w:trHeight w:val="576" w:hRule="exact"/>
          <w:jc w:val="center"/>
        </w:trPr>
        <w:tc>
          <w:tcPr>
            <w:gridSpan w:val="3"/>
            <w:tcBorders>
              <w:top w:val="single" w:color="auto" w:sz="4" w:space="0"/>
              <w:left w:val="single" w:color="auto" w:sz="4" w:space="0"/>
              <w:right w:val="single" w:color="auto" w:sz="4" w:space="0"/>
            </w:tcBorders>
            <w:shd w:val="clear" w:color="auto" w:fill="FFFFFF"/>
            <w:vAlign w:val="center"/>
          </w:tcPr>
          <w:p w14:paraId="1584DE70">
            <w:pPr>
              <w:pStyle w:val="33"/>
              <w:keepNext w:val="0"/>
              <w:keepLines w:val="0"/>
              <w:widowControl w:val="0"/>
              <w:shd w:val="clear" w:color="auto" w:fill="auto"/>
              <w:bidi w:val="0"/>
              <w:spacing w:before="0" w:after="0" w:line="240" w:lineRule="auto"/>
              <w:ind w:left="0" w:right="0" w:firstLine="44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一、密封效果较好的泵（例如釆用双端面机械密封等）</w:t>
            </w:r>
          </w:p>
        </w:tc>
      </w:tr>
      <w:tr w14:paraId="7A5B626A">
        <w:tblPrEx>
          <w:tblCellMar>
            <w:top w:w="0" w:type="dxa"/>
            <w:left w:w="10" w:type="dxa"/>
            <w:bottom w:w="0" w:type="dxa"/>
            <w:right w:w="10" w:type="dxa"/>
          </w:tblCellMar>
        </w:tblPrEx>
        <w:trPr>
          <w:trHeight w:val="773" w:hRule="exact"/>
          <w:jc w:val="center"/>
        </w:trPr>
        <w:tc>
          <w:tcPr>
            <w:tcBorders>
              <w:top w:val="single" w:color="auto" w:sz="4" w:space="0"/>
              <w:left w:val="single" w:color="auto" w:sz="4" w:space="0"/>
            </w:tcBorders>
            <w:shd w:val="clear" w:color="auto" w:fill="FFFFFF"/>
            <w:vAlign w:val="center"/>
          </w:tcPr>
          <w:p w14:paraId="0973239C">
            <w:pPr>
              <w:pStyle w:val="33"/>
              <w:keepNext w:val="0"/>
              <w:keepLines w:val="0"/>
              <w:widowControl w:val="0"/>
              <w:shd w:val="clear" w:color="auto" w:fill="auto"/>
              <w:bidi w:val="0"/>
              <w:spacing w:before="0" w:after="0" w:line="240" w:lineRule="auto"/>
              <w:ind w:left="0" w:right="0" w:firstLine="400"/>
              <w:jc w:val="both"/>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1</w:t>
            </w:r>
          </w:p>
        </w:tc>
        <w:tc>
          <w:tcPr>
            <w:tcBorders>
              <w:top w:val="single" w:color="auto" w:sz="4" w:space="0"/>
              <w:left w:val="single" w:color="auto" w:sz="4" w:space="0"/>
            </w:tcBorders>
            <w:shd w:val="clear" w:color="auto" w:fill="FFFFFF"/>
            <w:vAlign w:val="center"/>
          </w:tcPr>
          <w:p w14:paraId="50D8AE5E">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42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•普通阻隔设施</w:t>
            </w:r>
          </w:p>
          <w:p w14:paraId="47FF3A65">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42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•进料端安装关闭控制阀门</w:t>
            </w:r>
          </w:p>
        </w:tc>
        <w:tc>
          <w:tcPr>
            <w:tcBorders>
              <w:top w:val="single" w:color="auto" w:sz="4" w:space="0"/>
              <w:left w:val="single" w:color="auto" w:sz="4" w:space="0"/>
              <w:right w:val="single" w:color="auto" w:sz="4" w:space="0"/>
            </w:tcBorders>
            <w:shd w:val="clear" w:color="auto" w:fill="FFFFFF"/>
            <w:vAlign w:val="center"/>
          </w:tcPr>
          <w:p w14:paraId="1EBAAFF0">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400" w:right="0" w:firstLine="2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•制定并落实泵检修方案</w:t>
            </w:r>
          </w:p>
          <w:p w14:paraId="5BB8C2D2">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400" w:right="0" w:firstLine="2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•日常目视检查有效应对泄漏事件</w:t>
            </w:r>
          </w:p>
        </w:tc>
      </w:tr>
      <w:tr w14:paraId="1E4140DB">
        <w:tblPrEx>
          <w:tblCellMar>
            <w:top w:w="0" w:type="dxa"/>
            <w:left w:w="10" w:type="dxa"/>
            <w:bottom w:w="0" w:type="dxa"/>
            <w:right w:w="10" w:type="dxa"/>
          </w:tblCellMar>
        </w:tblPrEx>
        <w:trPr>
          <w:trHeight w:val="1163" w:hRule="exact"/>
          <w:jc w:val="center"/>
        </w:trPr>
        <w:tc>
          <w:tcPr>
            <w:tcBorders>
              <w:top w:val="single" w:color="auto" w:sz="4" w:space="0"/>
              <w:left w:val="single" w:color="auto" w:sz="4" w:space="0"/>
            </w:tcBorders>
            <w:shd w:val="clear" w:color="auto" w:fill="FFFFFF"/>
            <w:vAlign w:val="center"/>
          </w:tcPr>
          <w:p w14:paraId="66ACFF5A">
            <w:pPr>
              <w:pStyle w:val="33"/>
              <w:keepNext w:val="0"/>
              <w:keepLines w:val="0"/>
              <w:widowControl w:val="0"/>
              <w:shd w:val="clear" w:color="auto" w:fill="auto"/>
              <w:bidi w:val="0"/>
              <w:spacing w:before="0" w:after="0" w:line="240" w:lineRule="auto"/>
              <w:ind w:left="0" w:right="0" w:firstLine="400"/>
              <w:jc w:val="both"/>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2</w:t>
            </w:r>
          </w:p>
        </w:tc>
        <w:tc>
          <w:tcPr>
            <w:tcBorders>
              <w:top w:val="single" w:color="auto" w:sz="4" w:space="0"/>
              <w:left w:val="single" w:color="auto" w:sz="4" w:space="0"/>
            </w:tcBorders>
            <w:shd w:val="clear" w:color="auto" w:fill="FFFFFF"/>
            <w:vAlign w:val="center"/>
          </w:tcPr>
          <w:p w14:paraId="350C8B38">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42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•对整个泵体或者关键部件设置防滴漏设施</w:t>
            </w:r>
          </w:p>
          <w:p w14:paraId="15C421BC">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42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•进料端安装关闭控制阀门</w:t>
            </w:r>
          </w:p>
        </w:tc>
        <w:tc>
          <w:tcPr>
            <w:tcBorders>
              <w:top w:val="single" w:color="auto" w:sz="4" w:space="0"/>
              <w:left w:val="single" w:color="auto" w:sz="4" w:space="0"/>
              <w:right w:val="single" w:color="auto" w:sz="4" w:space="0"/>
            </w:tcBorders>
            <w:shd w:val="clear" w:color="auto" w:fill="FFFFFF"/>
            <w:vAlign w:val="center"/>
          </w:tcPr>
          <w:p w14:paraId="7E3C9186">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400" w:right="0" w:firstLine="2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•定期清空防滴漏设施•制定并实施检修方案•日常目视检查</w:t>
            </w:r>
          </w:p>
          <w:p w14:paraId="63F62A1D">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400" w:right="0" w:firstLine="2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•日常维护</w:t>
            </w:r>
          </w:p>
        </w:tc>
      </w:tr>
      <w:tr w14:paraId="0E7C9FC7">
        <w:tblPrEx>
          <w:tblCellMar>
            <w:top w:w="0" w:type="dxa"/>
            <w:left w:w="10" w:type="dxa"/>
            <w:bottom w:w="0" w:type="dxa"/>
            <w:right w:w="10" w:type="dxa"/>
          </w:tblCellMar>
        </w:tblPrEx>
        <w:trPr>
          <w:trHeight w:val="1678" w:hRule="exact"/>
          <w:jc w:val="center"/>
        </w:trPr>
        <w:tc>
          <w:tcPr>
            <w:tcBorders>
              <w:top w:val="single" w:color="auto" w:sz="4" w:space="0"/>
              <w:left w:val="single" w:color="auto" w:sz="4" w:space="0"/>
            </w:tcBorders>
            <w:shd w:val="clear" w:color="auto" w:fill="FFFFFF"/>
            <w:vAlign w:val="center"/>
          </w:tcPr>
          <w:p w14:paraId="11B28925">
            <w:pPr>
              <w:pStyle w:val="33"/>
              <w:keepNext w:val="0"/>
              <w:keepLines w:val="0"/>
              <w:widowControl w:val="0"/>
              <w:shd w:val="clear" w:color="auto" w:fill="auto"/>
              <w:bidi w:val="0"/>
              <w:spacing w:before="0" w:after="0" w:line="240" w:lineRule="auto"/>
              <w:ind w:left="0" w:right="0" w:firstLine="400"/>
              <w:jc w:val="both"/>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3</w:t>
            </w:r>
          </w:p>
        </w:tc>
        <w:tc>
          <w:tcPr>
            <w:tcBorders>
              <w:top w:val="single" w:color="auto" w:sz="4" w:space="0"/>
              <w:left w:val="single" w:color="auto" w:sz="4" w:space="0"/>
            </w:tcBorders>
            <w:shd w:val="clear" w:color="auto" w:fill="FFFFFF"/>
            <w:vAlign w:val="center"/>
          </w:tcPr>
          <w:p w14:paraId="268F7359">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42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•防渗阻隔系统，且能防止雨水进入，或者及时有效排出雨水</w:t>
            </w:r>
          </w:p>
          <w:p w14:paraId="0CFFDFED">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42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•进料端安装关闭控制阀门</w:t>
            </w:r>
          </w:p>
          <w:p w14:paraId="042C8F0B">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42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•渗漏、流失的液体能得到有效</w:t>
            </w:r>
          </w:p>
          <w:p w14:paraId="234A6296">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收集并定期清理</w:t>
            </w:r>
          </w:p>
        </w:tc>
        <w:tc>
          <w:tcPr>
            <w:tcBorders>
              <w:top w:val="single" w:color="auto" w:sz="4" w:space="0"/>
              <w:left w:val="single" w:color="auto" w:sz="4" w:space="0"/>
              <w:right w:val="single" w:color="auto" w:sz="4" w:space="0"/>
            </w:tcBorders>
            <w:shd w:val="clear" w:color="auto" w:fill="FFFFFF"/>
            <w:vAlign w:val="center"/>
          </w:tcPr>
          <w:p w14:paraId="3987F08F">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400" w:right="0" w:firstLine="2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•定期开展防渗效果检查•日常目视检查•日常维护</w:t>
            </w:r>
          </w:p>
        </w:tc>
      </w:tr>
      <w:tr w14:paraId="6B1ECC8E">
        <w:tblPrEx>
          <w:tblCellMar>
            <w:top w:w="0" w:type="dxa"/>
            <w:left w:w="10" w:type="dxa"/>
            <w:bottom w:w="0" w:type="dxa"/>
            <w:right w:w="10" w:type="dxa"/>
          </w:tblCellMar>
        </w:tblPrEx>
        <w:trPr>
          <w:trHeight w:val="576" w:hRule="exact"/>
          <w:jc w:val="center"/>
        </w:trPr>
        <w:tc>
          <w:tcPr>
            <w:gridSpan w:val="3"/>
            <w:tcBorders>
              <w:top w:val="single" w:color="auto" w:sz="4" w:space="0"/>
              <w:left w:val="single" w:color="auto" w:sz="4" w:space="0"/>
              <w:right w:val="single" w:color="auto" w:sz="4" w:space="0"/>
            </w:tcBorders>
            <w:shd w:val="clear" w:color="auto" w:fill="FFFFFF"/>
            <w:vAlign w:val="center"/>
          </w:tcPr>
          <w:p w14:paraId="3BE0FE04">
            <w:pPr>
              <w:pStyle w:val="33"/>
              <w:keepNext w:val="0"/>
              <w:keepLines w:val="0"/>
              <w:widowControl w:val="0"/>
              <w:shd w:val="clear" w:color="auto" w:fill="auto"/>
              <w:bidi w:val="0"/>
              <w:spacing w:before="0" w:after="0" w:line="240" w:lineRule="auto"/>
              <w:ind w:left="0" w:right="0" w:firstLine="44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二、密封效果一般的泵（例如采用单端面机械密封等）</w:t>
            </w:r>
          </w:p>
        </w:tc>
      </w:tr>
      <w:tr w14:paraId="496D590B">
        <w:tblPrEx>
          <w:tblCellMar>
            <w:top w:w="0" w:type="dxa"/>
            <w:left w:w="10" w:type="dxa"/>
            <w:bottom w:w="0" w:type="dxa"/>
            <w:right w:w="10" w:type="dxa"/>
          </w:tblCellMar>
        </w:tblPrEx>
        <w:trPr>
          <w:trHeight w:val="998" w:hRule="exact"/>
          <w:jc w:val="center"/>
        </w:trPr>
        <w:tc>
          <w:tcPr>
            <w:tcBorders>
              <w:top w:val="single" w:color="auto" w:sz="4" w:space="0"/>
              <w:left w:val="single" w:color="auto" w:sz="4" w:space="0"/>
            </w:tcBorders>
            <w:shd w:val="clear" w:color="auto" w:fill="FFFFFF"/>
            <w:vAlign w:val="center"/>
          </w:tcPr>
          <w:p w14:paraId="30FCF7EB">
            <w:pPr>
              <w:pStyle w:val="33"/>
              <w:keepNext w:val="0"/>
              <w:keepLines w:val="0"/>
              <w:widowControl w:val="0"/>
              <w:shd w:val="clear" w:color="auto" w:fill="auto"/>
              <w:bidi w:val="0"/>
              <w:spacing w:before="0" w:after="0" w:line="240" w:lineRule="auto"/>
              <w:ind w:left="0" w:right="0" w:firstLine="400"/>
              <w:jc w:val="both"/>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1</w:t>
            </w:r>
          </w:p>
        </w:tc>
        <w:tc>
          <w:tcPr>
            <w:tcBorders>
              <w:top w:val="single" w:color="auto" w:sz="4" w:space="0"/>
              <w:left w:val="single" w:color="auto" w:sz="4" w:space="0"/>
            </w:tcBorders>
            <w:shd w:val="clear" w:color="auto" w:fill="FFFFFF"/>
            <w:vAlign w:val="center"/>
          </w:tcPr>
          <w:p w14:paraId="100D2D5F">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42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•对整个泵体或者关键部件设置防滴漏设施</w:t>
            </w:r>
          </w:p>
          <w:p w14:paraId="21664B07">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42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•进料端安装关闭控制阀门</w:t>
            </w:r>
          </w:p>
        </w:tc>
        <w:tc>
          <w:tcPr>
            <w:tcBorders>
              <w:top w:val="single" w:color="auto" w:sz="4" w:space="0"/>
              <w:left w:val="single" w:color="auto" w:sz="4" w:space="0"/>
              <w:right w:val="single" w:color="auto" w:sz="4" w:space="0"/>
            </w:tcBorders>
            <w:shd w:val="clear" w:color="auto" w:fill="FFFFFF"/>
            <w:vAlign w:val="center"/>
          </w:tcPr>
          <w:p w14:paraId="4E8F4A9E">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400" w:right="0" w:firstLine="2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•定期清空防滴漏设施•制定并落实泵检修方案•日常目视检查•日常维护</w:t>
            </w:r>
          </w:p>
        </w:tc>
      </w:tr>
      <w:tr w14:paraId="09CC95C4">
        <w:tblPrEx>
          <w:tblCellMar>
            <w:top w:w="0" w:type="dxa"/>
            <w:left w:w="10" w:type="dxa"/>
            <w:bottom w:w="0" w:type="dxa"/>
            <w:right w:w="10" w:type="dxa"/>
          </w:tblCellMar>
        </w:tblPrEx>
        <w:trPr>
          <w:trHeight w:val="1730" w:hRule="exact"/>
          <w:jc w:val="center"/>
        </w:trPr>
        <w:tc>
          <w:tcPr>
            <w:tcBorders>
              <w:top w:val="single" w:color="auto" w:sz="4" w:space="0"/>
              <w:left w:val="single" w:color="auto" w:sz="4" w:space="0"/>
            </w:tcBorders>
            <w:shd w:val="clear" w:color="auto" w:fill="FFFFFF"/>
            <w:vAlign w:val="center"/>
          </w:tcPr>
          <w:p w14:paraId="2233FB52">
            <w:pPr>
              <w:pStyle w:val="33"/>
              <w:keepNext w:val="0"/>
              <w:keepLines w:val="0"/>
              <w:widowControl w:val="0"/>
              <w:shd w:val="clear" w:color="auto" w:fill="auto"/>
              <w:bidi w:val="0"/>
              <w:spacing w:before="0" w:after="0" w:line="240" w:lineRule="auto"/>
              <w:ind w:left="0" w:right="0" w:firstLine="400"/>
              <w:jc w:val="both"/>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2</w:t>
            </w:r>
          </w:p>
        </w:tc>
        <w:tc>
          <w:tcPr>
            <w:tcBorders>
              <w:top w:val="single" w:color="auto" w:sz="4" w:space="0"/>
              <w:left w:val="single" w:color="auto" w:sz="4" w:space="0"/>
            </w:tcBorders>
            <w:shd w:val="clear" w:color="auto" w:fill="FFFFFF"/>
            <w:vAlign w:val="center"/>
          </w:tcPr>
          <w:p w14:paraId="7B84BFDD">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42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•防渗阻隔系统，且能防止雨水进入，或者及时有效排出雨水</w:t>
            </w:r>
          </w:p>
          <w:p w14:paraId="2B37DDDE">
            <w:pPr>
              <w:pStyle w:val="33"/>
              <w:keepNext w:val="0"/>
              <w:keepLines w:val="0"/>
              <w:pageBreakBefore w:val="0"/>
              <w:widowControl w:val="0"/>
              <w:shd w:val="clear" w:color="auto" w:fill="auto"/>
              <w:kinsoku/>
              <w:wordWrap/>
              <w:overflowPunct/>
              <w:topLinePunct w:val="0"/>
              <w:autoSpaceDE/>
              <w:autoSpaceDN/>
              <w:bidi w:val="0"/>
              <w:adjustRightInd/>
              <w:snapToGrid/>
              <w:spacing w:before="0" w:after="40" w:line="240" w:lineRule="auto"/>
              <w:ind w:left="0" w:right="0" w:firstLine="42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•进料端安装关闭控制阀门</w:t>
            </w:r>
          </w:p>
          <w:p w14:paraId="19F24333">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42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•渗漏、流失的液体能得到有效收集并定期清理</w:t>
            </w:r>
          </w:p>
        </w:tc>
        <w:tc>
          <w:tcPr>
            <w:tcBorders>
              <w:top w:val="single" w:color="auto" w:sz="4" w:space="0"/>
              <w:left w:val="single" w:color="auto" w:sz="4" w:space="0"/>
              <w:right w:val="single" w:color="auto" w:sz="4" w:space="0"/>
            </w:tcBorders>
            <w:shd w:val="clear" w:color="auto" w:fill="FFFFFF"/>
            <w:vAlign w:val="center"/>
          </w:tcPr>
          <w:p w14:paraId="4891D9F8">
            <w:pPr>
              <w:pStyle w:val="33"/>
              <w:keepNext w:val="0"/>
              <w:keepLines w:val="0"/>
              <w:pageBreakBefore w:val="0"/>
              <w:widowControl w:val="0"/>
              <w:shd w:val="clear" w:color="auto" w:fill="auto"/>
              <w:kinsoku/>
              <w:wordWrap/>
              <w:overflowPunct/>
              <w:topLinePunct w:val="0"/>
              <w:autoSpaceDE/>
              <w:autoSpaceDN/>
              <w:bidi w:val="0"/>
              <w:adjustRightInd/>
              <w:snapToGrid/>
              <w:spacing w:before="0" w:after="40" w:line="240" w:lineRule="auto"/>
              <w:ind w:left="0" w:right="0" w:firstLine="40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•定期开展防渗效果检查</w:t>
            </w:r>
          </w:p>
          <w:p w14:paraId="3E652A78">
            <w:pPr>
              <w:pStyle w:val="33"/>
              <w:keepNext w:val="0"/>
              <w:keepLines w:val="0"/>
              <w:pageBreakBefore w:val="0"/>
              <w:widowControl w:val="0"/>
              <w:shd w:val="clear" w:color="auto" w:fill="auto"/>
              <w:kinsoku/>
              <w:wordWrap/>
              <w:overflowPunct/>
              <w:topLinePunct w:val="0"/>
              <w:autoSpaceDE/>
              <w:autoSpaceDN/>
              <w:bidi w:val="0"/>
              <w:adjustRightInd/>
              <w:snapToGrid/>
              <w:spacing w:before="0" w:after="40" w:line="240" w:lineRule="auto"/>
              <w:ind w:left="0" w:right="0" w:firstLine="40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•日常目视检查</w:t>
            </w:r>
          </w:p>
          <w:p w14:paraId="28AF6B4E">
            <w:pPr>
              <w:pStyle w:val="33"/>
              <w:keepNext w:val="0"/>
              <w:keepLines w:val="0"/>
              <w:pageBreakBefore w:val="0"/>
              <w:widowControl w:val="0"/>
              <w:shd w:val="clear" w:color="auto" w:fill="auto"/>
              <w:kinsoku/>
              <w:wordWrap/>
              <w:overflowPunct/>
              <w:topLinePunct w:val="0"/>
              <w:autoSpaceDE/>
              <w:autoSpaceDN/>
              <w:bidi w:val="0"/>
              <w:adjustRightInd/>
              <w:snapToGrid/>
              <w:spacing w:before="0" w:after="40" w:line="240" w:lineRule="auto"/>
              <w:ind w:left="0" w:right="0" w:firstLine="40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•日常维护</w:t>
            </w:r>
          </w:p>
        </w:tc>
      </w:tr>
      <w:tr w14:paraId="1E8B33C5">
        <w:tblPrEx>
          <w:tblCellMar>
            <w:top w:w="0" w:type="dxa"/>
            <w:left w:w="10" w:type="dxa"/>
            <w:bottom w:w="0" w:type="dxa"/>
            <w:right w:w="10" w:type="dxa"/>
          </w:tblCellMar>
        </w:tblPrEx>
        <w:trPr>
          <w:trHeight w:val="576" w:hRule="exact"/>
          <w:jc w:val="center"/>
        </w:trPr>
        <w:tc>
          <w:tcPr>
            <w:gridSpan w:val="3"/>
            <w:tcBorders>
              <w:top w:val="single" w:color="auto" w:sz="4" w:space="0"/>
              <w:left w:val="single" w:color="auto" w:sz="4" w:space="0"/>
              <w:right w:val="single" w:color="auto" w:sz="4" w:space="0"/>
            </w:tcBorders>
            <w:shd w:val="clear" w:color="auto" w:fill="FFFFFF"/>
            <w:vAlign w:val="center"/>
          </w:tcPr>
          <w:p w14:paraId="5B6481FB">
            <w:pPr>
              <w:pStyle w:val="33"/>
              <w:keepNext w:val="0"/>
              <w:keepLines w:val="0"/>
              <w:widowControl w:val="0"/>
              <w:shd w:val="clear" w:color="auto" w:fill="auto"/>
              <w:bidi w:val="0"/>
              <w:spacing w:before="0" w:after="0" w:line="240" w:lineRule="auto"/>
              <w:ind w:left="0" w:right="0" w:firstLine="44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三、无泄漏离心泵（例如磁力泵、屏蔽泵等）</w:t>
            </w:r>
          </w:p>
        </w:tc>
      </w:tr>
      <w:tr w14:paraId="2F2A5DC3">
        <w:tblPrEx>
          <w:tblCellMar>
            <w:top w:w="0" w:type="dxa"/>
            <w:left w:w="10" w:type="dxa"/>
            <w:bottom w:w="0" w:type="dxa"/>
            <w:right w:w="10" w:type="dxa"/>
          </w:tblCellMar>
        </w:tblPrEx>
        <w:trPr>
          <w:trHeight w:val="750" w:hRule="exact"/>
          <w:jc w:val="center"/>
        </w:trPr>
        <w:tc>
          <w:tcPr>
            <w:tcBorders>
              <w:top w:val="single" w:color="auto" w:sz="4" w:space="0"/>
              <w:left w:val="single" w:color="auto" w:sz="4" w:space="0"/>
              <w:bottom w:val="single" w:color="auto" w:sz="4" w:space="0"/>
            </w:tcBorders>
            <w:shd w:val="clear" w:color="auto" w:fill="FFFFFF"/>
            <w:vAlign w:val="center"/>
          </w:tcPr>
          <w:p w14:paraId="7475368F">
            <w:pPr>
              <w:pStyle w:val="33"/>
              <w:keepNext w:val="0"/>
              <w:keepLines w:val="0"/>
              <w:widowControl w:val="0"/>
              <w:shd w:val="clear" w:color="auto" w:fill="auto"/>
              <w:bidi w:val="0"/>
              <w:spacing w:before="0" w:after="0" w:line="240" w:lineRule="auto"/>
              <w:ind w:left="0" w:right="0" w:firstLine="40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1</w:t>
            </w:r>
          </w:p>
        </w:tc>
        <w:tc>
          <w:tcPr>
            <w:tcBorders>
              <w:top w:val="single" w:color="auto" w:sz="4" w:space="0"/>
              <w:left w:val="single" w:color="auto" w:sz="4" w:space="0"/>
              <w:bottom w:val="single" w:color="auto" w:sz="4" w:space="0"/>
            </w:tcBorders>
            <w:shd w:val="clear" w:color="auto" w:fill="FFFFFF"/>
            <w:vAlign w:val="center"/>
          </w:tcPr>
          <w:p w14:paraId="0B73E198">
            <w:pPr>
              <w:pStyle w:val="33"/>
              <w:keepNext w:val="0"/>
              <w:keepLines w:val="0"/>
              <w:widowControl w:val="0"/>
              <w:shd w:val="clear" w:color="auto" w:fill="auto"/>
              <w:bidi w:val="0"/>
              <w:spacing w:before="0" w:after="0" w:line="240" w:lineRule="auto"/>
              <w:ind w:left="0" w:right="0" w:firstLine="42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•进料端安装关闭控制阀门</w:t>
            </w:r>
          </w:p>
        </w:tc>
        <w:tc>
          <w:tcPr>
            <w:tcBorders>
              <w:top w:val="single" w:color="auto" w:sz="4" w:space="0"/>
              <w:left w:val="single" w:color="auto" w:sz="4" w:space="0"/>
              <w:bottom w:val="single" w:color="auto" w:sz="4" w:space="0"/>
              <w:right w:val="single" w:color="auto" w:sz="4" w:space="0"/>
            </w:tcBorders>
            <w:shd w:val="clear" w:color="auto" w:fill="FFFFFF"/>
            <w:vAlign w:val="bottom"/>
          </w:tcPr>
          <w:p w14:paraId="407CE74F">
            <w:pPr>
              <w:pStyle w:val="33"/>
              <w:keepNext w:val="0"/>
              <w:keepLines w:val="0"/>
              <w:widowControl w:val="0"/>
              <w:shd w:val="clear" w:color="auto" w:fill="auto"/>
              <w:bidi w:val="0"/>
              <w:spacing w:before="0" w:after="0" w:line="240" w:lineRule="auto"/>
              <w:ind w:left="0" w:right="0" w:firstLine="40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•日常目视检查</w:t>
            </w:r>
          </w:p>
          <w:p w14:paraId="5B77B6EC">
            <w:pPr>
              <w:pStyle w:val="33"/>
              <w:keepNext w:val="0"/>
              <w:keepLines w:val="0"/>
              <w:widowControl w:val="0"/>
              <w:shd w:val="clear" w:color="auto" w:fill="auto"/>
              <w:bidi w:val="0"/>
              <w:spacing w:before="0" w:after="0" w:line="240" w:lineRule="auto"/>
              <w:ind w:left="0" w:right="0" w:firstLine="40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•日常维护</w:t>
            </w:r>
          </w:p>
        </w:tc>
      </w:tr>
    </w:tbl>
    <w:p w14:paraId="358236E9">
      <w:pPr>
        <w:pStyle w:val="27"/>
        <w:bidi w:val="0"/>
        <w:rPr>
          <w:rFonts w:hint="eastAsia" w:ascii="仿宋_GB2312" w:hAnsi="仿宋_GB2312" w:eastAsia="仿宋_GB2312" w:cs="仿宋_GB2312"/>
        </w:rPr>
      </w:pPr>
      <w:r>
        <w:rPr>
          <w:rFonts w:hint="eastAsia" w:ascii="仿宋_GB2312" w:hAnsi="仿宋_GB2312" w:eastAsia="仿宋_GB2312" w:cs="仿宋_GB2312"/>
          <w:lang w:val="zh-CN" w:eastAsia="zh-CN"/>
        </w:rPr>
        <w:t>（3）</w:t>
      </w:r>
      <w:r>
        <w:rPr>
          <w:rFonts w:hint="eastAsia" w:ascii="仿宋_GB2312" w:hAnsi="仿宋_GB2312" w:eastAsia="仿宋_GB2312" w:cs="仿宋_GB2312"/>
        </w:rPr>
        <w:t>货物的储存和传输</w:t>
      </w:r>
    </w:p>
    <w:p w14:paraId="00B0D2FB">
      <w:pPr>
        <w:pStyle w:val="27"/>
        <w:bidi w:val="0"/>
        <w:rPr>
          <w:rFonts w:hint="eastAsia" w:ascii="仿宋_GB2312" w:hAnsi="仿宋_GB2312" w:eastAsia="仿宋_GB2312" w:cs="仿宋_GB2312"/>
        </w:rPr>
      </w:pPr>
      <w:r>
        <w:rPr>
          <w:rFonts w:hint="eastAsia" w:ascii="仿宋_GB2312" w:hAnsi="仿宋_GB2312" w:eastAsia="仿宋_GB2312" w:cs="仿宋_GB2312"/>
        </w:rPr>
        <w:t>①散装货物的储存和暂存</w:t>
      </w:r>
    </w:p>
    <w:p w14:paraId="26123722">
      <w:pPr>
        <w:pStyle w:val="27"/>
        <w:bidi w:val="0"/>
        <w:rPr>
          <w:rFonts w:hint="eastAsia" w:ascii="仿宋_GB2312" w:hAnsi="仿宋_GB2312" w:eastAsia="仿宋_GB2312" w:cs="仿宋_GB2312"/>
        </w:rPr>
      </w:pPr>
      <w:r>
        <w:rPr>
          <w:rFonts w:hint="eastAsia" w:ascii="仿宋_GB2312" w:hAnsi="仿宋_GB2312" w:eastAsia="仿宋_GB2312" w:cs="仿宋_GB2312"/>
        </w:rPr>
        <w:t>散装货物储存和暂存造成土壤污染主要有两种情况：1）散装干货物</w:t>
      </w:r>
    </w:p>
    <w:p w14:paraId="12278420">
      <w:pPr>
        <w:pStyle w:val="27"/>
        <w:bidi w:val="0"/>
      </w:pPr>
      <w:r>
        <w:rPr>
          <w:rFonts w:hint="eastAsia" w:ascii="仿宋_GB2312" w:hAnsi="仿宋_GB2312" w:eastAsia="仿宋_GB2312" w:cs="仿宋_GB2312"/>
        </w:rPr>
        <w:t>因雨水或者防尘喷淋水冲刷进入土壤；2）散装湿货物因雨水冲刷，以及渗出有毒有害液体物质进入土壤。可参考</w:t>
      </w:r>
      <w:r>
        <w:rPr>
          <w:rFonts w:hint="eastAsia" w:ascii="仿宋_GB2312" w:hAnsi="仿宋_GB2312" w:eastAsia="仿宋_GB2312" w:cs="仿宋_GB2312"/>
          <w:lang w:val="en-US" w:eastAsia="zh-CN"/>
        </w:rPr>
        <w:t>下表</w:t>
      </w:r>
      <w:r>
        <w:rPr>
          <w:rFonts w:hint="eastAsia" w:ascii="仿宋_GB2312" w:hAnsi="仿宋_GB2312" w:eastAsia="仿宋_GB2312" w:cs="仿宋_GB2312"/>
        </w:rPr>
        <w:t>开展排查和整改。</w:t>
      </w:r>
    </w:p>
    <w:tbl>
      <w:tblPr>
        <w:tblStyle w:val="9"/>
        <w:tblW w:w="0" w:type="auto"/>
        <w:jc w:val="center"/>
        <w:tblLayout w:type="fixed"/>
        <w:tblCellMar>
          <w:top w:w="0" w:type="dxa"/>
          <w:left w:w="10" w:type="dxa"/>
          <w:bottom w:w="0" w:type="dxa"/>
          <w:right w:w="10" w:type="dxa"/>
        </w:tblCellMar>
      </w:tblPr>
      <w:tblGrid>
        <w:gridCol w:w="1181"/>
        <w:gridCol w:w="3725"/>
        <w:gridCol w:w="4104"/>
      </w:tblGrid>
      <w:tr w14:paraId="7495B99A">
        <w:tblPrEx>
          <w:tblCellMar>
            <w:top w:w="0" w:type="dxa"/>
            <w:left w:w="10" w:type="dxa"/>
            <w:bottom w:w="0" w:type="dxa"/>
            <w:right w:w="10" w:type="dxa"/>
          </w:tblCellMar>
        </w:tblPrEx>
        <w:trPr>
          <w:trHeight w:val="581" w:hRule="exact"/>
          <w:jc w:val="center"/>
        </w:trPr>
        <w:tc>
          <w:tcPr>
            <w:tcBorders>
              <w:top w:val="single" w:color="auto" w:sz="4" w:space="0"/>
              <w:left w:val="single" w:color="auto" w:sz="4" w:space="0"/>
            </w:tcBorders>
            <w:shd w:val="clear" w:color="auto" w:fill="FFFFFF"/>
            <w:vAlign w:val="center"/>
          </w:tcPr>
          <w:p w14:paraId="612EAF91">
            <w:pPr>
              <w:pStyle w:val="33"/>
              <w:keepNext w:val="0"/>
              <w:keepLines w:val="0"/>
              <w:widowControl w:val="0"/>
              <w:shd w:val="clear" w:color="auto" w:fill="auto"/>
              <w:bidi w:val="0"/>
              <w:spacing w:before="0" w:after="0" w:line="240" w:lineRule="auto"/>
              <w:ind w:left="0" w:right="0" w:firstLine="400"/>
              <w:jc w:val="left"/>
              <w:rPr>
                <w:rFonts w:hint="eastAsia" w:ascii="仿宋_GB2312" w:hAnsi="仿宋_GB2312" w:eastAsia="仿宋_GB2312" w:cs="仿宋_GB2312"/>
                <w:sz w:val="21"/>
                <w:szCs w:val="21"/>
                <w:lang w:eastAsia="zh-CN"/>
              </w:rPr>
            </w:pPr>
            <w:r>
              <w:rPr>
                <w:rFonts w:hint="eastAsia" w:ascii="仿宋_GB2312" w:hAnsi="仿宋_GB2312" w:eastAsia="仿宋_GB2312" w:cs="仿宋_GB2312"/>
                <w:b/>
                <w:bCs/>
                <w:color w:val="000000"/>
                <w:spacing w:val="0"/>
                <w:w w:val="100"/>
                <w:position w:val="0"/>
                <w:sz w:val="21"/>
                <w:szCs w:val="21"/>
                <w:lang w:eastAsia="zh-CN"/>
              </w:rPr>
              <w:t>序号</w:t>
            </w:r>
          </w:p>
        </w:tc>
        <w:tc>
          <w:tcPr>
            <w:tcBorders>
              <w:top w:val="single" w:color="auto" w:sz="4" w:space="0"/>
              <w:left w:val="single" w:color="auto" w:sz="4" w:space="0"/>
            </w:tcBorders>
            <w:shd w:val="clear" w:color="auto" w:fill="FFFFFF"/>
            <w:vAlign w:val="center"/>
          </w:tcPr>
          <w:p w14:paraId="276A7199">
            <w:pPr>
              <w:pStyle w:val="33"/>
              <w:keepNext w:val="0"/>
              <w:keepLines w:val="0"/>
              <w:widowControl w:val="0"/>
              <w:shd w:val="clear" w:color="auto" w:fill="auto"/>
              <w:bidi w:val="0"/>
              <w:spacing w:before="0" w:after="0" w:line="240" w:lineRule="auto"/>
              <w:ind w:left="0" w:right="0" w:firstLine="420"/>
              <w:jc w:val="left"/>
              <w:rPr>
                <w:rFonts w:hint="eastAsia" w:ascii="仿宋_GB2312" w:hAnsi="仿宋_GB2312" w:eastAsia="仿宋_GB2312" w:cs="仿宋_GB2312"/>
                <w:sz w:val="21"/>
                <w:szCs w:val="21"/>
              </w:rPr>
            </w:pPr>
            <w:r>
              <w:rPr>
                <w:rFonts w:hint="eastAsia" w:ascii="仿宋_GB2312" w:hAnsi="仿宋_GB2312" w:eastAsia="仿宋_GB2312" w:cs="仿宋_GB2312"/>
                <w:b/>
                <w:bCs/>
                <w:color w:val="000000"/>
                <w:spacing w:val="0"/>
                <w:w w:val="100"/>
                <w:position w:val="0"/>
                <w:sz w:val="21"/>
                <w:szCs w:val="21"/>
              </w:rPr>
              <w:t>土壤污染预防设施/功能</w:t>
            </w:r>
          </w:p>
        </w:tc>
        <w:tc>
          <w:tcPr>
            <w:tcBorders>
              <w:top w:val="single" w:color="auto" w:sz="4" w:space="0"/>
              <w:left w:val="single" w:color="auto" w:sz="4" w:space="0"/>
              <w:right w:val="single" w:color="auto" w:sz="4" w:space="0"/>
            </w:tcBorders>
            <w:shd w:val="clear" w:color="auto" w:fill="FFFFFF"/>
            <w:vAlign w:val="center"/>
          </w:tcPr>
          <w:p w14:paraId="0045434B">
            <w:pPr>
              <w:pStyle w:val="33"/>
              <w:keepNext w:val="0"/>
              <w:keepLines w:val="0"/>
              <w:widowControl w:val="0"/>
              <w:shd w:val="clear" w:color="auto" w:fill="auto"/>
              <w:bidi w:val="0"/>
              <w:spacing w:before="0" w:after="0" w:line="240" w:lineRule="auto"/>
              <w:ind w:left="0" w:right="0" w:firstLine="380"/>
              <w:jc w:val="left"/>
              <w:rPr>
                <w:rFonts w:hint="eastAsia" w:ascii="仿宋_GB2312" w:hAnsi="仿宋_GB2312" w:eastAsia="仿宋_GB2312" w:cs="仿宋_GB2312"/>
                <w:sz w:val="21"/>
                <w:szCs w:val="21"/>
              </w:rPr>
            </w:pPr>
            <w:r>
              <w:rPr>
                <w:rFonts w:hint="eastAsia" w:ascii="仿宋_GB2312" w:hAnsi="仿宋_GB2312" w:eastAsia="仿宋_GB2312" w:cs="仿宋_GB2312"/>
                <w:b/>
                <w:bCs/>
                <w:color w:val="000000"/>
                <w:spacing w:val="0"/>
                <w:w w:val="100"/>
                <w:position w:val="0"/>
                <w:sz w:val="21"/>
                <w:szCs w:val="21"/>
              </w:rPr>
              <w:t>土壤污染预防措施</w:t>
            </w:r>
          </w:p>
        </w:tc>
      </w:tr>
      <w:tr w14:paraId="794C0BD8">
        <w:tblPrEx>
          <w:tblCellMar>
            <w:top w:w="0" w:type="dxa"/>
            <w:left w:w="10" w:type="dxa"/>
            <w:bottom w:w="0" w:type="dxa"/>
            <w:right w:w="10" w:type="dxa"/>
          </w:tblCellMar>
        </w:tblPrEx>
        <w:trPr>
          <w:trHeight w:val="576" w:hRule="exact"/>
          <w:jc w:val="center"/>
        </w:trPr>
        <w:tc>
          <w:tcPr>
            <w:gridSpan w:val="3"/>
            <w:tcBorders>
              <w:top w:val="single" w:color="auto" w:sz="4" w:space="0"/>
              <w:left w:val="single" w:color="auto" w:sz="4" w:space="0"/>
              <w:right w:val="single" w:color="auto" w:sz="4" w:space="0"/>
            </w:tcBorders>
            <w:shd w:val="clear" w:color="auto" w:fill="FFFFFF"/>
            <w:vAlign w:val="center"/>
          </w:tcPr>
          <w:p w14:paraId="462759EB">
            <w:pPr>
              <w:pStyle w:val="33"/>
              <w:keepNext w:val="0"/>
              <w:keepLines w:val="0"/>
              <w:widowControl w:val="0"/>
              <w:shd w:val="clear" w:color="auto" w:fill="auto"/>
              <w:bidi w:val="0"/>
              <w:spacing w:before="0" w:after="0" w:line="240" w:lineRule="auto"/>
              <w:ind w:left="0" w:right="0" w:firstLine="40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一、干货物（不会渗出液体）的储存</w:t>
            </w:r>
          </w:p>
        </w:tc>
      </w:tr>
      <w:tr w14:paraId="526EAFF8">
        <w:tblPrEx>
          <w:tblCellMar>
            <w:top w:w="0" w:type="dxa"/>
            <w:left w:w="10" w:type="dxa"/>
            <w:bottom w:w="0" w:type="dxa"/>
            <w:right w:w="10" w:type="dxa"/>
          </w:tblCellMar>
        </w:tblPrEx>
        <w:trPr>
          <w:trHeight w:val="799" w:hRule="exact"/>
          <w:jc w:val="center"/>
        </w:trPr>
        <w:tc>
          <w:tcPr>
            <w:tcBorders>
              <w:top w:val="single" w:color="auto" w:sz="4" w:space="0"/>
              <w:left w:val="single" w:color="auto" w:sz="4" w:space="0"/>
            </w:tcBorders>
            <w:shd w:val="clear" w:color="auto" w:fill="FFFFFF"/>
            <w:vAlign w:val="center"/>
          </w:tcPr>
          <w:p w14:paraId="1C334984">
            <w:pPr>
              <w:pStyle w:val="33"/>
              <w:keepNext w:val="0"/>
              <w:keepLines w:val="0"/>
              <w:widowControl w:val="0"/>
              <w:shd w:val="clear" w:color="auto" w:fill="auto"/>
              <w:bidi w:val="0"/>
              <w:spacing w:before="0" w:after="0" w:line="240" w:lineRule="auto"/>
              <w:ind w:left="0" w:right="0" w:firstLine="40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1</w:t>
            </w:r>
          </w:p>
        </w:tc>
        <w:tc>
          <w:tcPr>
            <w:tcBorders>
              <w:top w:val="single" w:color="auto" w:sz="4" w:space="0"/>
              <w:left w:val="single" w:color="auto" w:sz="4" w:space="0"/>
            </w:tcBorders>
            <w:shd w:val="clear" w:color="auto" w:fill="FFFFFF"/>
            <w:vAlign w:val="bottom"/>
          </w:tcPr>
          <w:p w14:paraId="32E73296">
            <w:pPr>
              <w:pStyle w:val="33"/>
              <w:keepNext w:val="0"/>
              <w:keepLines w:val="0"/>
              <w:widowControl w:val="0"/>
              <w:shd w:val="clear" w:color="auto" w:fill="auto"/>
              <w:bidi w:val="0"/>
              <w:spacing w:before="0" w:after="0" w:line="283" w:lineRule="exact"/>
              <w:ind w:left="0" w:right="0" w:firstLine="44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•注意避免雨水冲刷，如有苫盖或者顶棚</w:t>
            </w:r>
          </w:p>
        </w:tc>
        <w:tc>
          <w:tcPr>
            <w:tcBorders>
              <w:top w:val="single" w:color="auto" w:sz="4" w:space="0"/>
              <w:left w:val="single" w:color="auto" w:sz="4" w:space="0"/>
              <w:right w:val="single" w:color="auto" w:sz="4" w:space="0"/>
            </w:tcBorders>
            <w:shd w:val="clear" w:color="auto" w:fill="FFFFFF"/>
            <w:vAlign w:val="bottom"/>
          </w:tcPr>
          <w:p w14:paraId="0DE0F0A6">
            <w:pPr>
              <w:pStyle w:val="33"/>
              <w:keepNext w:val="0"/>
              <w:keepLines w:val="0"/>
              <w:widowControl w:val="0"/>
              <w:shd w:val="clear" w:color="auto" w:fill="auto"/>
              <w:bidi w:val="0"/>
              <w:spacing w:before="0" w:after="0" w:line="240" w:lineRule="auto"/>
              <w:ind w:left="0" w:right="0" w:firstLine="38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•日常目视检查</w:t>
            </w:r>
          </w:p>
          <w:p w14:paraId="51EA7A00">
            <w:pPr>
              <w:pStyle w:val="33"/>
              <w:keepNext w:val="0"/>
              <w:keepLines w:val="0"/>
              <w:widowControl w:val="0"/>
              <w:shd w:val="clear" w:color="auto" w:fill="auto"/>
              <w:bidi w:val="0"/>
              <w:spacing w:before="0" w:after="0" w:line="240" w:lineRule="auto"/>
              <w:ind w:left="0" w:right="0" w:firstLine="38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•日常维护</w:t>
            </w:r>
          </w:p>
        </w:tc>
      </w:tr>
      <w:tr w14:paraId="3A7B4F1F">
        <w:tblPrEx>
          <w:tblCellMar>
            <w:top w:w="0" w:type="dxa"/>
            <w:left w:w="10" w:type="dxa"/>
            <w:bottom w:w="0" w:type="dxa"/>
            <w:right w:w="10" w:type="dxa"/>
          </w:tblCellMar>
        </w:tblPrEx>
        <w:trPr>
          <w:trHeight w:val="576" w:hRule="exact"/>
          <w:jc w:val="center"/>
        </w:trPr>
        <w:tc>
          <w:tcPr>
            <w:gridSpan w:val="3"/>
            <w:tcBorders>
              <w:top w:val="single" w:color="auto" w:sz="4" w:space="0"/>
              <w:left w:val="single" w:color="auto" w:sz="4" w:space="0"/>
              <w:right w:val="single" w:color="auto" w:sz="4" w:space="0"/>
            </w:tcBorders>
            <w:shd w:val="clear" w:color="auto" w:fill="FFFFFF"/>
            <w:vAlign w:val="center"/>
          </w:tcPr>
          <w:p w14:paraId="49131D1D">
            <w:pPr>
              <w:pStyle w:val="33"/>
              <w:keepNext w:val="0"/>
              <w:keepLines w:val="0"/>
              <w:widowControl w:val="0"/>
              <w:shd w:val="clear" w:color="auto" w:fill="auto"/>
              <w:bidi w:val="0"/>
              <w:spacing w:before="0" w:after="0" w:line="240" w:lineRule="auto"/>
              <w:ind w:left="0" w:right="0" w:firstLine="40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二、干货物（不会渗出液体）的暂存</w:t>
            </w:r>
          </w:p>
        </w:tc>
      </w:tr>
      <w:tr w14:paraId="567AEB3F">
        <w:tblPrEx>
          <w:tblCellMar>
            <w:top w:w="0" w:type="dxa"/>
            <w:left w:w="10" w:type="dxa"/>
            <w:bottom w:w="0" w:type="dxa"/>
            <w:right w:w="10" w:type="dxa"/>
          </w:tblCellMar>
        </w:tblPrEx>
        <w:trPr>
          <w:trHeight w:val="824" w:hRule="exact"/>
          <w:jc w:val="center"/>
        </w:trPr>
        <w:tc>
          <w:tcPr>
            <w:tcBorders>
              <w:top w:val="single" w:color="auto" w:sz="4" w:space="0"/>
              <w:left w:val="single" w:color="auto" w:sz="4" w:space="0"/>
            </w:tcBorders>
            <w:shd w:val="clear" w:color="auto" w:fill="FFFFFF"/>
            <w:vAlign w:val="center"/>
          </w:tcPr>
          <w:p w14:paraId="508146AA">
            <w:pPr>
              <w:pStyle w:val="33"/>
              <w:keepNext w:val="0"/>
              <w:keepLines w:val="0"/>
              <w:widowControl w:val="0"/>
              <w:shd w:val="clear" w:color="auto" w:fill="auto"/>
              <w:bidi w:val="0"/>
              <w:spacing w:before="0" w:after="0" w:line="240" w:lineRule="auto"/>
              <w:ind w:left="0" w:right="0" w:firstLine="40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1</w:t>
            </w:r>
          </w:p>
        </w:tc>
        <w:tc>
          <w:tcPr>
            <w:tcBorders>
              <w:top w:val="single" w:color="auto" w:sz="4" w:space="0"/>
              <w:left w:val="single" w:color="auto" w:sz="4" w:space="0"/>
            </w:tcBorders>
            <w:shd w:val="clear" w:color="auto" w:fill="FFFFFF"/>
            <w:vAlign w:val="center"/>
          </w:tcPr>
          <w:p w14:paraId="3A341753">
            <w:pPr>
              <w:pStyle w:val="33"/>
              <w:keepNext w:val="0"/>
              <w:keepLines w:val="0"/>
              <w:widowControl w:val="0"/>
              <w:shd w:val="clear" w:color="auto" w:fill="auto"/>
              <w:bidi w:val="0"/>
              <w:spacing w:before="0" w:after="0" w:line="240" w:lineRule="auto"/>
              <w:ind w:left="0" w:right="0" w:firstLine="44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•普通阻隔设施</w:t>
            </w:r>
          </w:p>
        </w:tc>
        <w:tc>
          <w:tcPr>
            <w:tcBorders>
              <w:top w:val="single" w:color="auto" w:sz="4" w:space="0"/>
              <w:left w:val="single" w:color="auto" w:sz="4" w:space="0"/>
              <w:right w:val="single" w:color="auto" w:sz="4" w:space="0"/>
            </w:tcBorders>
            <w:shd w:val="clear" w:color="auto" w:fill="FFFFFF"/>
            <w:vAlign w:val="bottom"/>
          </w:tcPr>
          <w:p w14:paraId="7E1F6719">
            <w:pPr>
              <w:pStyle w:val="33"/>
              <w:keepNext w:val="0"/>
              <w:keepLines w:val="0"/>
              <w:widowControl w:val="0"/>
              <w:shd w:val="clear" w:color="auto" w:fill="auto"/>
              <w:bidi w:val="0"/>
              <w:spacing w:before="0" w:after="40" w:line="240" w:lineRule="auto"/>
              <w:ind w:left="0" w:right="0" w:firstLine="38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•日常目视检查</w:t>
            </w:r>
          </w:p>
          <w:p w14:paraId="42ED6D88">
            <w:pPr>
              <w:pStyle w:val="33"/>
              <w:keepNext w:val="0"/>
              <w:keepLines w:val="0"/>
              <w:widowControl w:val="0"/>
              <w:shd w:val="clear" w:color="auto" w:fill="auto"/>
              <w:bidi w:val="0"/>
              <w:spacing w:before="0" w:after="0" w:line="240" w:lineRule="auto"/>
              <w:ind w:left="0" w:right="0" w:firstLine="38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•有效应对泄漏事件</w:t>
            </w:r>
          </w:p>
        </w:tc>
      </w:tr>
      <w:tr w14:paraId="175A7131">
        <w:tblPrEx>
          <w:tblCellMar>
            <w:top w:w="0" w:type="dxa"/>
            <w:left w:w="10" w:type="dxa"/>
            <w:bottom w:w="0" w:type="dxa"/>
            <w:right w:w="10" w:type="dxa"/>
          </w:tblCellMar>
        </w:tblPrEx>
        <w:trPr>
          <w:trHeight w:val="576" w:hRule="exact"/>
          <w:jc w:val="center"/>
        </w:trPr>
        <w:tc>
          <w:tcPr>
            <w:gridSpan w:val="3"/>
            <w:tcBorders>
              <w:top w:val="single" w:color="auto" w:sz="4" w:space="0"/>
              <w:left w:val="single" w:color="auto" w:sz="4" w:space="0"/>
              <w:right w:val="single" w:color="auto" w:sz="4" w:space="0"/>
            </w:tcBorders>
            <w:shd w:val="clear" w:color="auto" w:fill="FFFFFF"/>
            <w:vAlign w:val="center"/>
          </w:tcPr>
          <w:p w14:paraId="01AEA4D9">
            <w:pPr>
              <w:pStyle w:val="33"/>
              <w:keepNext w:val="0"/>
              <w:keepLines w:val="0"/>
              <w:widowControl w:val="0"/>
              <w:shd w:val="clear" w:color="auto" w:fill="auto"/>
              <w:bidi w:val="0"/>
              <w:spacing w:before="0" w:after="0" w:line="240" w:lineRule="auto"/>
              <w:ind w:left="0" w:right="0" w:firstLine="40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三、湿货物（可以渗出有毒有害液体物质）的储存和暂存</w:t>
            </w:r>
          </w:p>
        </w:tc>
      </w:tr>
      <w:tr w14:paraId="6A4715D7">
        <w:tblPrEx>
          <w:tblCellMar>
            <w:top w:w="0" w:type="dxa"/>
            <w:left w:w="10" w:type="dxa"/>
            <w:bottom w:w="0" w:type="dxa"/>
            <w:right w:w="10" w:type="dxa"/>
          </w:tblCellMar>
        </w:tblPrEx>
        <w:trPr>
          <w:trHeight w:val="1440" w:hRule="exact"/>
          <w:jc w:val="center"/>
        </w:trPr>
        <w:tc>
          <w:tcPr>
            <w:tcBorders>
              <w:top w:val="single" w:color="auto" w:sz="4" w:space="0"/>
              <w:left w:val="single" w:color="auto" w:sz="4" w:space="0"/>
            </w:tcBorders>
            <w:shd w:val="clear" w:color="auto" w:fill="FFFFFF"/>
            <w:vAlign w:val="center"/>
          </w:tcPr>
          <w:p w14:paraId="0DAC2B52">
            <w:pPr>
              <w:pStyle w:val="33"/>
              <w:keepNext w:val="0"/>
              <w:keepLines w:val="0"/>
              <w:widowControl w:val="0"/>
              <w:shd w:val="clear" w:color="auto" w:fill="auto"/>
              <w:bidi w:val="0"/>
              <w:spacing w:before="0" w:after="0" w:line="240" w:lineRule="auto"/>
              <w:ind w:left="0" w:right="0" w:firstLine="40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1</w:t>
            </w:r>
          </w:p>
        </w:tc>
        <w:tc>
          <w:tcPr>
            <w:tcBorders>
              <w:top w:val="single" w:color="auto" w:sz="4" w:space="0"/>
              <w:left w:val="single" w:color="auto" w:sz="4" w:space="0"/>
            </w:tcBorders>
            <w:shd w:val="clear" w:color="auto" w:fill="FFFFFF"/>
            <w:vAlign w:val="center"/>
          </w:tcPr>
          <w:p w14:paraId="5B20B7C1">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440"/>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•防渗阻隔系统，且能防止雨水进入，或者及时有效排出雨水</w:t>
            </w:r>
          </w:p>
          <w:p w14:paraId="4D220EB1">
            <w:pPr>
              <w:pStyle w:val="33"/>
              <w:keepNext w:val="0"/>
              <w:keepLines w:val="0"/>
              <w:pageBreakBefore w:val="0"/>
              <w:widowControl w:val="0"/>
              <w:shd w:val="clear" w:color="auto" w:fill="auto"/>
              <w:kinsoku/>
              <w:wordWrap/>
              <w:overflowPunct/>
              <w:topLinePunct w:val="0"/>
              <w:autoSpaceDE/>
              <w:autoSpaceDN/>
              <w:bidi w:val="0"/>
              <w:adjustRightInd/>
              <w:snapToGrid/>
              <w:spacing w:before="0" w:after="100" w:line="240" w:lineRule="auto"/>
              <w:ind w:left="0" w:right="0" w:firstLine="440"/>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•防止屋顶或者覆盖物上流下来</w:t>
            </w:r>
          </w:p>
          <w:p w14:paraId="4A15E686">
            <w:pPr>
              <w:pStyle w:val="33"/>
              <w:keepNext w:val="0"/>
              <w:keepLines w:val="0"/>
              <w:pageBreakBefore w:val="0"/>
              <w:widowControl w:val="0"/>
              <w:shd w:val="clear" w:color="auto" w:fill="auto"/>
              <w:kinsoku/>
              <w:wordWrap/>
              <w:overflowPunct/>
              <w:topLinePunct w:val="0"/>
              <w:autoSpaceDE/>
              <w:autoSpaceDN/>
              <w:bidi w:val="0"/>
              <w:adjustRightInd/>
              <w:snapToGrid/>
              <w:spacing w:before="0" w:after="60" w:line="240" w:lineRule="auto"/>
              <w:ind w:left="0" w:right="0" w:firstLine="0"/>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的雨水冲刷货物</w:t>
            </w:r>
          </w:p>
        </w:tc>
        <w:tc>
          <w:tcPr>
            <w:tcBorders>
              <w:top w:val="single" w:color="auto" w:sz="4" w:space="0"/>
              <w:left w:val="single" w:color="auto" w:sz="4" w:space="0"/>
              <w:right w:val="single" w:color="auto" w:sz="4" w:space="0"/>
            </w:tcBorders>
            <w:shd w:val="clear" w:color="auto" w:fill="FFFFFF"/>
            <w:vAlign w:val="center"/>
          </w:tcPr>
          <w:p w14:paraId="4C528551">
            <w:pPr>
              <w:pStyle w:val="33"/>
              <w:keepNext w:val="0"/>
              <w:keepLines w:val="0"/>
              <w:widowControl w:val="0"/>
              <w:shd w:val="clear" w:color="auto" w:fill="auto"/>
              <w:bidi w:val="0"/>
              <w:spacing w:before="0" w:after="0" w:line="264" w:lineRule="exact"/>
              <w:ind w:left="380" w:right="0" w:firstLine="2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•定期开展防渗效果检查•日常目视检查•日常维护</w:t>
            </w:r>
          </w:p>
        </w:tc>
      </w:tr>
      <w:tr w14:paraId="0406ABDA">
        <w:tblPrEx>
          <w:tblCellMar>
            <w:top w:w="0" w:type="dxa"/>
            <w:left w:w="10" w:type="dxa"/>
            <w:bottom w:w="0" w:type="dxa"/>
            <w:right w:w="10" w:type="dxa"/>
          </w:tblCellMar>
        </w:tblPrEx>
        <w:trPr>
          <w:trHeight w:val="1445" w:hRule="exact"/>
          <w:jc w:val="center"/>
        </w:trPr>
        <w:tc>
          <w:tcPr>
            <w:tcBorders>
              <w:top w:val="single" w:color="auto" w:sz="4" w:space="0"/>
              <w:left w:val="single" w:color="auto" w:sz="4" w:space="0"/>
              <w:bottom w:val="single" w:color="auto" w:sz="4" w:space="0"/>
            </w:tcBorders>
            <w:shd w:val="clear" w:color="auto" w:fill="FFFFFF"/>
            <w:vAlign w:val="center"/>
          </w:tcPr>
          <w:p w14:paraId="458D5994">
            <w:pPr>
              <w:pStyle w:val="33"/>
              <w:keepNext w:val="0"/>
              <w:keepLines w:val="0"/>
              <w:widowControl w:val="0"/>
              <w:shd w:val="clear" w:color="auto" w:fill="auto"/>
              <w:bidi w:val="0"/>
              <w:spacing w:before="0" w:after="0" w:line="240" w:lineRule="auto"/>
              <w:ind w:left="0" w:right="0" w:firstLine="40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2</w:t>
            </w:r>
          </w:p>
        </w:tc>
        <w:tc>
          <w:tcPr>
            <w:tcBorders>
              <w:top w:val="single" w:color="auto" w:sz="4" w:space="0"/>
              <w:left w:val="single" w:color="auto" w:sz="4" w:space="0"/>
              <w:bottom w:val="single" w:color="auto" w:sz="4" w:space="0"/>
            </w:tcBorders>
            <w:shd w:val="clear" w:color="auto" w:fill="FFFFFF"/>
            <w:vAlign w:val="center"/>
          </w:tcPr>
          <w:p w14:paraId="3309D1A7">
            <w:pPr>
              <w:pStyle w:val="33"/>
              <w:keepNext w:val="0"/>
              <w:keepLines w:val="0"/>
              <w:pageBreakBefore w:val="0"/>
              <w:widowControl w:val="0"/>
              <w:shd w:val="clear" w:color="auto" w:fill="auto"/>
              <w:kinsoku/>
              <w:wordWrap/>
              <w:overflowPunct/>
              <w:topLinePunct w:val="0"/>
              <w:autoSpaceDE/>
              <w:autoSpaceDN/>
              <w:bidi w:val="0"/>
              <w:adjustRightInd/>
              <w:snapToGrid/>
              <w:spacing w:before="0" w:after="40" w:line="240" w:lineRule="auto"/>
              <w:ind w:left="0" w:right="0" w:firstLine="440"/>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•防渗阻隔系统，且能防止雨水进入或者及时有效排出雨水</w:t>
            </w:r>
          </w:p>
          <w:p w14:paraId="6A72863A">
            <w:pPr>
              <w:pStyle w:val="33"/>
              <w:keepNext w:val="0"/>
              <w:keepLines w:val="0"/>
              <w:pageBreakBefore w:val="0"/>
              <w:widowControl w:val="0"/>
              <w:shd w:val="clear" w:color="auto" w:fill="auto"/>
              <w:kinsoku/>
              <w:wordWrap/>
              <w:overflowPunct/>
              <w:topLinePunct w:val="0"/>
              <w:autoSpaceDE/>
              <w:autoSpaceDN/>
              <w:bidi w:val="0"/>
              <w:adjustRightInd/>
              <w:snapToGrid/>
              <w:spacing w:before="0" w:after="120" w:line="240" w:lineRule="auto"/>
              <w:ind w:left="0" w:right="0" w:firstLine="440"/>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•渗漏、流失的液体能得到有效</w:t>
            </w:r>
          </w:p>
          <w:p w14:paraId="64A29BAB">
            <w:pPr>
              <w:pStyle w:val="33"/>
              <w:keepNext w:val="0"/>
              <w:keepLines w:val="0"/>
              <w:pageBreakBefore w:val="0"/>
              <w:widowControl w:val="0"/>
              <w:shd w:val="clear" w:color="auto" w:fill="auto"/>
              <w:kinsoku/>
              <w:wordWrap/>
              <w:overflowPunct/>
              <w:topLinePunct w:val="0"/>
              <w:autoSpaceDE/>
              <w:autoSpaceDN/>
              <w:bidi w:val="0"/>
              <w:adjustRightInd/>
              <w:snapToGrid/>
              <w:spacing w:before="0" w:after="80" w:line="240" w:lineRule="auto"/>
              <w:ind w:left="0" w:right="0" w:firstLine="0"/>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收集并定期清理</w:t>
            </w:r>
          </w:p>
        </w:tc>
        <w:tc>
          <w:tcPr>
            <w:tcBorders>
              <w:top w:val="single" w:color="auto" w:sz="4" w:space="0"/>
              <w:left w:val="single" w:color="auto" w:sz="4" w:space="0"/>
              <w:bottom w:val="single" w:color="auto" w:sz="4" w:space="0"/>
              <w:right w:val="single" w:color="auto" w:sz="4" w:space="0"/>
            </w:tcBorders>
            <w:shd w:val="clear" w:color="auto" w:fill="FFFFFF"/>
            <w:vAlign w:val="center"/>
          </w:tcPr>
          <w:p w14:paraId="14694ECB">
            <w:pPr>
              <w:pStyle w:val="33"/>
              <w:keepNext w:val="0"/>
              <w:keepLines w:val="0"/>
              <w:widowControl w:val="0"/>
              <w:shd w:val="clear" w:color="auto" w:fill="auto"/>
              <w:bidi w:val="0"/>
              <w:spacing w:before="0" w:after="40" w:line="240" w:lineRule="auto"/>
              <w:ind w:left="0" w:right="0" w:firstLine="46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•定期开展防渗效果检查</w:t>
            </w:r>
          </w:p>
          <w:p w14:paraId="73A4648E">
            <w:pPr>
              <w:pStyle w:val="33"/>
              <w:keepNext w:val="0"/>
              <w:keepLines w:val="0"/>
              <w:widowControl w:val="0"/>
              <w:shd w:val="clear" w:color="auto" w:fill="auto"/>
              <w:bidi w:val="0"/>
              <w:spacing w:before="0" w:after="40" w:line="240" w:lineRule="auto"/>
              <w:ind w:left="0" w:right="0" w:firstLine="46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•日常目视检</w:t>
            </w:r>
          </w:p>
          <w:p w14:paraId="7E2EFADA">
            <w:pPr>
              <w:pStyle w:val="33"/>
              <w:keepNext w:val="0"/>
              <w:keepLines w:val="0"/>
              <w:widowControl w:val="0"/>
              <w:shd w:val="clear" w:color="auto" w:fill="auto"/>
              <w:bidi w:val="0"/>
              <w:spacing w:before="0" w:after="40" w:line="240" w:lineRule="auto"/>
              <w:ind w:left="0" w:right="0" w:firstLine="46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•日常维护</w:t>
            </w:r>
          </w:p>
        </w:tc>
      </w:tr>
    </w:tbl>
    <w:p w14:paraId="166A99AA">
      <w:pPr>
        <w:pStyle w:val="27"/>
        <w:bidi w:val="0"/>
        <w:rPr>
          <w:rFonts w:hint="eastAsia" w:ascii="仿宋_GB2312" w:hAnsi="仿宋_GB2312" w:eastAsia="仿宋_GB2312" w:cs="仿宋_GB2312"/>
        </w:rPr>
      </w:pPr>
      <w:r>
        <w:rPr>
          <w:rFonts w:hint="eastAsia" w:ascii="仿宋_GB2312" w:hAnsi="仿宋_GB2312" w:eastAsia="仿宋_GB2312" w:cs="仿宋_GB2312"/>
        </w:rPr>
        <w:t>②散装货物密闭式/开放式传输散装货物密闭式传输造成土壤污染主要是由于系统的过载。散装货物开放式传输造成土壤污染主要有两种情况：</w:t>
      </w:r>
    </w:p>
    <w:p w14:paraId="00D2BA03">
      <w:pPr>
        <w:pStyle w:val="27"/>
        <w:bidi w:val="0"/>
        <w:rPr>
          <w:rFonts w:hint="eastAsia" w:ascii="仿宋_GB2312" w:hAnsi="仿宋_GB2312" w:eastAsia="仿宋_GB2312" w:cs="仿宋_GB2312"/>
        </w:rPr>
      </w:pPr>
      <w:r>
        <w:rPr>
          <w:rFonts w:hint="eastAsia" w:ascii="仿宋_GB2312" w:hAnsi="仿宋_GB2312" w:eastAsia="仿宋_GB2312" w:cs="仿宋_GB2312"/>
        </w:rPr>
        <w:t>1）系统过载；</w:t>
      </w:r>
    </w:p>
    <w:p w14:paraId="6681C886">
      <w:pPr>
        <w:pStyle w:val="27"/>
        <w:bidi w:val="0"/>
        <w:rPr>
          <w:rFonts w:hint="eastAsia" w:ascii="仿宋_GB2312" w:hAnsi="仿宋_GB2312" w:eastAsia="仿宋_GB2312" w:cs="仿宋_GB2312"/>
        </w:rPr>
      </w:pPr>
      <w:r>
        <w:rPr>
          <w:rFonts w:hint="eastAsia" w:ascii="仿宋_GB2312" w:hAnsi="仿宋_GB2312" w:eastAsia="仿宋_GB2312" w:cs="仿宋_GB2312"/>
        </w:rPr>
        <w:t>2）粉状物料扬散等造成土壤污染。</w:t>
      </w:r>
    </w:p>
    <w:p w14:paraId="1AFCEF58">
      <w:pPr>
        <w:pStyle w:val="27"/>
        <w:bidi w:val="0"/>
        <w:rPr>
          <w:rFonts w:hint="eastAsia" w:ascii="仿宋_GB2312" w:hAnsi="仿宋_GB2312" w:eastAsia="仿宋_GB2312" w:cs="仿宋_GB2312"/>
        </w:rPr>
      </w:pPr>
      <w:r>
        <w:rPr>
          <w:rFonts w:hint="eastAsia" w:ascii="仿宋_GB2312" w:hAnsi="仿宋_GB2312" w:eastAsia="仿宋_GB2312" w:cs="仿宋_GB2312"/>
        </w:rPr>
        <w:t>可参考</w:t>
      </w:r>
      <w:r>
        <w:rPr>
          <w:rFonts w:hint="eastAsia" w:ascii="仿宋_GB2312" w:hAnsi="仿宋_GB2312" w:eastAsia="仿宋_GB2312" w:cs="仿宋_GB2312"/>
          <w:lang w:val="en-US" w:eastAsia="zh-CN"/>
        </w:rPr>
        <w:t>下表</w:t>
      </w:r>
      <w:r>
        <w:rPr>
          <w:rFonts w:hint="eastAsia" w:ascii="仿宋_GB2312" w:hAnsi="仿宋_GB2312" w:eastAsia="仿宋_GB2312" w:cs="仿宋_GB2312"/>
        </w:rPr>
        <w:t>开展排查和整改。</w:t>
      </w:r>
    </w:p>
    <w:tbl>
      <w:tblPr>
        <w:tblStyle w:val="9"/>
        <w:tblW w:w="0" w:type="auto"/>
        <w:jc w:val="center"/>
        <w:tblLayout w:type="fixed"/>
        <w:tblCellMar>
          <w:top w:w="0" w:type="dxa"/>
          <w:left w:w="10" w:type="dxa"/>
          <w:bottom w:w="0" w:type="dxa"/>
          <w:right w:w="10" w:type="dxa"/>
        </w:tblCellMar>
      </w:tblPr>
      <w:tblGrid>
        <w:gridCol w:w="1133"/>
        <w:gridCol w:w="3571"/>
        <w:gridCol w:w="3869"/>
      </w:tblGrid>
      <w:tr w14:paraId="0D55AD22">
        <w:tblPrEx>
          <w:tblCellMar>
            <w:top w:w="0" w:type="dxa"/>
            <w:left w:w="10" w:type="dxa"/>
            <w:bottom w:w="0" w:type="dxa"/>
            <w:right w:w="10" w:type="dxa"/>
          </w:tblCellMar>
        </w:tblPrEx>
        <w:trPr>
          <w:trHeight w:val="581" w:hRule="exact"/>
          <w:jc w:val="center"/>
        </w:trPr>
        <w:tc>
          <w:tcPr>
            <w:tcBorders>
              <w:top w:val="single" w:color="auto" w:sz="4" w:space="0"/>
              <w:left w:val="single" w:color="auto" w:sz="4" w:space="0"/>
            </w:tcBorders>
            <w:shd w:val="clear" w:color="auto" w:fill="FFFFFF"/>
            <w:vAlign w:val="center"/>
          </w:tcPr>
          <w:p w14:paraId="2F42A339">
            <w:pPr>
              <w:pStyle w:val="33"/>
              <w:keepNext w:val="0"/>
              <w:keepLines w:val="0"/>
              <w:widowControl w:val="0"/>
              <w:shd w:val="clear" w:color="auto" w:fill="auto"/>
              <w:bidi w:val="0"/>
              <w:spacing w:before="0" w:after="0" w:line="240" w:lineRule="auto"/>
              <w:ind w:left="0" w:right="0" w:firstLine="400"/>
              <w:jc w:val="left"/>
              <w:rPr>
                <w:rFonts w:hint="eastAsia" w:ascii="仿宋_GB2312" w:hAnsi="仿宋_GB2312" w:eastAsia="仿宋_GB2312" w:cs="仿宋_GB2312"/>
                <w:sz w:val="21"/>
                <w:szCs w:val="21"/>
                <w:lang w:eastAsia="zh-CN"/>
              </w:rPr>
            </w:pPr>
            <w:r>
              <w:rPr>
                <w:rFonts w:hint="eastAsia" w:ascii="仿宋_GB2312" w:hAnsi="仿宋_GB2312" w:eastAsia="仿宋_GB2312" w:cs="仿宋_GB2312"/>
                <w:b/>
                <w:bCs/>
                <w:color w:val="000000"/>
                <w:spacing w:val="0"/>
                <w:w w:val="100"/>
                <w:position w:val="0"/>
                <w:sz w:val="21"/>
                <w:szCs w:val="21"/>
                <w:lang w:val="en-US" w:eastAsia="zh-CN"/>
              </w:rPr>
              <w:t>序号</w:t>
            </w:r>
          </w:p>
        </w:tc>
        <w:tc>
          <w:tcPr>
            <w:tcBorders>
              <w:top w:val="single" w:color="auto" w:sz="4" w:space="0"/>
              <w:left w:val="single" w:color="auto" w:sz="4" w:space="0"/>
            </w:tcBorders>
            <w:shd w:val="clear" w:color="auto" w:fill="FFFFFF"/>
            <w:vAlign w:val="center"/>
          </w:tcPr>
          <w:p w14:paraId="51B69A6F">
            <w:pPr>
              <w:pStyle w:val="33"/>
              <w:keepNext w:val="0"/>
              <w:keepLines w:val="0"/>
              <w:widowControl w:val="0"/>
              <w:shd w:val="clear" w:color="auto" w:fill="auto"/>
              <w:bidi w:val="0"/>
              <w:spacing w:before="0" w:after="0" w:line="240" w:lineRule="auto"/>
              <w:ind w:left="0" w:right="0" w:firstLine="420"/>
              <w:jc w:val="left"/>
              <w:rPr>
                <w:rFonts w:hint="eastAsia" w:ascii="仿宋_GB2312" w:hAnsi="仿宋_GB2312" w:eastAsia="仿宋_GB2312" w:cs="仿宋_GB2312"/>
                <w:sz w:val="21"/>
                <w:szCs w:val="21"/>
              </w:rPr>
            </w:pPr>
            <w:r>
              <w:rPr>
                <w:rFonts w:hint="eastAsia" w:ascii="仿宋_GB2312" w:hAnsi="仿宋_GB2312" w:eastAsia="仿宋_GB2312" w:cs="仿宋_GB2312"/>
                <w:b/>
                <w:bCs/>
                <w:color w:val="000000"/>
                <w:spacing w:val="0"/>
                <w:w w:val="100"/>
                <w:position w:val="0"/>
                <w:sz w:val="21"/>
                <w:szCs w:val="21"/>
              </w:rPr>
              <w:t>土壤污染预防设施/功能</w:t>
            </w:r>
          </w:p>
        </w:tc>
        <w:tc>
          <w:tcPr>
            <w:tcBorders>
              <w:top w:val="single" w:color="auto" w:sz="4" w:space="0"/>
              <w:left w:val="single" w:color="auto" w:sz="4" w:space="0"/>
              <w:right w:val="single" w:color="auto" w:sz="4" w:space="0"/>
            </w:tcBorders>
            <w:shd w:val="clear" w:color="auto" w:fill="FFFFFF"/>
            <w:vAlign w:val="center"/>
          </w:tcPr>
          <w:p w14:paraId="2890B926">
            <w:pPr>
              <w:pStyle w:val="33"/>
              <w:keepNext w:val="0"/>
              <w:keepLines w:val="0"/>
              <w:widowControl w:val="0"/>
              <w:shd w:val="clear" w:color="auto" w:fill="auto"/>
              <w:bidi w:val="0"/>
              <w:spacing w:before="0" w:after="0" w:line="240" w:lineRule="auto"/>
              <w:ind w:left="0" w:right="0" w:firstLine="420"/>
              <w:jc w:val="left"/>
              <w:rPr>
                <w:rFonts w:hint="eastAsia" w:ascii="仿宋_GB2312" w:hAnsi="仿宋_GB2312" w:eastAsia="仿宋_GB2312" w:cs="仿宋_GB2312"/>
                <w:sz w:val="21"/>
                <w:szCs w:val="21"/>
              </w:rPr>
            </w:pPr>
            <w:r>
              <w:rPr>
                <w:rFonts w:hint="eastAsia" w:ascii="仿宋_GB2312" w:hAnsi="仿宋_GB2312" w:eastAsia="仿宋_GB2312" w:cs="仿宋_GB2312"/>
                <w:b/>
                <w:bCs/>
                <w:color w:val="000000"/>
                <w:spacing w:val="0"/>
                <w:w w:val="100"/>
                <w:position w:val="0"/>
                <w:sz w:val="21"/>
                <w:szCs w:val="21"/>
              </w:rPr>
              <w:t>土壤污染预防措施</w:t>
            </w:r>
          </w:p>
        </w:tc>
      </w:tr>
      <w:tr w14:paraId="15C799CE">
        <w:tblPrEx>
          <w:tblCellMar>
            <w:top w:w="0" w:type="dxa"/>
            <w:left w:w="10" w:type="dxa"/>
            <w:bottom w:w="0" w:type="dxa"/>
            <w:right w:w="10" w:type="dxa"/>
          </w:tblCellMar>
        </w:tblPrEx>
        <w:trPr>
          <w:trHeight w:val="581" w:hRule="exact"/>
          <w:jc w:val="center"/>
        </w:trPr>
        <w:tc>
          <w:tcPr>
            <w:gridSpan w:val="3"/>
            <w:tcBorders>
              <w:top w:val="single" w:color="auto" w:sz="4" w:space="0"/>
              <w:left w:val="single" w:color="auto" w:sz="4" w:space="0"/>
              <w:right w:val="single" w:color="auto" w:sz="4" w:space="0"/>
            </w:tcBorders>
            <w:shd w:val="clear" w:color="auto" w:fill="FFFFFF"/>
            <w:vAlign w:val="center"/>
          </w:tcPr>
          <w:p w14:paraId="1B69BCCD">
            <w:pPr>
              <w:pStyle w:val="33"/>
              <w:keepNext w:val="0"/>
              <w:keepLines w:val="0"/>
              <w:widowControl w:val="0"/>
              <w:shd w:val="clear" w:color="auto" w:fill="auto"/>
              <w:bidi w:val="0"/>
              <w:spacing w:before="0" w:after="0" w:line="240" w:lineRule="auto"/>
              <w:ind w:left="0" w:right="0" w:firstLine="44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一、密闭传输方式</w:t>
            </w:r>
          </w:p>
        </w:tc>
      </w:tr>
      <w:tr w14:paraId="7E9A747F">
        <w:tblPrEx>
          <w:tblCellMar>
            <w:top w:w="0" w:type="dxa"/>
            <w:left w:w="10" w:type="dxa"/>
            <w:bottom w:w="0" w:type="dxa"/>
            <w:right w:w="10" w:type="dxa"/>
          </w:tblCellMar>
        </w:tblPrEx>
        <w:trPr>
          <w:trHeight w:val="941" w:hRule="exact"/>
          <w:jc w:val="center"/>
        </w:trPr>
        <w:tc>
          <w:tcPr>
            <w:tcBorders>
              <w:top w:val="single" w:color="auto" w:sz="4" w:space="0"/>
              <w:left w:val="single" w:color="auto" w:sz="4" w:space="0"/>
            </w:tcBorders>
            <w:shd w:val="clear" w:color="auto" w:fill="FFFFFF"/>
            <w:vAlign w:val="bottom"/>
          </w:tcPr>
          <w:p w14:paraId="609E70BB">
            <w:pPr>
              <w:pStyle w:val="33"/>
              <w:keepNext w:val="0"/>
              <w:keepLines w:val="0"/>
              <w:widowControl w:val="0"/>
              <w:shd w:val="clear" w:color="auto" w:fill="auto"/>
              <w:bidi w:val="0"/>
              <w:spacing w:before="0" w:after="0" w:line="240" w:lineRule="auto"/>
              <w:ind w:left="0" w:right="0" w:firstLine="40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1</w:t>
            </w:r>
          </w:p>
        </w:tc>
        <w:tc>
          <w:tcPr>
            <w:tcBorders>
              <w:top w:val="single" w:color="auto" w:sz="4" w:space="0"/>
              <w:left w:val="single" w:color="auto" w:sz="4" w:space="0"/>
            </w:tcBorders>
            <w:shd w:val="clear" w:color="auto" w:fill="FFFFFF"/>
            <w:vAlign w:val="center"/>
          </w:tcPr>
          <w:p w14:paraId="46512A54">
            <w:pPr>
              <w:pStyle w:val="33"/>
              <w:keepNext w:val="0"/>
              <w:keepLines w:val="0"/>
              <w:widowControl w:val="0"/>
              <w:shd w:val="clear" w:color="auto" w:fill="auto"/>
              <w:bidi w:val="0"/>
              <w:spacing w:before="0" w:after="0" w:line="240" w:lineRule="auto"/>
              <w:ind w:left="0" w:right="0" w:firstLine="42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•无需额外防护设施</w:t>
            </w:r>
          </w:p>
          <w:p w14:paraId="7E8D7F54">
            <w:pPr>
              <w:pStyle w:val="33"/>
              <w:keepNext w:val="0"/>
              <w:keepLines w:val="0"/>
              <w:widowControl w:val="0"/>
              <w:shd w:val="clear" w:color="auto" w:fill="auto"/>
              <w:bidi w:val="0"/>
              <w:spacing w:before="0" w:after="0" w:line="240" w:lineRule="auto"/>
              <w:ind w:left="0" w:right="0" w:firstLine="42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•注意设施设备的连接处</w:t>
            </w:r>
          </w:p>
        </w:tc>
        <w:tc>
          <w:tcPr>
            <w:tcBorders>
              <w:top w:val="single" w:color="auto" w:sz="4" w:space="0"/>
              <w:left w:val="single" w:color="auto" w:sz="4" w:space="0"/>
              <w:right w:val="single" w:color="auto" w:sz="4" w:space="0"/>
            </w:tcBorders>
            <w:shd w:val="clear" w:color="auto" w:fill="FFFFFF"/>
            <w:vAlign w:val="center"/>
          </w:tcPr>
          <w:p w14:paraId="5A9195BB">
            <w:pPr>
              <w:pStyle w:val="33"/>
              <w:keepNext w:val="0"/>
              <w:keepLines w:val="0"/>
              <w:widowControl w:val="0"/>
              <w:shd w:val="clear" w:color="auto" w:fill="auto"/>
              <w:bidi w:val="0"/>
              <w:spacing w:before="0" w:after="0" w:line="269" w:lineRule="exact"/>
              <w:ind w:left="420" w:right="0" w:firstLine="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•制定检修计划•日常目视检查•日常维护</w:t>
            </w:r>
          </w:p>
        </w:tc>
      </w:tr>
      <w:tr w14:paraId="6EB573CE">
        <w:tblPrEx>
          <w:tblCellMar>
            <w:top w:w="0" w:type="dxa"/>
            <w:left w:w="10" w:type="dxa"/>
            <w:bottom w:w="0" w:type="dxa"/>
            <w:right w:w="10" w:type="dxa"/>
          </w:tblCellMar>
        </w:tblPrEx>
        <w:trPr>
          <w:trHeight w:val="576" w:hRule="exact"/>
          <w:jc w:val="center"/>
        </w:trPr>
        <w:tc>
          <w:tcPr>
            <w:gridSpan w:val="3"/>
            <w:tcBorders>
              <w:top w:val="single" w:color="auto" w:sz="4" w:space="0"/>
              <w:left w:val="single" w:color="auto" w:sz="4" w:space="0"/>
              <w:right w:val="single" w:color="auto" w:sz="4" w:space="0"/>
            </w:tcBorders>
            <w:shd w:val="clear" w:color="auto" w:fill="FFFFFF"/>
            <w:vAlign w:val="center"/>
          </w:tcPr>
          <w:p w14:paraId="230948EC">
            <w:pPr>
              <w:pStyle w:val="33"/>
              <w:keepNext w:val="0"/>
              <w:keepLines w:val="0"/>
              <w:widowControl w:val="0"/>
              <w:shd w:val="clear" w:color="auto" w:fill="auto"/>
              <w:bidi w:val="0"/>
              <w:spacing w:before="0" w:after="0" w:line="240" w:lineRule="auto"/>
              <w:ind w:left="0" w:right="0" w:firstLine="44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二、开放式传输方式</w:t>
            </w:r>
          </w:p>
        </w:tc>
      </w:tr>
      <w:tr w14:paraId="4DA802CF">
        <w:tblPrEx>
          <w:tblCellMar>
            <w:top w:w="0" w:type="dxa"/>
            <w:left w:w="10" w:type="dxa"/>
            <w:bottom w:w="0" w:type="dxa"/>
            <w:right w:w="10" w:type="dxa"/>
          </w:tblCellMar>
        </w:tblPrEx>
        <w:trPr>
          <w:trHeight w:val="643" w:hRule="exact"/>
          <w:jc w:val="center"/>
        </w:trPr>
        <w:tc>
          <w:tcPr>
            <w:tcBorders>
              <w:top w:val="single" w:color="auto" w:sz="4" w:space="0"/>
              <w:left w:val="single" w:color="auto" w:sz="4" w:space="0"/>
              <w:bottom w:val="single" w:color="auto" w:sz="4" w:space="0"/>
            </w:tcBorders>
            <w:shd w:val="clear" w:color="auto" w:fill="FFFFFF"/>
            <w:vAlign w:val="center"/>
          </w:tcPr>
          <w:p w14:paraId="0DD396DE">
            <w:pPr>
              <w:pStyle w:val="33"/>
              <w:keepNext w:val="0"/>
              <w:keepLines w:val="0"/>
              <w:widowControl w:val="0"/>
              <w:shd w:val="clear" w:color="auto" w:fill="auto"/>
              <w:bidi w:val="0"/>
              <w:spacing w:before="0" w:after="0" w:line="240" w:lineRule="auto"/>
              <w:ind w:left="0" w:right="0" w:firstLine="40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1</w:t>
            </w:r>
          </w:p>
        </w:tc>
        <w:tc>
          <w:tcPr>
            <w:tcBorders>
              <w:top w:val="single" w:color="auto" w:sz="4" w:space="0"/>
              <w:left w:val="single" w:color="auto" w:sz="4" w:space="0"/>
              <w:bottom w:val="single" w:color="auto" w:sz="4" w:space="0"/>
            </w:tcBorders>
            <w:shd w:val="clear" w:color="auto" w:fill="FFFFFF"/>
            <w:vAlign w:val="center"/>
          </w:tcPr>
          <w:p w14:paraId="12DC6ADF">
            <w:pPr>
              <w:pStyle w:val="33"/>
              <w:keepNext w:val="0"/>
              <w:keepLines w:val="0"/>
              <w:widowControl w:val="0"/>
              <w:shd w:val="clear" w:color="auto" w:fill="auto"/>
              <w:bidi w:val="0"/>
              <w:spacing w:before="0" w:after="0" w:line="240" w:lineRule="auto"/>
              <w:ind w:left="0" w:right="0" w:firstLine="42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•普通阻隔设施</w:t>
            </w:r>
          </w:p>
        </w:tc>
        <w:tc>
          <w:tcPr>
            <w:tcBorders>
              <w:top w:val="single" w:color="auto" w:sz="4" w:space="0"/>
              <w:left w:val="single" w:color="auto" w:sz="4" w:space="0"/>
              <w:bottom w:val="single" w:color="auto" w:sz="4" w:space="0"/>
              <w:right w:val="single" w:color="auto" w:sz="4" w:space="0"/>
            </w:tcBorders>
            <w:shd w:val="clear" w:color="auto" w:fill="FFFFFF"/>
            <w:vAlign w:val="center"/>
          </w:tcPr>
          <w:p w14:paraId="5DDF5CB6">
            <w:pPr>
              <w:pStyle w:val="33"/>
              <w:keepNext w:val="0"/>
              <w:keepLines w:val="0"/>
              <w:widowControl w:val="0"/>
              <w:shd w:val="clear" w:color="auto" w:fill="auto"/>
              <w:bidi w:val="0"/>
              <w:spacing w:before="0" w:after="0" w:line="269" w:lineRule="exact"/>
              <w:ind w:left="420" w:right="0" w:firstLine="0"/>
              <w:jc w:val="both"/>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•日常目视检查•有效应对泄漏事件</w:t>
            </w:r>
          </w:p>
        </w:tc>
      </w:tr>
    </w:tbl>
    <w:p w14:paraId="61CED87E">
      <w:pPr>
        <w:pStyle w:val="27"/>
        <w:bidi w:val="0"/>
        <w:ind w:left="0" w:leftChars="0" w:firstLine="560" w:firstLineChars="200"/>
        <w:rPr>
          <w:rFonts w:hint="eastAsia" w:ascii="仿宋_GB2312" w:hAnsi="仿宋_GB2312" w:eastAsia="仿宋_GB2312" w:cs="仿宋_GB2312"/>
        </w:rPr>
      </w:pPr>
      <w:r>
        <w:rPr>
          <w:rFonts w:hint="eastAsia" w:ascii="仿宋_GB2312" w:hAnsi="仿宋_GB2312" w:eastAsia="仿宋_GB2312" w:cs="仿宋_GB2312"/>
          <w:color w:val="000000"/>
          <w:spacing w:val="0"/>
          <w:w w:val="100"/>
          <w:position w:val="0"/>
        </w:rPr>
        <w:t>③包</w:t>
      </w:r>
      <w:r>
        <w:rPr>
          <w:rFonts w:hint="eastAsia" w:ascii="仿宋_GB2312" w:hAnsi="仿宋_GB2312" w:eastAsia="仿宋_GB2312" w:cs="仿宋_GB2312"/>
        </w:rPr>
        <w:t>装货物的储存和暂存包装货物储存和暂存造成土壤污染主要是包装材质不合适造成货物渗漏、流失或者扬散。可参考</w:t>
      </w:r>
      <w:r>
        <w:rPr>
          <w:rFonts w:hint="eastAsia" w:ascii="仿宋_GB2312" w:hAnsi="仿宋_GB2312" w:eastAsia="仿宋_GB2312" w:cs="仿宋_GB2312"/>
          <w:lang w:val="en-US" w:eastAsia="zh-CN"/>
        </w:rPr>
        <w:t>下表</w:t>
      </w:r>
      <w:r>
        <w:rPr>
          <w:rFonts w:hint="eastAsia" w:ascii="仿宋_GB2312" w:hAnsi="仿宋_GB2312" w:eastAsia="仿宋_GB2312" w:cs="仿宋_GB2312"/>
        </w:rPr>
        <w:t>开展排查和整改</w:t>
      </w:r>
      <w:r>
        <w:rPr>
          <w:rFonts w:hint="eastAsia" w:ascii="仿宋_GB2312" w:hAnsi="仿宋_GB2312" w:eastAsia="仿宋_GB2312" w:cs="仿宋_GB2312"/>
          <w:color w:val="000000"/>
          <w:spacing w:val="0"/>
          <w:w w:val="100"/>
          <w:position w:val="0"/>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166"/>
        <w:gridCol w:w="3710"/>
        <w:gridCol w:w="4022"/>
      </w:tblGrid>
      <w:tr w14:paraId="4EE30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86" w:hRule="exact"/>
          <w:jc w:val="center"/>
        </w:trPr>
        <w:tc>
          <w:tcPr>
            <w:shd w:val="clear" w:color="auto" w:fill="FFFFFF"/>
            <w:vAlign w:val="center"/>
          </w:tcPr>
          <w:p w14:paraId="2C685AD6">
            <w:pPr>
              <w:pStyle w:val="33"/>
              <w:keepNext w:val="0"/>
              <w:keepLines w:val="0"/>
              <w:widowControl w:val="0"/>
              <w:shd w:val="clear" w:color="auto" w:fill="auto"/>
              <w:bidi w:val="0"/>
              <w:spacing w:before="0" w:after="0" w:line="240" w:lineRule="auto"/>
              <w:ind w:left="0" w:right="0" w:firstLine="400"/>
              <w:jc w:val="left"/>
              <w:rPr>
                <w:rFonts w:hint="eastAsia" w:ascii="仿宋_GB2312" w:hAnsi="仿宋_GB2312" w:eastAsia="仿宋_GB2312" w:cs="仿宋_GB2312"/>
                <w:sz w:val="21"/>
                <w:szCs w:val="21"/>
                <w:lang w:eastAsia="zh-CN"/>
              </w:rPr>
            </w:pPr>
            <w:r>
              <w:rPr>
                <w:rFonts w:hint="eastAsia" w:ascii="仿宋_GB2312" w:hAnsi="仿宋_GB2312" w:eastAsia="仿宋_GB2312" w:cs="仿宋_GB2312"/>
                <w:color w:val="000000"/>
                <w:spacing w:val="0"/>
                <w:w w:val="100"/>
                <w:position w:val="0"/>
                <w:sz w:val="21"/>
                <w:szCs w:val="21"/>
                <w:lang w:val="en-US" w:eastAsia="zh-CN"/>
              </w:rPr>
              <w:t>序号</w:t>
            </w:r>
          </w:p>
        </w:tc>
        <w:tc>
          <w:tcPr>
            <w:shd w:val="clear" w:color="auto" w:fill="FFFFFF"/>
            <w:vAlign w:val="center"/>
          </w:tcPr>
          <w:p w14:paraId="4886372F">
            <w:pPr>
              <w:pStyle w:val="33"/>
              <w:keepNext w:val="0"/>
              <w:keepLines w:val="0"/>
              <w:widowControl w:val="0"/>
              <w:shd w:val="clear" w:color="auto" w:fill="auto"/>
              <w:bidi w:val="0"/>
              <w:spacing w:before="0" w:after="0" w:line="240" w:lineRule="auto"/>
              <w:ind w:left="0" w:right="0" w:firstLine="42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土壤污染预防设施</w:t>
            </w:r>
            <w:r>
              <w:rPr>
                <w:rFonts w:hint="eastAsia" w:ascii="仿宋_GB2312" w:hAnsi="仿宋_GB2312" w:eastAsia="仿宋_GB2312" w:cs="仿宋_GB2312"/>
                <w:b/>
                <w:bCs/>
                <w:color w:val="000000"/>
                <w:spacing w:val="0"/>
                <w:w w:val="100"/>
                <w:position w:val="0"/>
                <w:sz w:val="21"/>
                <w:szCs w:val="21"/>
              </w:rPr>
              <w:t>/</w:t>
            </w:r>
            <w:r>
              <w:rPr>
                <w:rFonts w:hint="eastAsia" w:ascii="仿宋_GB2312" w:hAnsi="仿宋_GB2312" w:eastAsia="仿宋_GB2312" w:cs="仿宋_GB2312"/>
                <w:color w:val="000000"/>
                <w:spacing w:val="0"/>
                <w:w w:val="100"/>
                <w:position w:val="0"/>
                <w:sz w:val="21"/>
                <w:szCs w:val="21"/>
              </w:rPr>
              <w:t>功能</w:t>
            </w:r>
          </w:p>
        </w:tc>
        <w:tc>
          <w:tcPr>
            <w:shd w:val="clear" w:color="auto" w:fill="FFFFFF"/>
            <w:vAlign w:val="center"/>
          </w:tcPr>
          <w:p w14:paraId="3C16D942">
            <w:pPr>
              <w:pStyle w:val="33"/>
              <w:keepNext w:val="0"/>
              <w:keepLines w:val="0"/>
              <w:widowControl w:val="0"/>
              <w:shd w:val="clear" w:color="auto" w:fill="auto"/>
              <w:bidi w:val="0"/>
              <w:spacing w:before="0" w:after="0" w:line="240" w:lineRule="auto"/>
              <w:ind w:left="0" w:right="0" w:firstLine="38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土壤污染预防措施</w:t>
            </w:r>
          </w:p>
        </w:tc>
      </w:tr>
      <w:tr w14:paraId="44F69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76" w:hRule="exact"/>
          <w:jc w:val="center"/>
        </w:trPr>
        <w:tc>
          <w:tcPr>
            <w:gridSpan w:val="3"/>
            <w:shd w:val="clear" w:color="auto" w:fill="FFFFFF"/>
            <w:vAlign w:val="center"/>
          </w:tcPr>
          <w:p w14:paraId="01B84F92">
            <w:pPr>
              <w:pStyle w:val="33"/>
              <w:keepNext w:val="0"/>
              <w:keepLines w:val="0"/>
              <w:widowControl w:val="0"/>
              <w:shd w:val="clear" w:color="auto" w:fill="auto"/>
              <w:bidi w:val="0"/>
              <w:spacing w:before="0" w:after="0" w:line="240" w:lineRule="auto"/>
              <w:ind w:left="0" w:right="0" w:firstLine="44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一、包装货物为固态物质</w:t>
            </w:r>
          </w:p>
        </w:tc>
      </w:tr>
      <w:tr w14:paraId="6C15D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41" w:hRule="exact"/>
          <w:jc w:val="center"/>
        </w:trPr>
        <w:tc>
          <w:tcPr>
            <w:shd w:val="clear" w:color="auto" w:fill="FFFFFF"/>
            <w:vAlign w:val="center"/>
          </w:tcPr>
          <w:p w14:paraId="541EEB9C">
            <w:pPr>
              <w:pStyle w:val="33"/>
              <w:keepNext w:val="0"/>
              <w:keepLines w:val="0"/>
              <w:widowControl w:val="0"/>
              <w:shd w:val="clear" w:color="auto" w:fill="auto"/>
              <w:bidi w:val="0"/>
              <w:spacing w:before="0" w:after="0" w:line="240" w:lineRule="auto"/>
              <w:ind w:left="0" w:right="0" w:firstLine="400"/>
              <w:jc w:val="both"/>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1</w:t>
            </w:r>
          </w:p>
        </w:tc>
        <w:tc>
          <w:tcPr>
            <w:shd w:val="clear" w:color="auto" w:fill="FFFFFF"/>
            <w:vAlign w:val="center"/>
          </w:tcPr>
          <w:p w14:paraId="6B9522C2">
            <w:pPr>
              <w:pStyle w:val="33"/>
              <w:keepNext w:val="0"/>
              <w:keepLines w:val="0"/>
              <w:widowControl w:val="0"/>
              <w:shd w:val="clear" w:color="auto" w:fill="auto"/>
              <w:bidi w:val="0"/>
              <w:spacing w:before="0" w:after="0" w:line="259" w:lineRule="exact"/>
              <w:ind w:left="0" w:right="0" w:firstLine="42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•普通阻隔设施</w:t>
            </w:r>
          </w:p>
          <w:p w14:paraId="24B4E620">
            <w:pPr>
              <w:pStyle w:val="33"/>
              <w:keepNext w:val="0"/>
              <w:keepLines w:val="0"/>
              <w:widowControl w:val="0"/>
              <w:shd w:val="clear" w:color="auto" w:fill="auto"/>
              <w:bidi w:val="0"/>
              <w:spacing w:before="0" w:after="0" w:line="259" w:lineRule="exact"/>
              <w:ind w:left="0" w:right="0" w:firstLine="42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•货物</w:t>
            </w:r>
            <w:r>
              <w:rPr>
                <w:rFonts w:hint="eastAsia" w:ascii="仿宋_GB2312" w:hAnsi="仿宋_GB2312" w:eastAsia="仿宋_GB2312" w:cs="仿宋_GB2312"/>
                <w:color w:val="000000"/>
                <w:spacing w:val="0"/>
                <w:w w:val="100"/>
                <w:position w:val="0"/>
                <w:sz w:val="21"/>
                <w:szCs w:val="21"/>
                <w:lang w:val="en-US" w:eastAsia="zh-CN"/>
              </w:rPr>
              <w:t>采</w:t>
            </w:r>
            <w:r>
              <w:rPr>
                <w:rFonts w:hint="eastAsia" w:ascii="仿宋_GB2312" w:hAnsi="仿宋_GB2312" w:eastAsia="仿宋_GB2312" w:cs="仿宋_GB2312"/>
                <w:color w:val="000000"/>
                <w:spacing w:val="0"/>
                <w:w w:val="100"/>
                <w:position w:val="0"/>
                <w:sz w:val="21"/>
                <w:szCs w:val="21"/>
              </w:rPr>
              <w:t>用合适的包装（适用于相关货物的储存，下同）</w:t>
            </w:r>
          </w:p>
        </w:tc>
        <w:tc>
          <w:tcPr>
            <w:shd w:val="clear" w:color="auto" w:fill="FFFFFF"/>
            <w:vAlign w:val="center"/>
          </w:tcPr>
          <w:p w14:paraId="1A6C1C31">
            <w:pPr>
              <w:pStyle w:val="33"/>
              <w:keepNext w:val="0"/>
              <w:keepLines w:val="0"/>
              <w:widowControl w:val="0"/>
              <w:shd w:val="clear" w:color="auto" w:fill="auto"/>
              <w:bidi w:val="0"/>
              <w:spacing w:before="0" w:after="0" w:line="269" w:lineRule="exact"/>
              <w:ind w:left="380" w:right="0" w:firstLine="4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•日常目视检查•有效应对泄漏事件</w:t>
            </w:r>
          </w:p>
        </w:tc>
      </w:tr>
      <w:tr w14:paraId="59844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49" w:hRule="exact"/>
          <w:jc w:val="center"/>
        </w:trPr>
        <w:tc>
          <w:tcPr>
            <w:shd w:val="clear" w:color="auto" w:fill="FFFFFF"/>
            <w:vAlign w:val="center"/>
          </w:tcPr>
          <w:p w14:paraId="1266AE47">
            <w:pPr>
              <w:pStyle w:val="33"/>
              <w:keepNext w:val="0"/>
              <w:keepLines w:val="0"/>
              <w:widowControl w:val="0"/>
              <w:shd w:val="clear" w:color="auto" w:fill="auto"/>
              <w:bidi w:val="0"/>
              <w:spacing w:before="0" w:after="0" w:line="240" w:lineRule="auto"/>
              <w:ind w:left="0" w:right="0" w:firstLine="40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2</w:t>
            </w:r>
          </w:p>
        </w:tc>
        <w:tc>
          <w:tcPr>
            <w:shd w:val="clear" w:color="auto" w:fill="FFFFFF"/>
            <w:vAlign w:val="center"/>
          </w:tcPr>
          <w:p w14:paraId="6C821F36">
            <w:pPr>
              <w:pStyle w:val="33"/>
              <w:keepNext w:val="0"/>
              <w:keepLines w:val="0"/>
              <w:widowControl w:val="0"/>
              <w:shd w:val="clear" w:color="auto" w:fill="auto"/>
              <w:bidi w:val="0"/>
              <w:spacing w:before="0" w:after="0" w:line="293" w:lineRule="exact"/>
              <w:ind w:left="0" w:right="0" w:firstLine="42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•防渗阻隔系统，且能防止雨水进入，或者及时有效排出雨水</w:t>
            </w:r>
          </w:p>
        </w:tc>
        <w:tc>
          <w:tcPr>
            <w:shd w:val="clear" w:color="auto" w:fill="FFFFFF"/>
            <w:vAlign w:val="center"/>
          </w:tcPr>
          <w:p w14:paraId="4138BA3E">
            <w:pPr>
              <w:pStyle w:val="33"/>
              <w:keepNext w:val="0"/>
              <w:keepLines w:val="0"/>
              <w:widowControl w:val="0"/>
              <w:shd w:val="clear" w:color="auto" w:fill="auto"/>
              <w:bidi w:val="0"/>
              <w:spacing w:before="0" w:after="0" w:line="264" w:lineRule="exact"/>
              <w:ind w:left="380" w:right="0" w:firstLine="4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•定期开展防渗效果检查•日常目视检查•日常维护</w:t>
            </w:r>
          </w:p>
        </w:tc>
      </w:tr>
      <w:tr w14:paraId="2EE96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76" w:hRule="exact"/>
          <w:jc w:val="center"/>
        </w:trPr>
        <w:tc>
          <w:tcPr>
            <w:gridSpan w:val="3"/>
            <w:shd w:val="clear" w:color="auto" w:fill="FFFFFF"/>
            <w:vAlign w:val="center"/>
          </w:tcPr>
          <w:p w14:paraId="1F2F92E9">
            <w:pPr>
              <w:pStyle w:val="33"/>
              <w:keepNext w:val="0"/>
              <w:keepLines w:val="0"/>
              <w:widowControl w:val="0"/>
              <w:shd w:val="clear" w:color="auto" w:fill="auto"/>
              <w:bidi w:val="0"/>
              <w:spacing w:before="0" w:after="0" w:line="240" w:lineRule="auto"/>
              <w:ind w:left="0" w:right="0" w:firstLine="44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二、包装货物为液态或者黏性物质</w:t>
            </w:r>
          </w:p>
        </w:tc>
      </w:tr>
      <w:tr w14:paraId="0B735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55" w:hRule="exact"/>
          <w:jc w:val="center"/>
        </w:trPr>
        <w:tc>
          <w:tcPr>
            <w:shd w:val="clear" w:color="auto" w:fill="FFFFFF"/>
            <w:vAlign w:val="center"/>
          </w:tcPr>
          <w:p w14:paraId="65D3670D">
            <w:pPr>
              <w:pStyle w:val="33"/>
              <w:keepNext w:val="0"/>
              <w:keepLines w:val="0"/>
              <w:widowControl w:val="0"/>
              <w:shd w:val="clear" w:color="auto" w:fill="auto"/>
              <w:bidi w:val="0"/>
              <w:spacing w:before="0" w:after="0" w:line="240" w:lineRule="auto"/>
              <w:ind w:left="0" w:right="0" w:firstLine="40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1</w:t>
            </w:r>
          </w:p>
        </w:tc>
        <w:tc>
          <w:tcPr>
            <w:shd w:val="clear" w:color="auto" w:fill="FFFFFF"/>
            <w:vAlign w:val="bottom"/>
          </w:tcPr>
          <w:p w14:paraId="231FC4FA">
            <w:pPr>
              <w:pStyle w:val="33"/>
              <w:keepNext w:val="0"/>
              <w:keepLines w:val="0"/>
              <w:widowControl w:val="0"/>
              <w:shd w:val="clear" w:color="auto" w:fill="auto"/>
              <w:bidi w:val="0"/>
              <w:spacing w:before="0" w:after="0" w:line="240" w:lineRule="auto"/>
              <w:ind w:left="0" w:right="0" w:firstLine="42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•普通阻隔设施</w:t>
            </w:r>
          </w:p>
          <w:p w14:paraId="2B424F9E">
            <w:pPr>
              <w:pStyle w:val="33"/>
              <w:keepNext w:val="0"/>
              <w:keepLines w:val="0"/>
              <w:widowControl w:val="0"/>
              <w:shd w:val="clear" w:color="auto" w:fill="auto"/>
              <w:bidi w:val="0"/>
              <w:spacing w:before="0" w:after="0" w:line="240" w:lineRule="auto"/>
              <w:ind w:left="0" w:right="0" w:firstLine="42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•货物采用合适的包装</w:t>
            </w:r>
          </w:p>
        </w:tc>
        <w:tc>
          <w:tcPr>
            <w:shd w:val="clear" w:color="auto" w:fill="FFFFFF"/>
            <w:vAlign w:val="bottom"/>
          </w:tcPr>
          <w:p w14:paraId="3CD5EE73">
            <w:pPr>
              <w:pStyle w:val="33"/>
              <w:keepNext w:val="0"/>
              <w:keepLines w:val="0"/>
              <w:widowControl w:val="0"/>
              <w:shd w:val="clear" w:color="auto" w:fill="auto"/>
              <w:bidi w:val="0"/>
              <w:spacing w:before="0" w:after="0" w:line="269" w:lineRule="exact"/>
              <w:ind w:left="380" w:right="0" w:firstLine="4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•日常目视检查•有效应对泄漏事件</w:t>
            </w:r>
          </w:p>
        </w:tc>
      </w:tr>
      <w:tr w14:paraId="34655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0" w:hRule="exact"/>
          <w:jc w:val="center"/>
        </w:trPr>
        <w:tc>
          <w:tcPr>
            <w:shd w:val="clear" w:color="auto" w:fill="FFFFFF"/>
            <w:vAlign w:val="center"/>
          </w:tcPr>
          <w:p w14:paraId="0C3403A6">
            <w:pPr>
              <w:pStyle w:val="33"/>
              <w:keepNext w:val="0"/>
              <w:keepLines w:val="0"/>
              <w:widowControl w:val="0"/>
              <w:shd w:val="clear" w:color="auto" w:fill="auto"/>
              <w:bidi w:val="0"/>
              <w:spacing w:before="0" w:after="0" w:line="240" w:lineRule="auto"/>
              <w:ind w:left="0" w:right="0" w:firstLine="40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2</w:t>
            </w:r>
          </w:p>
        </w:tc>
        <w:tc>
          <w:tcPr>
            <w:shd w:val="clear" w:color="auto" w:fill="FFFFFF"/>
            <w:vAlign w:val="bottom"/>
          </w:tcPr>
          <w:p w14:paraId="6EB056A2">
            <w:pPr>
              <w:pStyle w:val="33"/>
              <w:keepNext w:val="0"/>
              <w:keepLines w:val="0"/>
              <w:widowControl w:val="0"/>
              <w:shd w:val="clear" w:color="auto" w:fill="auto"/>
              <w:bidi w:val="0"/>
              <w:spacing w:before="0" w:after="0" w:line="240" w:lineRule="auto"/>
              <w:ind w:left="0" w:right="0" w:firstLine="42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•防滴漏设施</w:t>
            </w:r>
          </w:p>
          <w:p w14:paraId="133536A7">
            <w:pPr>
              <w:pStyle w:val="33"/>
              <w:keepNext w:val="0"/>
              <w:keepLines w:val="0"/>
              <w:widowControl w:val="0"/>
              <w:shd w:val="clear" w:color="auto" w:fill="auto"/>
              <w:bidi w:val="0"/>
              <w:spacing w:before="0" w:after="0" w:line="240" w:lineRule="auto"/>
              <w:ind w:left="0" w:right="0" w:firstLine="42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•货物</w:t>
            </w:r>
            <w:r>
              <w:rPr>
                <w:rFonts w:hint="eastAsia" w:ascii="仿宋_GB2312" w:hAnsi="仿宋_GB2312" w:eastAsia="仿宋_GB2312" w:cs="仿宋_GB2312"/>
                <w:color w:val="000000"/>
                <w:spacing w:val="0"/>
                <w:w w:val="100"/>
                <w:position w:val="0"/>
                <w:sz w:val="21"/>
                <w:szCs w:val="21"/>
                <w:lang w:val="en-US" w:eastAsia="zh-CN"/>
              </w:rPr>
              <w:t>采用</w:t>
            </w:r>
            <w:r>
              <w:rPr>
                <w:rFonts w:hint="eastAsia" w:ascii="仿宋_GB2312" w:hAnsi="仿宋_GB2312" w:eastAsia="仿宋_GB2312" w:cs="仿宋_GB2312"/>
                <w:color w:val="000000"/>
                <w:spacing w:val="0"/>
                <w:w w:val="100"/>
                <w:position w:val="0"/>
                <w:sz w:val="21"/>
                <w:szCs w:val="21"/>
              </w:rPr>
              <w:t>合适的包装</w:t>
            </w:r>
          </w:p>
        </w:tc>
        <w:tc>
          <w:tcPr>
            <w:shd w:val="clear" w:color="auto" w:fill="FFFFFF"/>
            <w:vAlign w:val="bottom"/>
          </w:tcPr>
          <w:p w14:paraId="41690729">
            <w:pPr>
              <w:pStyle w:val="33"/>
              <w:keepNext w:val="0"/>
              <w:keepLines w:val="0"/>
              <w:widowControl w:val="0"/>
              <w:shd w:val="clear" w:color="auto" w:fill="auto"/>
              <w:bidi w:val="0"/>
              <w:spacing w:before="0" w:after="0" w:line="254" w:lineRule="exact"/>
              <w:ind w:left="380" w:right="0" w:firstLine="4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•定期清空防滴漏设施•目视检查</w:t>
            </w:r>
          </w:p>
        </w:tc>
      </w:tr>
      <w:tr w14:paraId="748AD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288" w:hRule="exact"/>
          <w:jc w:val="center"/>
        </w:trPr>
        <w:tc>
          <w:tcPr>
            <w:shd w:val="clear" w:color="auto" w:fill="FFFFFF"/>
            <w:vAlign w:val="center"/>
          </w:tcPr>
          <w:p w14:paraId="1C00F51C">
            <w:pPr>
              <w:pStyle w:val="33"/>
              <w:keepNext w:val="0"/>
              <w:keepLines w:val="0"/>
              <w:widowControl w:val="0"/>
              <w:shd w:val="clear" w:color="auto" w:fill="auto"/>
              <w:bidi w:val="0"/>
              <w:spacing w:before="0" w:after="0" w:line="240" w:lineRule="auto"/>
              <w:ind w:left="0" w:right="0" w:firstLine="40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3</w:t>
            </w:r>
          </w:p>
        </w:tc>
        <w:tc>
          <w:tcPr>
            <w:shd w:val="clear" w:color="auto" w:fill="FFFFFF"/>
            <w:vAlign w:val="center"/>
          </w:tcPr>
          <w:p w14:paraId="5B811B12">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420"/>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•防渗阻隔系统，且能防止雨水进入，或者及时有效排出雨水</w:t>
            </w:r>
          </w:p>
          <w:p w14:paraId="76147E27">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420"/>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•渗漏、流失的液体能得到有效</w:t>
            </w:r>
          </w:p>
          <w:p w14:paraId="44CA5464">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收集并定期清理</w:t>
            </w:r>
          </w:p>
        </w:tc>
        <w:tc>
          <w:tcPr>
            <w:shd w:val="clear" w:color="auto" w:fill="FFFFFF"/>
            <w:vAlign w:val="center"/>
          </w:tcPr>
          <w:p w14:paraId="1481A5B4">
            <w:pPr>
              <w:pStyle w:val="33"/>
              <w:keepNext w:val="0"/>
              <w:keepLines w:val="0"/>
              <w:widowControl w:val="0"/>
              <w:shd w:val="clear" w:color="auto" w:fill="auto"/>
              <w:bidi w:val="0"/>
              <w:spacing w:before="0" w:after="0" w:line="271" w:lineRule="exact"/>
              <w:ind w:left="380" w:right="0" w:firstLine="4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•定期开展防渗效果检查•日常目视检查•日常维护</w:t>
            </w:r>
          </w:p>
        </w:tc>
      </w:tr>
    </w:tbl>
    <w:p w14:paraId="6C3D7F65">
      <w:pPr>
        <w:pStyle w:val="27"/>
        <w:bidi w:val="0"/>
        <w:rPr>
          <w:rFonts w:hint="eastAsia" w:ascii="仿宋_GB2312" w:hAnsi="仿宋_GB2312" w:eastAsia="仿宋_GB2312" w:cs="仿宋_GB2312"/>
        </w:rPr>
      </w:pPr>
      <w:r>
        <w:rPr>
          <w:rFonts w:hint="eastAsia" w:ascii="仿宋_GB2312" w:hAnsi="仿宋_GB2312" w:eastAsia="仿宋_GB2312" w:cs="仿宋_GB2312"/>
        </w:rPr>
        <w:t>④开放式装卸</w:t>
      </w:r>
    </w:p>
    <w:p w14:paraId="1A6B1CFC">
      <w:pPr>
        <w:pStyle w:val="27"/>
        <w:bidi w:val="0"/>
        <w:rPr>
          <w:rFonts w:hint="eastAsia" w:ascii="仿宋_GB2312" w:hAnsi="仿宋_GB2312" w:eastAsia="仿宋_GB2312" w:cs="仿宋_GB2312"/>
        </w:rPr>
      </w:pPr>
      <w:r>
        <w:rPr>
          <w:rFonts w:hint="eastAsia" w:ascii="仿宋_GB2312" w:hAnsi="仿宋_GB2312" w:eastAsia="仿宋_GB2312" w:cs="仿宋_GB2312"/>
        </w:rPr>
        <w:t>倾倒、填开放式装卸造成土壤污染主要是物料在倾倒或者填充过程中的流失、扬散或者遗撒。可参考</w:t>
      </w:r>
      <w:r>
        <w:rPr>
          <w:rFonts w:hint="eastAsia" w:ascii="仿宋_GB2312" w:hAnsi="仿宋_GB2312" w:eastAsia="仿宋_GB2312" w:cs="仿宋_GB2312"/>
          <w:lang w:val="en-US" w:eastAsia="zh-CN"/>
        </w:rPr>
        <w:t>下表</w:t>
      </w:r>
      <w:r>
        <w:rPr>
          <w:rFonts w:hint="eastAsia" w:ascii="仿宋_GB2312" w:hAnsi="仿宋_GB2312" w:eastAsia="仿宋_GB2312" w:cs="仿宋_GB2312"/>
        </w:rPr>
        <w:t>开展排查和整改。</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070"/>
        <w:gridCol w:w="3811"/>
        <w:gridCol w:w="4003"/>
      </w:tblGrid>
      <w:tr w14:paraId="49E60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81" w:hRule="exact"/>
          <w:jc w:val="center"/>
        </w:trPr>
        <w:tc>
          <w:tcPr>
            <w:shd w:val="clear" w:color="auto" w:fill="FFFFFF"/>
            <w:vAlign w:val="center"/>
          </w:tcPr>
          <w:p w14:paraId="0150E19B">
            <w:pPr>
              <w:pStyle w:val="33"/>
              <w:keepNext w:val="0"/>
              <w:keepLines w:val="0"/>
              <w:widowControl w:val="0"/>
              <w:shd w:val="clear" w:color="auto" w:fill="auto"/>
              <w:bidi w:val="0"/>
              <w:spacing w:before="0" w:after="0" w:line="240" w:lineRule="auto"/>
              <w:ind w:left="0" w:right="0" w:firstLine="400"/>
              <w:jc w:val="left"/>
              <w:rPr>
                <w:rFonts w:hint="eastAsia" w:ascii="仿宋_GB2312" w:hAnsi="仿宋_GB2312" w:eastAsia="仿宋_GB2312" w:cs="仿宋_GB2312"/>
                <w:sz w:val="21"/>
                <w:szCs w:val="21"/>
                <w:lang w:eastAsia="zh-CN"/>
              </w:rPr>
            </w:pPr>
            <w:r>
              <w:rPr>
                <w:rFonts w:hint="eastAsia" w:ascii="仿宋_GB2312" w:hAnsi="仿宋_GB2312" w:eastAsia="仿宋_GB2312" w:cs="仿宋_GB2312"/>
                <w:b/>
                <w:bCs/>
                <w:color w:val="000000"/>
                <w:spacing w:val="0"/>
                <w:w w:val="100"/>
                <w:position w:val="0"/>
                <w:sz w:val="21"/>
                <w:szCs w:val="21"/>
                <w:lang w:val="en-US" w:eastAsia="zh-CN"/>
              </w:rPr>
              <w:t>序号</w:t>
            </w:r>
          </w:p>
        </w:tc>
        <w:tc>
          <w:tcPr>
            <w:shd w:val="clear" w:color="auto" w:fill="FFFFFF"/>
            <w:vAlign w:val="center"/>
          </w:tcPr>
          <w:p w14:paraId="7F1EE36C">
            <w:pPr>
              <w:pStyle w:val="33"/>
              <w:keepNext w:val="0"/>
              <w:keepLines w:val="0"/>
              <w:widowControl w:val="0"/>
              <w:shd w:val="clear" w:color="auto" w:fill="auto"/>
              <w:bidi w:val="0"/>
              <w:spacing w:before="0" w:after="0" w:line="240" w:lineRule="auto"/>
              <w:ind w:left="0" w:right="0" w:firstLine="420"/>
              <w:jc w:val="left"/>
              <w:rPr>
                <w:rFonts w:hint="eastAsia" w:ascii="仿宋_GB2312" w:hAnsi="仿宋_GB2312" w:eastAsia="仿宋_GB2312" w:cs="仿宋_GB2312"/>
                <w:sz w:val="21"/>
                <w:szCs w:val="21"/>
              </w:rPr>
            </w:pPr>
            <w:r>
              <w:rPr>
                <w:rFonts w:hint="eastAsia" w:ascii="仿宋_GB2312" w:hAnsi="仿宋_GB2312" w:eastAsia="仿宋_GB2312" w:cs="仿宋_GB2312"/>
                <w:b/>
                <w:bCs/>
                <w:color w:val="000000"/>
                <w:spacing w:val="0"/>
                <w:w w:val="100"/>
                <w:position w:val="0"/>
                <w:sz w:val="21"/>
                <w:szCs w:val="21"/>
              </w:rPr>
              <w:t>土壤污染预防设施/功能</w:t>
            </w:r>
          </w:p>
        </w:tc>
        <w:tc>
          <w:tcPr>
            <w:shd w:val="clear" w:color="auto" w:fill="FFFFFF"/>
            <w:vAlign w:val="center"/>
          </w:tcPr>
          <w:p w14:paraId="155122B0">
            <w:pPr>
              <w:pStyle w:val="33"/>
              <w:keepNext w:val="0"/>
              <w:keepLines w:val="0"/>
              <w:widowControl w:val="0"/>
              <w:shd w:val="clear" w:color="auto" w:fill="auto"/>
              <w:bidi w:val="0"/>
              <w:spacing w:before="0" w:after="0" w:line="240" w:lineRule="auto"/>
              <w:ind w:left="400" w:right="0" w:firstLine="20"/>
              <w:jc w:val="left"/>
              <w:rPr>
                <w:rFonts w:hint="eastAsia" w:ascii="仿宋_GB2312" w:hAnsi="仿宋_GB2312" w:eastAsia="仿宋_GB2312" w:cs="仿宋_GB2312"/>
                <w:sz w:val="21"/>
                <w:szCs w:val="21"/>
              </w:rPr>
            </w:pPr>
            <w:r>
              <w:rPr>
                <w:rFonts w:hint="eastAsia" w:ascii="仿宋_GB2312" w:hAnsi="仿宋_GB2312" w:eastAsia="仿宋_GB2312" w:cs="仿宋_GB2312"/>
                <w:b/>
                <w:bCs/>
                <w:color w:val="000000"/>
                <w:spacing w:val="0"/>
                <w:w w:val="100"/>
                <w:position w:val="0"/>
                <w:sz w:val="21"/>
                <w:szCs w:val="21"/>
              </w:rPr>
              <w:t>土壤污染预防措施</w:t>
            </w:r>
          </w:p>
        </w:tc>
      </w:tr>
      <w:tr w14:paraId="02217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53" w:hRule="exact"/>
          <w:jc w:val="center"/>
        </w:trPr>
        <w:tc>
          <w:tcPr>
            <w:shd w:val="clear" w:color="auto" w:fill="FFFFFF"/>
            <w:vAlign w:val="center"/>
          </w:tcPr>
          <w:p w14:paraId="39EEB60C">
            <w:pPr>
              <w:pStyle w:val="33"/>
              <w:keepNext w:val="0"/>
              <w:keepLines w:val="0"/>
              <w:widowControl w:val="0"/>
              <w:shd w:val="clear" w:color="auto" w:fill="auto"/>
              <w:bidi w:val="0"/>
              <w:spacing w:before="0" w:after="0" w:line="240" w:lineRule="auto"/>
              <w:ind w:left="0" w:right="0" w:firstLine="40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1</w:t>
            </w:r>
          </w:p>
        </w:tc>
        <w:tc>
          <w:tcPr>
            <w:shd w:val="clear" w:color="auto" w:fill="FFFFFF"/>
            <w:vAlign w:val="bottom"/>
          </w:tcPr>
          <w:p w14:paraId="62FE8108">
            <w:pPr>
              <w:pStyle w:val="33"/>
              <w:keepNext w:val="0"/>
              <w:keepLines w:val="0"/>
              <w:widowControl w:val="0"/>
              <w:shd w:val="clear" w:color="auto" w:fill="auto"/>
              <w:bidi w:val="0"/>
              <w:spacing w:before="0" w:after="0" w:line="240" w:lineRule="auto"/>
              <w:ind w:left="0" w:right="0" w:firstLine="420"/>
              <w:jc w:val="left"/>
              <w:rPr>
                <w:rFonts w:hint="eastAsia" w:ascii="仿宋_GB2312" w:hAnsi="仿宋_GB2312" w:eastAsia="仿宋_GB2312" w:cs="仿宋_GB2312"/>
                <w:color w:val="000000"/>
                <w:spacing w:val="0"/>
                <w:w w:val="100"/>
                <w:position w:val="0"/>
                <w:sz w:val="21"/>
                <w:szCs w:val="21"/>
              </w:rPr>
            </w:pPr>
            <w:r>
              <w:rPr>
                <w:rFonts w:hint="eastAsia" w:ascii="仿宋_GB2312" w:hAnsi="仿宋_GB2312" w:eastAsia="仿宋_GB2312" w:cs="仿宋_GB2312"/>
                <w:color w:val="000000"/>
                <w:spacing w:val="0"/>
                <w:w w:val="100"/>
                <w:position w:val="0"/>
                <w:sz w:val="21"/>
                <w:szCs w:val="21"/>
              </w:rPr>
              <w:t>•普通阻隔设施</w:t>
            </w:r>
          </w:p>
          <w:p w14:paraId="26F5FABB">
            <w:pPr>
              <w:pStyle w:val="33"/>
              <w:keepNext w:val="0"/>
              <w:keepLines w:val="0"/>
              <w:widowControl w:val="0"/>
              <w:shd w:val="clear" w:color="auto" w:fill="auto"/>
              <w:bidi w:val="0"/>
              <w:spacing w:before="0" w:after="0" w:line="240" w:lineRule="auto"/>
              <w:ind w:left="0" w:right="0" w:firstLine="420"/>
              <w:jc w:val="left"/>
              <w:rPr>
                <w:rFonts w:hint="eastAsia" w:ascii="仿宋_GB2312" w:hAnsi="仿宋_GB2312" w:eastAsia="仿宋_GB2312" w:cs="仿宋_GB2312"/>
                <w:color w:val="000000"/>
                <w:spacing w:val="0"/>
                <w:w w:val="100"/>
                <w:position w:val="0"/>
                <w:sz w:val="21"/>
                <w:szCs w:val="21"/>
              </w:rPr>
            </w:pPr>
            <w:r>
              <w:rPr>
                <w:rFonts w:hint="eastAsia" w:ascii="仿宋_GB2312" w:hAnsi="仿宋_GB2312" w:eastAsia="仿宋_GB2312" w:cs="仿宋_GB2312"/>
                <w:color w:val="000000"/>
                <w:spacing w:val="0"/>
                <w:w w:val="100"/>
                <w:position w:val="0"/>
                <w:sz w:val="21"/>
                <w:szCs w:val="21"/>
              </w:rPr>
              <w:t>•防止雨水进入阻隔设施</w:t>
            </w:r>
          </w:p>
        </w:tc>
        <w:tc>
          <w:tcPr>
            <w:shd w:val="clear" w:color="auto" w:fill="FFFFFF"/>
            <w:vAlign w:val="bottom"/>
          </w:tcPr>
          <w:p w14:paraId="4813D492">
            <w:pPr>
              <w:pStyle w:val="33"/>
              <w:keepNext w:val="0"/>
              <w:keepLines w:val="0"/>
              <w:widowControl w:val="0"/>
              <w:shd w:val="clear" w:color="auto" w:fill="auto"/>
              <w:bidi w:val="0"/>
              <w:spacing w:before="0" w:after="0" w:line="240" w:lineRule="auto"/>
              <w:ind w:left="400" w:right="0" w:firstLine="20"/>
              <w:jc w:val="left"/>
              <w:rPr>
                <w:rFonts w:hint="eastAsia" w:ascii="仿宋_GB2312" w:hAnsi="仿宋_GB2312" w:eastAsia="仿宋_GB2312" w:cs="仿宋_GB2312"/>
                <w:color w:val="000000"/>
                <w:spacing w:val="0"/>
                <w:w w:val="100"/>
                <w:position w:val="0"/>
                <w:sz w:val="21"/>
                <w:szCs w:val="21"/>
              </w:rPr>
            </w:pPr>
            <w:r>
              <w:rPr>
                <w:rFonts w:hint="eastAsia" w:ascii="仿宋_GB2312" w:hAnsi="仿宋_GB2312" w:eastAsia="仿宋_GB2312" w:cs="仿宋_GB2312"/>
                <w:color w:val="000000"/>
                <w:spacing w:val="0"/>
                <w:w w:val="100"/>
                <w:position w:val="0"/>
                <w:sz w:val="21"/>
                <w:szCs w:val="21"/>
              </w:rPr>
              <w:t>•日常目视检查</w:t>
            </w:r>
          </w:p>
          <w:p w14:paraId="5BB69FDF">
            <w:pPr>
              <w:pStyle w:val="33"/>
              <w:keepNext w:val="0"/>
              <w:keepLines w:val="0"/>
              <w:widowControl w:val="0"/>
              <w:shd w:val="clear" w:color="auto" w:fill="auto"/>
              <w:bidi w:val="0"/>
              <w:spacing w:before="0" w:after="0" w:line="240" w:lineRule="auto"/>
              <w:ind w:left="400" w:right="0" w:firstLine="20"/>
              <w:jc w:val="left"/>
              <w:rPr>
                <w:rFonts w:hint="eastAsia" w:ascii="仿宋_GB2312" w:hAnsi="仿宋_GB2312" w:eastAsia="仿宋_GB2312" w:cs="仿宋_GB2312"/>
                <w:color w:val="000000"/>
                <w:spacing w:val="0"/>
                <w:w w:val="100"/>
                <w:position w:val="0"/>
                <w:sz w:val="21"/>
                <w:szCs w:val="21"/>
              </w:rPr>
            </w:pPr>
            <w:r>
              <w:rPr>
                <w:rFonts w:hint="eastAsia" w:ascii="仿宋_GB2312" w:hAnsi="仿宋_GB2312" w:eastAsia="仿宋_GB2312" w:cs="仿宋_GB2312"/>
                <w:color w:val="000000"/>
                <w:spacing w:val="0"/>
                <w:w w:val="100"/>
                <w:position w:val="0"/>
                <w:sz w:val="21"/>
                <w:szCs w:val="21"/>
              </w:rPr>
              <w:t>•有效应对泄漏事件</w:t>
            </w:r>
          </w:p>
        </w:tc>
      </w:tr>
      <w:tr w14:paraId="4C32C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234" w:hRule="exact"/>
          <w:jc w:val="center"/>
        </w:trPr>
        <w:tc>
          <w:tcPr>
            <w:shd w:val="clear" w:color="auto" w:fill="FFFFFF"/>
            <w:vAlign w:val="center"/>
          </w:tcPr>
          <w:p w14:paraId="7D427CC1">
            <w:pPr>
              <w:pStyle w:val="33"/>
              <w:keepNext w:val="0"/>
              <w:keepLines w:val="0"/>
              <w:widowControl w:val="0"/>
              <w:shd w:val="clear" w:color="auto" w:fill="auto"/>
              <w:bidi w:val="0"/>
              <w:spacing w:before="0" w:after="0" w:line="240" w:lineRule="auto"/>
              <w:ind w:left="0" w:right="0" w:firstLine="400"/>
              <w:jc w:val="both"/>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2</w:t>
            </w:r>
          </w:p>
        </w:tc>
        <w:tc>
          <w:tcPr>
            <w:shd w:val="clear" w:color="auto" w:fill="FFFFFF"/>
            <w:vAlign w:val="center"/>
          </w:tcPr>
          <w:p w14:paraId="63635DAB">
            <w:pPr>
              <w:pStyle w:val="33"/>
              <w:keepNext w:val="0"/>
              <w:keepLines w:val="0"/>
              <w:widowControl w:val="0"/>
              <w:shd w:val="clear" w:color="auto" w:fill="auto"/>
              <w:bidi w:val="0"/>
              <w:spacing w:before="0" w:after="40" w:line="240" w:lineRule="auto"/>
              <w:ind w:left="0" w:right="0" w:firstLine="42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•防滴漏设施</w:t>
            </w:r>
          </w:p>
          <w:p w14:paraId="3E1B8184">
            <w:pPr>
              <w:pStyle w:val="33"/>
              <w:keepNext w:val="0"/>
              <w:keepLines w:val="0"/>
              <w:widowControl w:val="0"/>
              <w:shd w:val="clear" w:color="auto" w:fill="auto"/>
              <w:bidi w:val="0"/>
              <w:spacing w:before="0" w:after="0" w:line="240" w:lineRule="auto"/>
              <w:ind w:left="0" w:right="0" w:firstLine="42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•防止雨水造成防滴漏设施满溢</w:t>
            </w:r>
          </w:p>
        </w:tc>
        <w:tc>
          <w:tcPr>
            <w:shd w:val="clear" w:color="auto" w:fill="FFFFFF"/>
            <w:vAlign w:val="center"/>
          </w:tcPr>
          <w:p w14:paraId="608ED1BA">
            <w:pPr>
              <w:pStyle w:val="33"/>
              <w:keepNext w:val="0"/>
              <w:keepLines w:val="0"/>
              <w:widowControl w:val="0"/>
              <w:shd w:val="clear" w:color="auto" w:fill="auto"/>
              <w:bidi w:val="0"/>
              <w:spacing w:before="0" w:after="40" w:line="240" w:lineRule="auto"/>
              <w:ind w:left="400" w:right="0" w:firstLine="2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•定期清空防滴漏设施</w:t>
            </w:r>
          </w:p>
          <w:p w14:paraId="5E9F6387">
            <w:pPr>
              <w:pStyle w:val="33"/>
              <w:keepNext w:val="0"/>
              <w:keepLines w:val="0"/>
              <w:widowControl w:val="0"/>
              <w:shd w:val="clear" w:color="auto" w:fill="auto"/>
              <w:bidi w:val="0"/>
              <w:spacing w:before="0" w:after="40" w:line="240" w:lineRule="auto"/>
              <w:ind w:left="400" w:right="0" w:firstLine="2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•日常目视检查</w:t>
            </w:r>
          </w:p>
          <w:p w14:paraId="0CFEF1E5">
            <w:pPr>
              <w:pStyle w:val="33"/>
              <w:keepNext w:val="0"/>
              <w:keepLines w:val="0"/>
              <w:widowControl w:val="0"/>
              <w:shd w:val="clear" w:color="auto" w:fill="auto"/>
              <w:bidi w:val="0"/>
              <w:spacing w:before="0" w:after="40" w:line="240" w:lineRule="auto"/>
              <w:ind w:left="400" w:right="0" w:firstLine="2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•日常维护</w:t>
            </w:r>
          </w:p>
        </w:tc>
      </w:tr>
      <w:tr w14:paraId="562FE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267" w:hRule="exact"/>
          <w:jc w:val="center"/>
        </w:trPr>
        <w:tc>
          <w:tcPr>
            <w:shd w:val="clear" w:color="auto" w:fill="FFFFFF"/>
            <w:vAlign w:val="center"/>
          </w:tcPr>
          <w:p w14:paraId="08B2BC25">
            <w:pPr>
              <w:pStyle w:val="33"/>
              <w:keepNext w:val="0"/>
              <w:keepLines w:val="0"/>
              <w:widowControl w:val="0"/>
              <w:shd w:val="clear" w:color="auto" w:fill="auto"/>
              <w:bidi w:val="0"/>
              <w:spacing w:before="0" w:after="0" w:line="240" w:lineRule="auto"/>
              <w:ind w:left="0" w:right="0" w:firstLine="40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3</w:t>
            </w:r>
          </w:p>
        </w:tc>
        <w:tc>
          <w:tcPr>
            <w:shd w:val="clear" w:color="auto" w:fill="FFFFFF"/>
            <w:vAlign w:val="center"/>
          </w:tcPr>
          <w:p w14:paraId="3FDF6ADE">
            <w:pPr>
              <w:pStyle w:val="33"/>
              <w:keepNext w:val="0"/>
              <w:keepLines w:val="0"/>
              <w:widowControl w:val="0"/>
              <w:shd w:val="clear" w:color="auto" w:fill="auto"/>
              <w:bidi w:val="0"/>
              <w:spacing w:before="0" w:after="0" w:line="259" w:lineRule="exact"/>
              <w:ind w:left="0" w:right="0" w:firstLine="42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•防渗阻隔系统，且能防止雨水进入，或者及时有效排出雨水</w:t>
            </w:r>
          </w:p>
          <w:p w14:paraId="4654572A">
            <w:pPr>
              <w:pStyle w:val="33"/>
              <w:keepNext w:val="0"/>
              <w:keepLines w:val="0"/>
              <w:widowControl w:val="0"/>
              <w:shd w:val="clear" w:color="auto" w:fill="auto"/>
              <w:bidi w:val="0"/>
              <w:spacing w:before="0" w:after="0" w:line="259" w:lineRule="exact"/>
              <w:ind w:left="0" w:right="0" w:firstLine="42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•渗漏、流失的液体能得到有效收集并定期清理</w:t>
            </w:r>
          </w:p>
        </w:tc>
        <w:tc>
          <w:tcPr>
            <w:shd w:val="clear" w:color="auto" w:fill="FFFFFF"/>
            <w:vAlign w:val="center"/>
          </w:tcPr>
          <w:p w14:paraId="0A189656">
            <w:pPr>
              <w:pStyle w:val="33"/>
              <w:keepNext w:val="0"/>
              <w:keepLines w:val="0"/>
              <w:widowControl w:val="0"/>
              <w:shd w:val="clear" w:color="auto" w:fill="auto"/>
              <w:bidi w:val="0"/>
              <w:spacing w:before="0" w:after="0" w:line="264" w:lineRule="exact"/>
              <w:ind w:left="400" w:right="0" w:firstLine="2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•定期开展防渗效果检查•日常目视检查•日常维护</w:t>
            </w:r>
          </w:p>
        </w:tc>
      </w:tr>
    </w:tbl>
    <w:p w14:paraId="39A9904B">
      <w:pPr>
        <w:pStyle w:val="27"/>
        <w:bidi w:val="0"/>
      </w:pPr>
      <w:r>
        <w:rPr>
          <w:rFonts w:hint="eastAsia" w:ascii="仿宋_GB2312" w:hAnsi="仿宋_GB2312" w:eastAsia="仿宋_GB2312" w:cs="仿宋_GB2312"/>
        </w:rPr>
        <w:t>（4）生产区</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133"/>
        <w:gridCol w:w="3571"/>
        <w:gridCol w:w="3869"/>
      </w:tblGrid>
      <w:tr w14:paraId="30473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81" w:hRule="exact"/>
          <w:jc w:val="center"/>
        </w:trPr>
        <w:tc>
          <w:tcPr>
            <w:shd w:val="clear" w:color="auto" w:fill="FFFFFF"/>
            <w:vAlign w:val="center"/>
          </w:tcPr>
          <w:p w14:paraId="3CD2449B">
            <w:pPr>
              <w:pStyle w:val="27"/>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rPr>
              <w:t>生产加工装置一般包括密闭、开放和半开放类型。密闭设备指在正常运行管理期间无需打开，物料主要通过管道填充和排空，例如半开放式设备指在运行管理期间需要打开设备，开展计量、加注、填充等活动，需要配套土壤污染预防设施和规范的操作规程，避免土壤受到污染；开放式设备无法避免物料在设备中的泄漏、渗漏，例如喷洒、清洗设备等。可参考</w:t>
            </w:r>
            <w:r>
              <w:rPr>
                <w:rFonts w:hint="eastAsia" w:ascii="仿宋_GB2312" w:hAnsi="仿宋_GB2312" w:eastAsia="仿宋_GB2312" w:cs="仿宋_GB2312"/>
                <w:sz w:val="21"/>
                <w:szCs w:val="21"/>
                <w:lang w:val="en-US" w:eastAsia="zh-CN"/>
              </w:rPr>
              <w:t>下表</w:t>
            </w:r>
            <w:r>
              <w:rPr>
                <w:rFonts w:hint="eastAsia" w:ascii="仿宋_GB2312" w:hAnsi="仿宋_GB2312" w:eastAsia="仿宋_GB2312" w:cs="仿宋_GB2312"/>
                <w:sz w:val="21"/>
                <w:szCs w:val="21"/>
              </w:rPr>
              <w:t>开展排查和整改。</w:t>
            </w:r>
            <w:r>
              <w:rPr>
                <w:rFonts w:hint="eastAsia" w:ascii="仿宋_GB2312" w:hAnsi="仿宋_GB2312" w:eastAsia="仿宋_GB2312" w:cs="仿宋_GB2312"/>
                <w:color w:val="000000"/>
                <w:spacing w:val="0"/>
                <w:w w:val="100"/>
                <w:position w:val="0"/>
                <w:sz w:val="21"/>
                <w:szCs w:val="21"/>
                <w:lang w:val="en-US" w:eastAsia="zh-CN"/>
              </w:rPr>
              <w:t>序号</w:t>
            </w:r>
          </w:p>
        </w:tc>
        <w:tc>
          <w:tcPr>
            <w:shd w:val="clear" w:color="auto" w:fill="FFFFFF"/>
            <w:vAlign w:val="center"/>
          </w:tcPr>
          <w:p w14:paraId="06995271">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土壤污染预防设施</w:t>
            </w:r>
            <w:r>
              <w:rPr>
                <w:rFonts w:hint="eastAsia" w:ascii="仿宋_GB2312" w:hAnsi="仿宋_GB2312" w:eastAsia="仿宋_GB2312" w:cs="仿宋_GB2312"/>
                <w:b/>
                <w:bCs/>
                <w:color w:val="000000"/>
                <w:spacing w:val="0"/>
                <w:w w:val="100"/>
                <w:position w:val="0"/>
                <w:sz w:val="21"/>
                <w:szCs w:val="21"/>
              </w:rPr>
              <w:t>/</w:t>
            </w:r>
            <w:r>
              <w:rPr>
                <w:rFonts w:hint="eastAsia" w:ascii="仿宋_GB2312" w:hAnsi="仿宋_GB2312" w:eastAsia="仿宋_GB2312" w:cs="仿宋_GB2312"/>
                <w:color w:val="000000"/>
                <w:spacing w:val="0"/>
                <w:w w:val="100"/>
                <w:position w:val="0"/>
                <w:sz w:val="21"/>
                <w:szCs w:val="21"/>
              </w:rPr>
              <w:t>功能</w:t>
            </w:r>
          </w:p>
        </w:tc>
        <w:tc>
          <w:tcPr>
            <w:shd w:val="clear" w:color="auto" w:fill="FFFFFF"/>
            <w:vAlign w:val="center"/>
          </w:tcPr>
          <w:p w14:paraId="5C19A39D">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土壤污染预防措施</w:t>
            </w:r>
          </w:p>
        </w:tc>
      </w:tr>
      <w:tr w14:paraId="10397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76" w:hRule="exact"/>
          <w:jc w:val="center"/>
        </w:trPr>
        <w:tc>
          <w:tcPr>
            <w:gridSpan w:val="3"/>
            <w:shd w:val="clear" w:color="auto" w:fill="FFFFFF"/>
            <w:vAlign w:val="center"/>
          </w:tcPr>
          <w:p w14:paraId="6D79238C">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一、密闭设备</w:t>
            </w:r>
          </w:p>
        </w:tc>
      </w:tr>
      <w:tr w14:paraId="6B2C0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296" w:hRule="exact"/>
          <w:jc w:val="center"/>
        </w:trPr>
        <w:tc>
          <w:tcPr>
            <w:shd w:val="clear" w:color="auto" w:fill="FFFFFF"/>
            <w:vAlign w:val="center"/>
          </w:tcPr>
          <w:p w14:paraId="7272043C">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1</w:t>
            </w:r>
          </w:p>
        </w:tc>
        <w:tc>
          <w:tcPr>
            <w:shd w:val="clear" w:color="auto" w:fill="FFFFFF"/>
            <w:vAlign w:val="center"/>
          </w:tcPr>
          <w:p w14:paraId="2733DDA2">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•无需额外防护设施</w:t>
            </w:r>
          </w:p>
          <w:p w14:paraId="20CA545E">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•注意车间内传输泵、易发生故障的零部件、检测样品釆集点等位置</w:t>
            </w:r>
          </w:p>
        </w:tc>
        <w:tc>
          <w:tcPr>
            <w:shd w:val="clear" w:color="auto" w:fill="FFFFFF"/>
            <w:vAlign w:val="center"/>
          </w:tcPr>
          <w:p w14:paraId="32265F60">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•制定检修计划</w:t>
            </w:r>
          </w:p>
          <w:p w14:paraId="4616F00C">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•对系统做全面检查（比如定期检查系统的密闭性，下同）</w:t>
            </w:r>
          </w:p>
          <w:p w14:paraId="1A14F944">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•日常维护</w:t>
            </w:r>
          </w:p>
        </w:tc>
      </w:tr>
      <w:tr w14:paraId="03123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81" w:hRule="exact"/>
          <w:jc w:val="center"/>
        </w:trPr>
        <w:tc>
          <w:tcPr>
            <w:shd w:val="clear" w:color="auto" w:fill="FFFFFF"/>
            <w:vAlign w:val="center"/>
          </w:tcPr>
          <w:p w14:paraId="7D7600BF">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组合</w:t>
            </w:r>
          </w:p>
        </w:tc>
        <w:tc>
          <w:tcPr>
            <w:shd w:val="clear" w:color="auto" w:fill="FFFFFF"/>
            <w:vAlign w:val="center"/>
          </w:tcPr>
          <w:p w14:paraId="06BE41EA">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土壤污染预防设施</w:t>
            </w:r>
            <w:r>
              <w:rPr>
                <w:rFonts w:hint="eastAsia" w:ascii="仿宋_GB2312" w:hAnsi="仿宋_GB2312" w:eastAsia="仿宋_GB2312" w:cs="仿宋_GB2312"/>
                <w:b/>
                <w:bCs/>
                <w:color w:val="000000"/>
                <w:spacing w:val="0"/>
                <w:w w:val="100"/>
                <w:position w:val="0"/>
                <w:sz w:val="21"/>
                <w:szCs w:val="21"/>
              </w:rPr>
              <w:t>/</w:t>
            </w:r>
            <w:r>
              <w:rPr>
                <w:rFonts w:hint="eastAsia" w:ascii="仿宋_GB2312" w:hAnsi="仿宋_GB2312" w:eastAsia="仿宋_GB2312" w:cs="仿宋_GB2312"/>
                <w:color w:val="000000"/>
                <w:spacing w:val="0"/>
                <w:w w:val="100"/>
                <w:position w:val="0"/>
                <w:sz w:val="21"/>
                <w:szCs w:val="21"/>
              </w:rPr>
              <w:t>功能</w:t>
            </w:r>
          </w:p>
        </w:tc>
        <w:tc>
          <w:tcPr>
            <w:shd w:val="clear" w:color="auto" w:fill="FFFFFF"/>
            <w:vAlign w:val="center"/>
          </w:tcPr>
          <w:p w14:paraId="4CFF1589">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土壤污染预防措施</w:t>
            </w:r>
          </w:p>
        </w:tc>
      </w:tr>
      <w:tr w14:paraId="1AA06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147" w:hRule="exact"/>
          <w:jc w:val="center"/>
        </w:trPr>
        <w:tc>
          <w:tcPr>
            <w:shd w:val="clear" w:color="auto" w:fill="FFFFFF"/>
            <w:vAlign w:val="center"/>
          </w:tcPr>
          <w:p w14:paraId="7CA380F9">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2</w:t>
            </w:r>
          </w:p>
        </w:tc>
        <w:tc>
          <w:tcPr>
            <w:shd w:val="clear" w:color="auto" w:fill="FFFFFF"/>
            <w:vAlign w:val="center"/>
          </w:tcPr>
          <w:p w14:paraId="7B66B9DB">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•普通阻隔设施</w:t>
            </w:r>
          </w:p>
          <w:p w14:paraId="17E35243">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•注意车间内传输泵、易发生故障的零部件、检测样品采集点等位置</w:t>
            </w:r>
          </w:p>
        </w:tc>
        <w:tc>
          <w:tcPr>
            <w:shd w:val="clear" w:color="auto" w:fill="FFFFFF"/>
            <w:vAlign w:val="center"/>
          </w:tcPr>
          <w:p w14:paraId="756E227D">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•制定检修计划•对系统做全面检查•日常维护</w:t>
            </w:r>
          </w:p>
        </w:tc>
      </w:tr>
      <w:tr w14:paraId="44D90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337" w:hRule="exact"/>
          <w:jc w:val="center"/>
        </w:trPr>
        <w:tc>
          <w:tcPr>
            <w:shd w:val="clear" w:color="auto" w:fill="FFFFFF"/>
            <w:vAlign w:val="center"/>
          </w:tcPr>
          <w:p w14:paraId="7A04F9F8">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3</w:t>
            </w:r>
          </w:p>
        </w:tc>
        <w:tc>
          <w:tcPr>
            <w:shd w:val="clear" w:color="auto" w:fill="FFFFFF"/>
            <w:vAlign w:val="center"/>
          </w:tcPr>
          <w:p w14:paraId="30BD2F8C">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•防渗阻隔系统，且能防止雨水进入，或者及时有效排出雨水</w:t>
            </w:r>
          </w:p>
          <w:p w14:paraId="6392BFBF">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•渗漏、流失的液体能得到有效</w:t>
            </w:r>
          </w:p>
          <w:p w14:paraId="040FEA01">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收集并定期清理</w:t>
            </w:r>
          </w:p>
        </w:tc>
        <w:tc>
          <w:tcPr>
            <w:shd w:val="clear" w:color="auto" w:fill="FFFFFF"/>
            <w:vAlign w:val="center"/>
          </w:tcPr>
          <w:p w14:paraId="0CA401F8">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•定期开展防渗效果检查•日常维护</w:t>
            </w:r>
          </w:p>
        </w:tc>
      </w:tr>
      <w:tr w14:paraId="60EAC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76" w:hRule="exact"/>
          <w:jc w:val="center"/>
        </w:trPr>
        <w:tc>
          <w:tcPr>
            <w:gridSpan w:val="3"/>
            <w:shd w:val="clear" w:color="auto" w:fill="FFFFFF"/>
            <w:vAlign w:val="center"/>
          </w:tcPr>
          <w:p w14:paraId="71B56A32">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二、半开放式设备</w:t>
            </w:r>
          </w:p>
        </w:tc>
      </w:tr>
      <w:tr w14:paraId="1BD55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01" w:hRule="exact"/>
          <w:jc w:val="center"/>
        </w:trPr>
        <w:tc>
          <w:tcPr>
            <w:shd w:val="clear" w:color="auto" w:fill="FFFFFF"/>
            <w:vAlign w:val="center"/>
          </w:tcPr>
          <w:p w14:paraId="029ADC65">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1</w:t>
            </w:r>
          </w:p>
        </w:tc>
        <w:tc>
          <w:tcPr>
            <w:shd w:val="clear" w:color="auto" w:fill="FFFFFF"/>
            <w:vAlign w:val="center"/>
          </w:tcPr>
          <w:p w14:paraId="7C05FB9E">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•普通阻隔设施</w:t>
            </w:r>
          </w:p>
          <w:p w14:paraId="3AD1A922">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•防止雨水进入阻隔设施</w:t>
            </w:r>
          </w:p>
        </w:tc>
        <w:tc>
          <w:tcPr>
            <w:shd w:val="clear" w:color="auto" w:fill="FFFFFF"/>
            <w:vAlign w:val="center"/>
          </w:tcPr>
          <w:p w14:paraId="00036DC7">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•日常目视检查•有效应对泄漏事件</w:t>
            </w:r>
          </w:p>
        </w:tc>
      </w:tr>
      <w:tr w14:paraId="49497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061" w:hRule="exact"/>
          <w:jc w:val="center"/>
        </w:trPr>
        <w:tc>
          <w:tcPr>
            <w:shd w:val="clear" w:color="auto" w:fill="FFFFFF"/>
            <w:vAlign w:val="center"/>
          </w:tcPr>
          <w:p w14:paraId="0901F349">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2</w:t>
            </w:r>
          </w:p>
        </w:tc>
        <w:tc>
          <w:tcPr>
            <w:shd w:val="clear" w:color="auto" w:fill="FFFFFF"/>
            <w:vAlign w:val="center"/>
          </w:tcPr>
          <w:p w14:paraId="1EA3D591">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•在设施设备容易发生泄漏、渗</w:t>
            </w:r>
          </w:p>
          <w:p w14:paraId="6AE018D6">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漏的地方设置防滴漏设</w:t>
            </w:r>
          </w:p>
          <w:p w14:paraId="02A3C46A">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•能及时排空防滴漏设施中雨水</w:t>
            </w:r>
          </w:p>
        </w:tc>
        <w:tc>
          <w:tcPr>
            <w:shd w:val="clear" w:color="auto" w:fill="FFFFFF"/>
            <w:vAlign w:val="center"/>
          </w:tcPr>
          <w:p w14:paraId="152B5B13">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•定期清空防滴漏设施</w:t>
            </w:r>
          </w:p>
          <w:p w14:paraId="62DFC5AB">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•日常目视检查</w:t>
            </w:r>
          </w:p>
          <w:p w14:paraId="05513CFA">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•日常维护</w:t>
            </w:r>
          </w:p>
        </w:tc>
      </w:tr>
      <w:tr w14:paraId="71437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307" w:hRule="exact"/>
          <w:jc w:val="center"/>
        </w:trPr>
        <w:tc>
          <w:tcPr>
            <w:shd w:val="clear" w:color="auto" w:fill="FFFFFF"/>
            <w:vAlign w:val="center"/>
          </w:tcPr>
          <w:p w14:paraId="3E9811A1">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3</w:t>
            </w:r>
          </w:p>
        </w:tc>
        <w:tc>
          <w:tcPr>
            <w:shd w:val="clear" w:color="auto" w:fill="FFFFFF"/>
            <w:vAlign w:val="center"/>
          </w:tcPr>
          <w:p w14:paraId="7B9B641D">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•防渗阻隔系统，且能防止雨</w:t>
            </w:r>
          </w:p>
          <w:p w14:paraId="49FF183B">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水进入，或者及时有效排出雨水</w:t>
            </w:r>
          </w:p>
          <w:p w14:paraId="71B029DA">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•渗漏、流失的液体能得到有效收集并定期清理</w:t>
            </w:r>
          </w:p>
        </w:tc>
        <w:tc>
          <w:tcPr>
            <w:shd w:val="clear" w:color="auto" w:fill="FFFFFF"/>
            <w:vAlign w:val="center"/>
          </w:tcPr>
          <w:p w14:paraId="49AF88E8">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•定期开展防渗效果检查</w:t>
            </w:r>
          </w:p>
          <w:p w14:paraId="441C8283">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•日常目视检查</w:t>
            </w:r>
          </w:p>
          <w:p w14:paraId="716F8DBD">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•日常维护</w:t>
            </w:r>
          </w:p>
        </w:tc>
      </w:tr>
      <w:tr w14:paraId="62BF3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76" w:hRule="exact"/>
          <w:jc w:val="center"/>
        </w:trPr>
        <w:tc>
          <w:tcPr>
            <w:gridSpan w:val="3"/>
            <w:shd w:val="clear" w:color="auto" w:fill="FFFFFF"/>
            <w:vAlign w:val="center"/>
          </w:tcPr>
          <w:p w14:paraId="315364E1">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三、开放式设备（液体物质）</w:t>
            </w:r>
          </w:p>
        </w:tc>
      </w:tr>
      <w:tr w14:paraId="5D829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358" w:hRule="exact"/>
          <w:jc w:val="center"/>
        </w:trPr>
        <w:tc>
          <w:tcPr>
            <w:shd w:val="clear" w:color="auto" w:fill="FFFFFF"/>
            <w:vAlign w:val="center"/>
          </w:tcPr>
          <w:p w14:paraId="08937C42">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1</w:t>
            </w:r>
          </w:p>
        </w:tc>
        <w:tc>
          <w:tcPr>
            <w:shd w:val="clear" w:color="auto" w:fill="FFFFFF"/>
            <w:vAlign w:val="center"/>
          </w:tcPr>
          <w:p w14:paraId="79B0E416">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•防渗阻隔系统，且能防止雨</w:t>
            </w:r>
          </w:p>
          <w:p w14:paraId="1C2F46F1">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水进入，或者及时有效排出雨水</w:t>
            </w:r>
          </w:p>
          <w:p w14:paraId="31185273">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•渗漏、流失的液体能得到有效收集并定期清理</w:t>
            </w:r>
          </w:p>
        </w:tc>
        <w:tc>
          <w:tcPr>
            <w:shd w:val="clear" w:color="auto" w:fill="FFFFFF"/>
            <w:vAlign w:val="center"/>
          </w:tcPr>
          <w:p w14:paraId="251266E9">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•定期开展防渗效果检查</w:t>
            </w:r>
          </w:p>
          <w:p w14:paraId="55FA7977">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•日常目视检查</w:t>
            </w:r>
          </w:p>
          <w:p w14:paraId="3A28B0FF">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•日常维护</w:t>
            </w:r>
          </w:p>
        </w:tc>
      </w:tr>
      <w:tr w14:paraId="7F9F7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81" w:hRule="exact"/>
          <w:jc w:val="center"/>
        </w:trPr>
        <w:tc>
          <w:tcPr>
            <w:gridSpan w:val="3"/>
            <w:shd w:val="clear" w:color="auto" w:fill="FFFFFF"/>
            <w:vAlign w:val="center"/>
          </w:tcPr>
          <w:p w14:paraId="46DFC73B">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四、开放式设备（粘性物质或者固体物质）</w:t>
            </w:r>
          </w:p>
        </w:tc>
      </w:tr>
      <w:tr w14:paraId="1AAFC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80" w:hRule="exact"/>
          <w:jc w:val="center"/>
        </w:trPr>
        <w:tc>
          <w:tcPr>
            <w:shd w:val="clear" w:color="auto" w:fill="FFFFFF"/>
            <w:vAlign w:val="center"/>
          </w:tcPr>
          <w:p w14:paraId="57D455A2">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1</w:t>
            </w:r>
          </w:p>
        </w:tc>
        <w:tc>
          <w:tcPr>
            <w:shd w:val="clear" w:color="auto" w:fill="FFFFFF"/>
            <w:vAlign w:val="center"/>
          </w:tcPr>
          <w:p w14:paraId="32C241CE">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•普通阻隔设施，且能防止雨水进入或者及时有效排出雨水</w:t>
            </w:r>
          </w:p>
        </w:tc>
        <w:tc>
          <w:tcPr>
            <w:shd w:val="clear" w:color="auto" w:fill="FFFFFF"/>
            <w:vAlign w:val="center"/>
          </w:tcPr>
          <w:p w14:paraId="42ADAF42">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•日常目视检查</w:t>
            </w:r>
          </w:p>
        </w:tc>
      </w:tr>
      <w:tr w14:paraId="1CB09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369" w:hRule="exact"/>
          <w:jc w:val="center"/>
        </w:trPr>
        <w:tc>
          <w:tcPr>
            <w:shd w:val="clear" w:color="auto" w:fill="FFFFFF"/>
            <w:vAlign w:val="center"/>
          </w:tcPr>
          <w:p w14:paraId="7A1F36D1">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color w:val="000000"/>
                <w:spacing w:val="0"/>
                <w:w w:val="100"/>
                <w:position w:val="0"/>
                <w:sz w:val="21"/>
                <w:szCs w:val="21"/>
                <w:u w:val="none"/>
                <w:shd w:val="clear" w:color="auto" w:fill="auto"/>
                <w:lang w:val="en-US" w:eastAsia="zh-CN" w:bidi="zh-TW"/>
              </w:rPr>
              <w:t>2</w:t>
            </w:r>
          </w:p>
        </w:tc>
        <w:tc>
          <w:tcPr>
            <w:shd w:val="clear" w:color="auto" w:fill="FFFFFF"/>
            <w:vAlign w:val="center"/>
          </w:tcPr>
          <w:p w14:paraId="4ED574F4">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_GB2312" w:hAnsi="仿宋_GB2312" w:eastAsia="仿宋_GB2312" w:cs="仿宋_GB2312"/>
                <w:color w:val="000000"/>
                <w:spacing w:val="0"/>
                <w:w w:val="100"/>
                <w:position w:val="0"/>
                <w:sz w:val="21"/>
                <w:szCs w:val="21"/>
              </w:rPr>
            </w:pPr>
            <w:r>
              <w:rPr>
                <w:rFonts w:hint="eastAsia" w:ascii="仿宋_GB2312" w:hAnsi="仿宋_GB2312" w:eastAsia="仿宋_GB2312" w:cs="仿宋_GB2312"/>
                <w:color w:val="000000"/>
                <w:spacing w:val="0"/>
                <w:w w:val="100"/>
                <w:position w:val="0"/>
                <w:sz w:val="21"/>
                <w:szCs w:val="21"/>
              </w:rPr>
              <w:t>•防渗阻隔系统，且能防止雨水进入，或者及时有效排出雨水</w:t>
            </w:r>
          </w:p>
          <w:p w14:paraId="2E8F86EF">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_GB2312" w:hAnsi="仿宋_GB2312" w:eastAsia="仿宋_GB2312" w:cs="仿宋_GB2312"/>
                <w:color w:val="000000"/>
                <w:spacing w:val="0"/>
                <w:w w:val="100"/>
                <w:position w:val="0"/>
                <w:sz w:val="21"/>
                <w:szCs w:val="21"/>
              </w:rPr>
            </w:pPr>
            <w:r>
              <w:rPr>
                <w:rFonts w:hint="eastAsia" w:ascii="仿宋_GB2312" w:hAnsi="仿宋_GB2312" w:eastAsia="仿宋_GB2312" w:cs="仿宋_GB2312"/>
                <w:color w:val="000000"/>
                <w:spacing w:val="0"/>
                <w:w w:val="100"/>
                <w:position w:val="0"/>
                <w:sz w:val="21"/>
                <w:szCs w:val="21"/>
              </w:rPr>
              <w:t>•渗漏、流失的液体能得到有效收集并定期清理</w:t>
            </w:r>
          </w:p>
        </w:tc>
        <w:tc>
          <w:tcPr>
            <w:shd w:val="clear" w:color="auto" w:fill="FFFFFF"/>
            <w:vAlign w:val="center"/>
          </w:tcPr>
          <w:p w14:paraId="05ED0B76">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_GB2312" w:hAnsi="仿宋_GB2312" w:eastAsia="仿宋_GB2312" w:cs="仿宋_GB2312"/>
                <w:color w:val="000000"/>
                <w:spacing w:val="0"/>
                <w:w w:val="100"/>
                <w:position w:val="0"/>
                <w:sz w:val="21"/>
                <w:szCs w:val="21"/>
              </w:rPr>
            </w:pPr>
            <w:r>
              <w:rPr>
                <w:rFonts w:hint="eastAsia" w:ascii="仿宋_GB2312" w:hAnsi="仿宋_GB2312" w:eastAsia="仿宋_GB2312" w:cs="仿宋_GB2312"/>
                <w:color w:val="000000"/>
                <w:spacing w:val="0"/>
                <w:w w:val="100"/>
                <w:position w:val="0"/>
                <w:sz w:val="21"/>
                <w:szCs w:val="21"/>
              </w:rPr>
              <w:t>•定期防渗效果检查</w:t>
            </w:r>
          </w:p>
          <w:p w14:paraId="4D3D9A21">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_GB2312" w:hAnsi="仿宋_GB2312" w:eastAsia="仿宋_GB2312" w:cs="仿宋_GB2312"/>
                <w:color w:val="000000"/>
                <w:spacing w:val="0"/>
                <w:w w:val="100"/>
                <w:position w:val="0"/>
                <w:sz w:val="21"/>
                <w:szCs w:val="21"/>
              </w:rPr>
            </w:pPr>
            <w:r>
              <w:rPr>
                <w:rFonts w:hint="eastAsia" w:ascii="仿宋_GB2312" w:hAnsi="仿宋_GB2312" w:eastAsia="仿宋_GB2312" w:cs="仿宋_GB2312"/>
                <w:color w:val="000000"/>
                <w:spacing w:val="0"/>
                <w:w w:val="100"/>
                <w:position w:val="0"/>
                <w:sz w:val="21"/>
                <w:szCs w:val="21"/>
              </w:rPr>
              <w:t>•日常目视检查</w:t>
            </w:r>
          </w:p>
          <w:p w14:paraId="1F7B74D7">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_GB2312" w:hAnsi="仿宋_GB2312" w:eastAsia="仿宋_GB2312" w:cs="仿宋_GB2312"/>
                <w:color w:val="000000"/>
                <w:spacing w:val="0"/>
                <w:w w:val="100"/>
                <w:position w:val="0"/>
                <w:sz w:val="21"/>
                <w:szCs w:val="21"/>
              </w:rPr>
            </w:pPr>
            <w:r>
              <w:rPr>
                <w:rFonts w:hint="eastAsia" w:ascii="仿宋_GB2312" w:hAnsi="仿宋_GB2312" w:eastAsia="仿宋_GB2312" w:cs="仿宋_GB2312"/>
                <w:color w:val="000000"/>
                <w:spacing w:val="0"/>
                <w:w w:val="100"/>
                <w:position w:val="0"/>
                <w:sz w:val="21"/>
                <w:szCs w:val="21"/>
              </w:rPr>
              <w:t>•日常维护</w:t>
            </w:r>
          </w:p>
        </w:tc>
      </w:tr>
    </w:tbl>
    <w:p w14:paraId="62C1000E">
      <w:pPr>
        <w:pStyle w:val="27"/>
        <w:bidi w:val="0"/>
        <w:rPr>
          <w:rFonts w:hint="eastAsia" w:ascii="仿宋_GB2312" w:hAnsi="仿宋_GB2312" w:eastAsia="仿宋_GB2312" w:cs="仿宋_GB2312"/>
        </w:rPr>
      </w:pPr>
      <w:r>
        <w:rPr>
          <w:rFonts w:hint="eastAsia" w:ascii="仿宋_GB2312" w:hAnsi="仿宋_GB2312" w:eastAsia="仿宋_GB2312" w:cs="仿宋_GB2312"/>
          <w:lang w:val="zh-CN" w:eastAsia="zh-CN"/>
        </w:rPr>
        <w:t>(5)</w:t>
      </w:r>
      <w:r>
        <w:rPr>
          <w:rFonts w:hint="eastAsia" w:ascii="仿宋_GB2312" w:hAnsi="仿宋_GB2312" w:eastAsia="仿宋_GB2312" w:cs="仿宋_GB2312"/>
        </w:rPr>
        <w:t>其他活动区</w:t>
      </w:r>
    </w:p>
    <w:p w14:paraId="63E2338F">
      <w:pPr>
        <w:pStyle w:val="27"/>
        <w:bidi w:val="0"/>
        <w:rPr>
          <w:rFonts w:hint="eastAsia" w:ascii="仿宋_GB2312" w:hAnsi="仿宋_GB2312" w:eastAsia="仿宋_GB2312" w:cs="仿宋_GB2312"/>
        </w:rPr>
      </w:pPr>
      <w:r>
        <w:rPr>
          <w:rFonts w:hint="eastAsia" w:ascii="仿宋_GB2312" w:hAnsi="仿宋_GB2312" w:eastAsia="仿宋_GB2312" w:cs="仿宋_GB2312"/>
        </w:rPr>
        <w:t>①废水排水系统废水排水系统造成土壤污染主要是管道、设备连接处、涵洞、排水口、污水井、分离系统(如清污分离系统、油水分离系统)等地方的泄漏、渗漏或者溢流。可参考</w:t>
      </w:r>
      <w:r>
        <w:rPr>
          <w:rFonts w:hint="eastAsia" w:ascii="仿宋_GB2312" w:hAnsi="仿宋_GB2312" w:eastAsia="仿宋_GB2312" w:cs="仿宋_GB2312"/>
          <w:lang w:val="en-US" w:eastAsia="zh-CN"/>
        </w:rPr>
        <w:t>下表</w:t>
      </w:r>
      <w:r>
        <w:rPr>
          <w:rFonts w:hint="eastAsia" w:ascii="仿宋_GB2312" w:hAnsi="仿宋_GB2312" w:eastAsia="仿宋_GB2312" w:cs="仿宋_GB2312"/>
        </w:rPr>
        <w:t>开展排查和整改。</w:t>
      </w:r>
    </w:p>
    <w:tbl>
      <w:tblPr>
        <w:tblStyle w:val="9"/>
        <w:tblW w:w="0" w:type="auto"/>
        <w:jc w:val="center"/>
        <w:tblLayout w:type="fixed"/>
        <w:tblCellMar>
          <w:top w:w="0" w:type="dxa"/>
          <w:left w:w="10" w:type="dxa"/>
          <w:bottom w:w="0" w:type="dxa"/>
          <w:right w:w="10" w:type="dxa"/>
        </w:tblCellMar>
      </w:tblPr>
      <w:tblGrid>
        <w:gridCol w:w="1133"/>
        <w:gridCol w:w="3571"/>
        <w:gridCol w:w="3869"/>
      </w:tblGrid>
      <w:tr w14:paraId="26B27FBC">
        <w:tblPrEx>
          <w:tblCellMar>
            <w:top w:w="0" w:type="dxa"/>
            <w:left w:w="10" w:type="dxa"/>
            <w:bottom w:w="0" w:type="dxa"/>
            <w:right w:w="10" w:type="dxa"/>
          </w:tblCellMar>
        </w:tblPrEx>
        <w:trPr>
          <w:trHeight w:val="581" w:hRule="exact"/>
          <w:jc w:val="center"/>
        </w:trPr>
        <w:tc>
          <w:tcPr>
            <w:tcBorders>
              <w:top w:val="single" w:color="auto" w:sz="4" w:space="0"/>
              <w:left w:val="single" w:color="auto" w:sz="4" w:space="0"/>
            </w:tcBorders>
            <w:shd w:val="clear" w:color="auto" w:fill="FFFFFF"/>
            <w:vAlign w:val="center"/>
          </w:tcPr>
          <w:p w14:paraId="13FBA1B2">
            <w:pPr>
              <w:pStyle w:val="33"/>
              <w:keepNext w:val="0"/>
              <w:keepLines w:val="0"/>
              <w:widowControl w:val="0"/>
              <w:shd w:val="clear" w:color="auto" w:fill="auto"/>
              <w:bidi w:val="0"/>
              <w:spacing w:before="0" w:after="0" w:line="240" w:lineRule="auto"/>
              <w:ind w:left="0" w:right="0" w:firstLine="400"/>
              <w:jc w:val="left"/>
              <w:rPr>
                <w:rFonts w:hint="eastAsia" w:ascii="仿宋_GB2312" w:hAnsi="仿宋_GB2312" w:eastAsia="仿宋_GB2312" w:cs="仿宋_GB2312"/>
                <w:sz w:val="21"/>
                <w:szCs w:val="21"/>
                <w:lang w:eastAsia="zh-CN"/>
              </w:rPr>
            </w:pPr>
            <w:r>
              <w:rPr>
                <w:rFonts w:hint="eastAsia" w:ascii="仿宋_GB2312" w:hAnsi="仿宋_GB2312" w:eastAsia="仿宋_GB2312" w:cs="仿宋_GB2312"/>
                <w:b/>
                <w:bCs/>
                <w:color w:val="000000"/>
                <w:spacing w:val="0"/>
                <w:w w:val="100"/>
                <w:position w:val="0"/>
                <w:sz w:val="21"/>
                <w:szCs w:val="21"/>
                <w:lang w:val="en-US" w:eastAsia="zh-CN"/>
              </w:rPr>
              <w:t>序号</w:t>
            </w:r>
          </w:p>
        </w:tc>
        <w:tc>
          <w:tcPr>
            <w:tcBorders>
              <w:top w:val="single" w:color="auto" w:sz="4" w:space="0"/>
              <w:left w:val="single" w:color="auto" w:sz="4" w:space="0"/>
            </w:tcBorders>
            <w:shd w:val="clear" w:color="auto" w:fill="FFFFFF"/>
            <w:vAlign w:val="center"/>
          </w:tcPr>
          <w:p w14:paraId="5ADFBD3F">
            <w:pPr>
              <w:pStyle w:val="33"/>
              <w:keepNext w:val="0"/>
              <w:keepLines w:val="0"/>
              <w:widowControl w:val="0"/>
              <w:shd w:val="clear" w:color="auto" w:fill="auto"/>
              <w:bidi w:val="0"/>
              <w:spacing w:before="0" w:after="0" w:line="240" w:lineRule="auto"/>
              <w:ind w:left="0" w:right="0" w:firstLine="420"/>
              <w:jc w:val="left"/>
              <w:rPr>
                <w:rFonts w:hint="eastAsia" w:ascii="仿宋_GB2312" w:hAnsi="仿宋_GB2312" w:eastAsia="仿宋_GB2312" w:cs="仿宋_GB2312"/>
                <w:sz w:val="21"/>
                <w:szCs w:val="21"/>
              </w:rPr>
            </w:pPr>
            <w:r>
              <w:rPr>
                <w:rFonts w:hint="eastAsia" w:ascii="仿宋_GB2312" w:hAnsi="仿宋_GB2312" w:eastAsia="仿宋_GB2312" w:cs="仿宋_GB2312"/>
                <w:b/>
                <w:bCs/>
                <w:color w:val="000000"/>
                <w:spacing w:val="0"/>
                <w:w w:val="100"/>
                <w:position w:val="0"/>
                <w:sz w:val="21"/>
                <w:szCs w:val="21"/>
              </w:rPr>
              <w:t>土壤污染预防设施/功能</w:t>
            </w:r>
          </w:p>
        </w:tc>
        <w:tc>
          <w:tcPr>
            <w:tcBorders>
              <w:top w:val="single" w:color="auto" w:sz="4" w:space="0"/>
              <w:left w:val="single" w:color="auto" w:sz="4" w:space="0"/>
              <w:right w:val="single" w:color="auto" w:sz="4" w:space="0"/>
            </w:tcBorders>
            <w:shd w:val="clear" w:color="auto" w:fill="FFFFFF"/>
            <w:vAlign w:val="center"/>
          </w:tcPr>
          <w:p w14:paraId="1A350C8C">
            <w:pPr>
              <w:pStyle w:val="33"/>
              <w:keepNext w:val="0"/>
              <w:keepLines w:val="0"/>
              <w:widowControl w:val="0"/>
              <w:shd w:val="clear" w:color="auto" w:fill="auto"/>
              <w:bidi w:val="0"/>
              <w:spacing w:before="0" w:after="0" w:line="240" w:lineRule="auto"/>
              <w:ind w:left="0" w:right="0" w:firstLine="380"/>
              <w:jc w:val="left"/>
              <w:rPr>
                <w:rFonts w:hint="eastAsia" w:ascii="仿宋_GB2312" w:hAnsi="仿宋_GB2312" w:eastAsia="仿宋_GB2312" w:cs="仿宋_GB2312"/>
                <w:sz w:val="21"/>
                <w:szCs w:val="21"/>
              </w:rPr>
            </w:pPr>
            <w:r>
              <w:rPr>
                <w:rFonts w:hint="eastAsia" w:ascii="仿宋_GB2312" w:hAnsi="仿宋_GB2312" w:eastAsia="仿宋_GB2312" w:cs="仿宋_GB2312"/>
                <w:b/>
                <w:bCs/>
                <w:color w:val="000000"/>
                <w:spacing w:val="0"/>
                <w:w w:val="100"/>
                <w:position w:val="0"/>
                <w:sz w:val="21"/>
                <w:szCs w:val="21"/>
              </w:rPr>
              <w:t>土壤污染预防措施</w:t>
            </w:r>
          </w:p>
        </w:tc>
      </w:tr>
      <w:tr w14:paraId="119F66BC">
        <w:tblPrEx>
          <w:tblCellMar>
            <w:top w:w="0" w:type="dxa"/>
            <w:left w:w="10" w:type="dxa"/>
            <w:bottom w:w="0" w:type="dxa"/>
            <w:right w:w="10" w:type="dxa"/>
          </w:tblCellMar>
        </w:tblPrEx>
        <w:trPr>
          <w:trHeight w:val="581" w:hRule="exact"/>
          <w:jc w:val="center"/>
        </w:trPr>
        <w:tc>
          <w:tcPr>
            <w:gridSpan w:val="3"/>
            <w:tcBorders>
              <w:top w:val="single" w:color="auto" w:sz="4" w:space="0"/>
              <w:left w:val="single" w:color="auto" w:sz="4" w:space="0"/>
              <w:right w:val="single" w:color="auto" w:sz="4" w:space="0"/>
            </w:tcBorders>
            <w:shd w:val="clear" w:color="auto" w:fill="FFFFFF"/>
            <w:vAlign w:val="center"/>
          </w:tcPr>
          <w:p w14:paraId="5A837465">
            <w:pPr>
              <w:pStyle w:val="33"/>
              <w:keepNext w:val="0"/>
              <w:keepLines w:val="0"/>
              <w:widowControl w:val="0"/>
              <w:shd w:val="clear" w:color="auto" w:fill="auto"/>
              <w:bidi w:val="0"/>
              <w:spacing w:before="0" w:after="0" w:line="240" w:lineRule="auto"/>
              <w:ind w:left="0" w:right="0" w:firstLine="44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一、已建成的地下废水排水系统</w:t>
            </w:r>
          </w:p>
        </w:tc>
      </w:tr>
      <w:tr w14:paraId="11ED1FC8">
        <w:tblPrEx>
          <w:tblCellMar>
            <w:top w:w="0" w:type="dxa"/>
            <w:left w:w="10" w:type="dxa"/>
            <w:bottom w:w="0" w:type="dxa"/>
            <w:right w:w="10" w:type="dxa"/>
          </w:tblCellMar>
        </w:tblPrEx>
        <w:trPr>
          <w:trHeight w:val="1142" w:hRule="exact"/>
          <w:jc w:val="center"/>
        </w:trPr>
        <w:tc>
          <w:tcPr>
            <w:tcBorders>
              <w:top w:val="single" w:color="auto" w:sz="4" w:space="0"/>
              <w:left w:val="single" w:color="auto" w:sz="4" w:space="0"/>
            </w:tcBorders>
            <w:shd w:val="clear" w:color="auto" w:fill="FFFFFF"/>
            <w:vAlign w:val="center"/>
          </w:tcPr>
          <w:p w14:paraId="1E72CAD7">
            <w:pPr>
              <w:pStyle w:val="33"/>
              <w:keepNext w:val="0"/>
              <w:keepLines w:val="0"/>
              <w:widowControl w:val="0"/>
              <w:shd w:val="clear" w:color="auto" w:fill="auto"/>
              <w:bidi w:val="0"/>
              <w:spacing w:before="0" w:after="0" w:line="240" w:lineRule="auto"/>
              <w:ind w:left="0" w:right="0" w:firstLine="400"/>
              <w:jc w:val="left"/>
              <w:rPr>
                <w:rFonts w:hint="eastAsia" w:ascii="仿宋_GB2312" w:hAnsi="仿宋_GB2312" w:eastAsia="仿宋_GB2312" w:cs="仿宋_GB2312"/>
                <w:sz w:val="21"/>
                <w:szCs w:val="21"/>
              </w:rPr>
            </w:pPr>
            <w:r>
              <w:rPr>
                <w:rFonts w:hint="eastAsia" w:ascii="仿宋_GB2312" w:hAnsi="仿宋_GB2312" w:eastAsia="仿宋_GB2312" w:cs="仿宋_GB2312"/>
                <w:b/>
                <w:bCs/>
                <w:color w:val="000000"/>
                <w:spacing w:val="0"/>
                <w:w w:val="100"/>
                <w:position w:val="0"/>
                <w:sz w:val="21"/>
                <w:szCs w:val="21"/>
              </w:rPr>
              <w:t>1</w:t>
            </w:r>
          </w:p>
        </w:tc>
        <w:tc>
          <w:tcPr>
            <w:tcBorders>
              <w:top w:val="single" w:color="auto" w:sz="4" w:space="0"/>
              <w:left w:val="single" w:color="auto" w:sz="4" w:space="0"/>
            </w:tcBorders>
            <w:shd w:val="clear" w:color="auto" w:fill="FFFFFF"/>
            <w:vAlign w:val="center"/>
          </w:tcPr>
          <w:p w14:paraId="7584C29B">
            <w:pPr>
              <w:pStyle w:val="33"/>
              <w:keepNext w:val="0"/>
              <w:keepLines w:val="0"/>
              <w:widowControl w:val="0"/>
              <w:shd w:val="clear" w:color="auto" w:fill="auto"/>
              <w:bidi w:val="0"/>
              <w:spacing w:before="0" w:after="0" w:line="286" w:lineRule="exact"/>
              <w:ind w:left="0" w:right="0" w:firstLine="44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•注意排水沟、污泥收集设施、油水分离设施、设施连接处和有关涵洞、排水口等，防止渗漏</w:t>
            </w:r>
          </w:p>
        </w:tc>
        <w:tc>
          <w:tcPr>
            <w:tcBorders>
              <w:top w:val="single" w:color="auto" w:sz="4" w:space="0"/>
              <w:left w:val="single" w:color="auto" w:sz="4" w:space="0"/>
              <w:right w:val="single" w:color="auto" w:sz="4" w:space="0"/>
            </w:tcBorders>
            <w:shd w:val="clear" w:color="auto" w:fill="FFFFFF"/>
            <w:vAlign w:val="bottom"/>
          </w:tcPr>
          <w:p w14:paraId="4318FDF6">
            <w:pPr>
              <w:pStyle w:val="33"/>
              <w:keepNext w:val="0"/>
              <w:keepLines w:val="0"/>
              <w:widowControl w:val="0"/>
              <w:shd w:val="clear" w:color="auto" w:fill="auto"/>
              <w:bidi w:val="0"/>
              <w:spacing w:before="0" w:after="0" w:line="389" w:lineRule="exact"/>
              <w:ind w:left="0" w:right="0" w:firstLine="42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•定期开展密封、防渗效果检查，或者制定检修计划</w:t>
            </w:r>
          </w:p>
          <w:p w14:paraId="2B69D9A7">
            <w:pPr>
              <w:pStyle w:val="33"/>
              <w:keepNext w:val="0"/>
              <w:keepLines w:val="0"/>
              <w:widowControl w:val="0"/>
              <w:shd w:val="clear" w:color="auto" w:fill="auto"/>
              <w:bidi w:val="0"/>
              <w:spacing w:before="0" w:after="0" w:line="389" w:lineRule="exact"/>
              <w:ind w:left="0" w:right="0" w:firstLine="38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•日常维护</w:t>
            </w:r>
          </w:p>
        </w:tc>
      </w:tr>
      <w:tr w14:paraId="695CA988">
        <w:tblPrEx>
          <w:tblCellMar>
            <w:top w:w="0" w:type="dxa"/>
            <w:left w:w="10" w:type="dxa"/>
            <w:bottom w:w="0" w:type="dxa"/>
            <w:right w:w="10" w:type="dxa"/>
          </w:tblCellMar>
        </w:tblPrEx>
        <w:trPr>
          <w:trHeight w:val="576" w:hRule="exact"/>
          <w:jc w:val="center"/>
        </w:trPr>
        <w:tc>
          <w:tcPr>
            <w:gridSpan w:val="3"/>
            <w:tcBorders>
              <w:top w:val="single" w:color="auto" w:sz="4" w:space="0"/>
              <w:left w:val="single" w:color="auto" w:sz="4" w:space="0"/>
              <w:right w:val="single" w:color="auto" w:sz="4" w:space="0"/>
            </w:tcBorders>
            <w:shd w:val="clear" w:color="auto" w:fill="FFFFFF"/>
            <w:vAlign w:val="center"/>
          </w:tcPr>
          <w:p w14:paraId="3260C3F8">
            <w:pPr>
              <w:pStyle w:val="33"/>
              <w:keepNext w:val="0"/>
              <w:keepLines w:val="0"/>
              <w:widowControl w:val="0"/>
              <w:shd w:val="clear" w:color="auto" w:fill="auto"/>
              <w:bidi w:val="0"/>
              <w:spacing w:before="0" w:after="0" w:line="240" w:lineRule="auto"/>
              <w:ind w:left="0" w:right="0" w:firstLine="44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二、新建地下废水排水系统</w:t>
            </w:r>
          </w:p>
        </w:tc>
      </w:tr>
      <w:tr w14:paraId="55ABA5FC">
        <w:tblPrEx>
          <w:tblCellMar>
            <w:top w:w="0" w:type="dxa"/>
            <w:left w:w="10" w:type="dxa"/>
            <w:bottom w:w="0" w:type="dxa"/>
            <w:right w:w="10" w:type="dxa"/>
          </w:tblCellMar>
        </w:tblPrEx>
        <w:trPr>
          <w:trHeight w:val="1267" w:hRule="exact"/>
          <w:jc w:val="center"/>
        </w:trPr>
        <w:tc>
          <w:tcPr>
            <w:tcBorders>
              <w:top w:val="single" w:color="auto" w:sz="4" w:space="0"/>
              <w:left w:val="single" w:color="auto" w:sz="4" w:space="0"/>
            </w:tcBorders>
            <w:shd w:val="clear" w:color="auto" w:fill="FFFFFF"/>
            <w:vAlign w:val="center"/>
          </w:tcPr>
          <w:p w14:paraId="5AEE4671">
            <w:pPr>
              <w:pStyle w:val="33"/>
              <w:keepNext w:val="0"/>
              <w:keepLines w:val="0"/>
              <w:widowControl w:val="0"/>
              <w:shd w:val="clear" w:color="auto" w:fill="auto"/>
              <w:bidi w:val="0"/>
              <w:spacing w:before="0" w:after="0" w:line="240" w:lineRule="auto"/>
              <w:ind w:left="0" w:right="0" w:firstLine="40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2</w:t>
            </w:r>
          </w:p>
        </w:tc>
        <w:tc>
          <w:tcPr>
            <w:tcBorders>
              <w:top w:val="single" w:color="auto" w:sz="4" w:space="0"/>
              <w:left w:val="single" w:color="auto" w:sz="4" w:space="0"/>
            </w:tcBorders>
            <w:shd w:val="clear" w:color="auto" w:fill="FFFFFF"/>
            <w:vAlign w:val="center"/>
          </w:tcPr>
          <w:p w14:paraId="44D00C01">
            <w:pPr>
              <w:pStyle w:val="33"/>
              <w:keepNext w:val="0"/>
              <w:keepLines w:val="0"/>
              <w:widowControl w:val="0"/>
              <w:shd w:val="clear" w:color="auto" w:fill="auto"/>
              <w:bidi w:val="0"/>
              <w:spacing w:before="0" w:after="0" w:line="262" w:lineRule="exact"/>
              <w:ind w:left="0" w:right="0" w:firstLine="42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•防渗设计和建设</w:t>
            </w:r>
          </w:p>
          <w:p w14:paraId="2043F66B">
            <w:pPr>
              <w:pStyle w:val="33"/>
              <w:keepNext w:val="0"/>
              <w:keepLines w:val="0"/>
              <w:widowControl w:val="0"/>
              <w:shd w:val="clear" w:color="auto" w:fill="auto"/>
              <w:bidi w:val="0"/>
              <w:spacing w:before="0" w:after="0" w:line="262" w:lineRule="exact"/>
              <w:ind w:left="0" w:right="0" w:firstLine="44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•注意排水沟、污泥收集设施、油水分离设施、设施连接处和有关涵洞、排水口等，防止渗漏</w:t>
            </w:r>
          </w:p>
        </w:tc>
        <w:tc>
          <w:tcPr>
            <w:tcBorders>
              <w:top w:val="single" w:color="auto" w:sz="4" w:space="0"/>
              <w:left w:val="single" w:color="auto" w:sz="4" w:space="0"/>
              <w:right w:val="single" w:color="auto" w:sz="4" w:space="0"/>
            </w:tcBorders>
            <w:shd w:val="clear" w:color="auto" w:fill="FFFFFF"/>
            <w:vAlign w:val="center"/>
          </w:tcPr>
          <w:p w14:paraId="0FF66434">
            <w:pPr>
              <w:pStyle w:val="33"/>
              <w:keepNext w:val="0"/>
              <w:keepLines w:val="0"/>
              <w:widowControl w:val="0"/>
              <w:shd w:val="clear" w:color="auto" w:fill="auto"/>
              <w:bidi w:val="0"/>
              <w:spacing w:before="0" w:after="0" w:line="240" w:lineRule="auto"/>
              <w:ind w:left="0" w:right="0" w:firstLine="38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•定期开展防渗效果检查</w:t>
            </w:r>
          </w:p>
          <w:p w14:paraId="43C0E140">
            <w:pPr>
              <w:pStyle w:val="33"/>
              <w:keepNext w:val="0"/>
              <w:keepLines w:val="0"/>
              <w:widowControl w:val="0"/>
              <w:shd w:val="clear" w:color="auto" w:fill="auto"/>
              <w:bidi w:val="0"/>
              <w:spacing w:before="0" w:after="0" w:line="240" w:lineRule="auto"/>
              <w:ind w:left="0" w:right="0" w:firstLine="38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•日常维护</w:t>
            </w:r>
          </w:p>
        </w:tc>
      </w:tr>
      <w:tr w14:paraId="3FED24E6">
        <w:tblPrEx>
          <w:tblCellMar>
            <w:top w:w="0" w:type="dxa"/>
            <w:left w:w="10" w:type="dxa"/>
            <w:bottom w:w="0" w:type="dxa"/>
            <w:right w:w="10" w:type="dxa"/>
          </w:tblCellMar>
        </w:tblPrEx>
        <w:trPr>
          <w:trHeight w:val="571" w:hRule="exact"/>
          <w:jc w:val="center"/>
        </w:trPr>
        <w:tc>
          <w:tcPr>
            <w:gridSpan w:val="3"/>
            <w:tcBorders>
              <w:top w:val="single" w:color="auto" w:sz="4" w:space="0"/>
              <w:left w:val="single" w:color="auto" w:sz="4" w:space="0"/>
              <w:right w:val="single" w:color="auto" w:sz="4" w:space="0"/>
            </w:tcBorders>
            <w:shd w:val="clear" w:color="auto" w:fill="FFFFFF"/>
            <w:vAlign w:val="center"/>
          </w:tcPr>
          <w:p w14:paraId="119F6900">
            <w:pPr>
              <w:pStyle w:val="33"/>
              <w:keepNext w:val="0"/>
              <w:keepLines w:val="0"/>
              <w:widowControl w:val="0"/>
              <w:shd w:val="clear" w:color="auto" w:fill="auto"/>
              <w:bidi w:val="0"/>
              <w:spacing w:before="0" w:after="0" w:line="240" w:lineRule="auto"/>
              <w:ind w:left="0" w:right="0" w:firstLine="44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三、地上废水排水系统</w:t>
            </w:r>
          </w:p>
        </w:tc>
      </w:tr>
      <w:tr w14:paraId="513A1830">
        <w:tblPrEx>
          <w:tblCellMar>
            <w:top w:w="0" w:type="dxa"/>
            <w:left w:w="10" w:type="dxa"/>
            <w:bottom w:w="0" w:type="dxa"/>
            <w:right w:w="10" w:type="dxa"/>
          </w:tblCellMar>
        </w:tblPrEx>
        <w:trPr>
          <w:trHeight w:val="1291" w:hRule="exact"/>
          <w:jc w:val="center"/>
        </w:trPr>
        <w:tc>
          <w:tcPr>
            <w:tcBorders>
              <w:top w:val="single" w:color="auto" w:sz="4" w:space="0"/>
              <w:left w:val="single" w:color="auto" w:sz="4" w:space="0"/>
              <w:bottom w:val="single" w:color="auto" w:sz="4" w:space="0"/>
            </w:tcBorders>
            <w:shd w:val="clear" w:color="auto" w:fill="FFFFFF"/>
            <w:vAlign w:val="center"/>
          </w:tcPr>
          <w:p w14:paraId="2FB74FA1">
            <w:pPr>
              <w:pStyle w:val="33"/>
              <w:keepNext w:val="0"/>
              <w:keepLines w:val="0"/>
              <w:widowControl w:val="0"/>
              <w:shd w:val="clear" w:color="auto" w:fill="auto"/>
              <w:bidi w:val="0"/>
              <w:spacing w:before="0" w:after="0" w:line="240" w:lineRule="auto"/>
              <w:ind w:left="0" w:right="0" w:firstLine="40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3</w:t>
            </w:r>
          </w:p>
        </w:tc>
        <w:tc>
          <w:tcPr>
            <w:tcBorders>
              <w:top w:val="single" w:color="auto" w:sz="4" w:space="0"/>
              <w:left w:val="single" w:color="auto" w:sz="4" w:space="0"/>
              <w:bottom w:val="single" w:color="auto" w:sz="4" w:space="0"/>
            </w:tcBorders>
            <w:shd w:val="clear" w:color="auto" w:fill="FFFFFF"/>
            <w:vAlign w:val="center"/>
          </w:tcPr>
          <w:p w14:paraId="0B97C2F3">
            <w:pPr>
              <w:pStyle w:val="33"/>
              <w:keepNext w:val="0"/>
              <w:keepLines w:val="0"/>
              <w:widowControl w:val="0"/>
              <w:shd w:val="clear" w:color="auto" w:fill="auto"/>
              <w:bidi w:val="0"/>
              <w:spacing w:before="0" w:after="0" w:line="262" w:lineRule="exact"/>
              <w:ind w:left="0" w:right="0" w:firstLine="44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•防渗阻隔设施</w:t>
            </w:r>
          </w:p>
          <w:p w14:paraId="496E7FDE">
            <w:pPr>
              <w:pStyle w:val="33"/>
              <w:keepNext w:val="0"/>
              <w:keepLines w:val="0"/>
              <w:widowControl w:val="0"/>
              <w:shd w:val="clear" w:color="auto" w:fill="auto"/>
              <w:bidi w:val="0"/>
              <w:spacing w:before="0" w:after="0" w:line="262" w:lineRule="exact"/>
              <w:ind w:left="0" w:right="0" w:firstLine="44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•注意排水沟、污泥收集设施、油水分离设施、设施连接处和有关涵洞、排水口等，防止渗漏</w:t>
            </w:r>
          </w:p>
        </w:tc>
        <w:tc>
          <w:tcPr>
            <w:tcBorders>
              <w:top w:val="single" w:color="auto" w:sz="4" w:space="0"/>
              <w:left w:val="single" w:color="auto" w:sz="4" w:space="0"/>
              <w:bottom w:val="single" w:color="auto" w:sz="4" w:space="0"/>
              <w:right w:val="single" w:color="auto" w:sz="4" w:space="0"/>
            </w:tcBorders>
            <w:shd w:val="clear" w:color="auto" w:fill="FFFFFF"/>
            <w:vAlign w:val="center"/>
          </w:tcPr>
          <w:p w14:paraId="01BD77E5">
            <w:pPr>
              <w:pStyle w:val="33"/>
              <w:keepNext w:val="0"/>
              <w:keepLines w:val="0"/>
              <w:widowControl w:val="0"/>
              <w:shd w:val="clear" w:color="auto" w:fill="auto"/>
              <w:bidi w:val="0"/>
              <w:spacing w:before="0" w:after="0" w:line="240" w:lineRule="auto"/>
              <w:ind w:left="0" w:right="0" w:firstLine="38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•目视检查</w:t>
            </w:r>
          </w:p>
          <w:p w14:paraId="34DAC860">
            <w:pPr>
              <w:pStyle w:val="33"/>
              <w:keepNext w:val="0"/>
              <w:keepLines w:val="0"/>
              <w:widowControl w:val="0"/>
              <w:shd w:val="clear" w:color="auto" w:fill="auto"/>
              <w:bidi w:val="0"/>
              <w:spacing w:before="0" w:after="0" w:line="240" w:lineRule="auto"/>
              <w:ind w:left="0" w:right="0" w:firstLine="38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•日常维护</w:t>
            </w:r>
          </w:p>
        </w:tc>
      </w:tr>
    </w:tbl>
    <w:p w14:paraId="28D35D77">
      <w:pPr>
        <w:pStyle w:val="27"/>
        <w:shd w:val="clear" w:color="auto" w:fill="auto"/>
        <w:bidi w:val="0"/>
        <w:rPr>
          <w:rFonts w:hint="eastAsia" w:ascii="仿宋_GB2312" w:hAnsi="仿宋_GB2312" w:eastAsia="仿宋_GB2312" w:cs="仿宋_GB2312"/>
        </w:rPr>
      </w:pPr>
      <w:bookmarkStart w:id="191" w:name="bookmark236"/>
      <w:bookmarkEnd w:id="191"/>
      <w:r>
        <w:rPr>
          <w:rFonts w:hint="eastAsia" w:ascii="仿宋_GB2312" w:hAnsi="仿宋_GB2312" w:eastAsia="仿宋_GB2312" w:cs="仿宋_GB2312"/>
          <w:lang w:val="en-US" w:eastAsia="zh-CN"/>
        </w:rPr>
        <w:t>②</w:t>
      </w:r>
      <w:r>
        <w:rPr>
          <w:rFonts w:hint="eastAsia" w:ascii="仿宋_GB2312" w:hAnsi="仿宋_GB2312" w:eastAsia="仿宋_GB2312" w:cs="仿宋_GB2312"/>
        </w:rPr>
        <w:t>应急收集设施应急收集设施造成土壤污染主要是设施的老化造成的渗漏、流失。可参考</w:t>
      </w:r>
      <w:r>
        <w:rPr>
          <w:rFonts w:hint="eastAsia" w:ascii="仿宋_GB2312" w:hAnsi="仿宋_GB2312" w:eastAsia="仿宋_GB2312" w:cs="仿宋_GB2312"/>
          <w:lang w:val="en-US" w:eastAsia="zh-CN"/>
        </w:rPr>
        <w:t>下表</w:t>
      </w:r>
      <w:r>
        <w:rPr>
          <w:rFonts w:hint="eastAsia" w:ascii="仿宋_GB2312" w:hAnsi="仿宋_GB2312" w:eastAsia="仿宋_GB2312" w:cs="仿宋_GB2312"/>
        </w:rPr>
        <w:t>开展排查和整改。</w:t>
      </w:r>
    </w:p>
    <w:tbl>
      <w:tblPr>
        <w:tblStyle w:val="9"/>
        <w:tblW w:w="0" w:type="auto"/>
        <w:jc w:val="center"/>
        <w:tblLayout w:type="fixed"/>
        <w:tblCellMar>
          <w:top w:w="0" w:type="dxa"/>
          <w:left w:w="10" w:type="dxa"/>
          <w:bottom w:w="0" w:type="dxa"/>
          <w:right w:w="10" w:type="dxa"/>
        </w:tblCellMar>
      </w:tblPr>
      <w:tblGrid>
        <w:gridCol w:w="1176"/>
        <w:gridCol w:w="3710"/>
        <w:gridCol w:w="4013"/>
      </w:tblGrid>
      <w:tr w14:paraId="1C8406ED">
        <w:tblPrEx>
          <w:tblCellMar>
            <w:top w:w="0" w:type="dxa"/>
            <w:left w:w="10" w:type="dxa"/>
            <w:bottom w:w="0" w:type="dxa"/>
            <w:right w:w="10" w:type="dxa"/>
          </w:tblCellMar>
        </w:tblPrEx>
        <w:trPr>
          <w:trHeight w:val="581" w:hRule="exact"/>
          <w:jc w:val="center"/>
        </w:trPr>
        <w:tc>
          <w:tcPr>
            <w:tcBorders>
              <w:top w:val="single" w:color="auto" w:sz="4" w:space="0"/>
              <w:left w:val="single" w:color="auto" w:sz="4" w:space="0"/>
            </w:tcBorders>
            <w:shd w:val="clear" w:color="auto" w:fill="FFFFFF"/>
            <w:vAlign w:val="center"/>
          </w:tcPr>
          <w:p w14:paraId="610DD82E">
            <w:pPr>
              <w:pStyle w:val="33"/>
              <w:keepNext w:val="0"/>
              <w:keepLines w:val="0"/>
              <w:widowControl w:val="0"/>
              <w:shd w:val="clear" w:color="auto" w:fill="auto"/>
              <w:bidi w:val="0"/>
              <w:spacing w:before="0" w:after="0" w:line="240" w:lineRule="auto"/>
              <w:ind w:left="0" w:right="0" w:firstLine="400"/>
              <w:jc w:val="left"/>
              <w:rPr>
                <w:rFonts w:hint="eastAsia" w:ascii="仿宋_GB2312" w:hAnsi="仿宋_GB2312" w:eastAsia="仿宋_GB2312" w:cs="仿宋_GB2312"/>
                <w:sz w:val="21"/>
                <w:szCs w:val="21"/>
                <w:lang w:eastAsia="zh-CN"/>
              </w:rPr>
            </w:pPr>
            <w:r>
              <w:rPr>
                <w:rFonts w:hint="eastAsia" w:ascii="仿宋_GB2312" w:hAnsi="仿宋_GB2312" w:eastAsia="仿宋_GB2312" w:cs="仿宋_GB2312"/>
                <w:color w:val="000000"/>
                <w:spacing w:val="0"/>
                <w:w w:val="100"/>
                <w:position w:val="0"/>
                <w:sz w:val="21"/>
                <w:szCs w:val="21"/>
                <w:lang w:val="en-US" w:eastAsia="zh-CN"/>
              </w:rPr>
              <w:t>序号</w:t>
            </w:r>
          </w:p>
        </w:tc>
        <w:tc>
          <w:tcPr>
            <w:tcBorders>
              <w:top w:val="single" w:color="auto" w:sz="4" w:space="0"/>
              <w:left w:val="single" w:color="auto" w:sz="4" w:space="0"/>
            </w:tcBorders>
            <w:shd w:val="clear" w:color="auto" w:fill="FFFFFF"/>
            <w:vAlign w:val="center"/>
          </w:tcPr>
          <w:p w14:paraId="2461C980">
            <w:pPr>
              <w:pStyle w:val="33"/>
              <w:keepNext w:val="0"/>
              <w:keepLines w:val="0"/>
              <w:widowControl w:val="0"/>
              <w:shd w:val="clear" w:color="auto" w:fill="auto"/>
              <w:bidi w:val="0"/>
              <w:spacing w:before="0" w:after="0" w:line="240" w:lineRule="auto"/>
              <w:ind w:left="0" w:right="0" w:firstLine="42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土壤污染预防设施</w:t>
            </w:r>
            <w:r>
              <w:rPr>
                <w:rFonts w:hint="eastAsia" w:ascii="仿宋_GB2312" w:hAnsi="仿宋_GB2312" w:eastAsia="仿宋_GB2312" w:cs="仿宋_GB2312"/>
                <w:b/>
                <w:bCs/>
                <w:color w:val="000000"/>
                <w:spacing w:val="0"/>
                <w:w w:val="100"/>
                <w:position w:val="0"/>
                <w:sz w:val="21"/>
                <w:szCs w:val="21"/>
              </w:rPr>
              <w:t>/</w:t>
            </w:r>
            <w:r>
              <w:rPr>
                <w:rFonts w:hint="eastAsia" w:ascii="仿宋_GB2312" w:hAnsi="仿宋_GB2312" w:eastAsia="仿宋_GB2312" w:cs="仿宋_GB2312"/>
                <w:color w:val="000000"/>
                <w:spacing w:val="0"/>
                <w:w w:val="100"/>
                <w:position w:val="0"/>
                <w:sz w:val="21"/>
                <w:szCs w:val="21"/>
              </w:rPr>
              <w:t>功能</w:t>
            </w:r>
          </w:p>
        </w:tc>
        <w:tc>
          <w:tcPr>
            <w:tcBorders>
              <w:top w:val="single" w:color="auto" w:sz="4" w:space="0"/>
              <w:left w:val="single" w:color="auto" w:sz="4" w:space="0"/>
              <w:right w:val="single" w:color="auto" w:sz="4" w:space="0"/>
            </w:tcBorders>
            <w:shd w:val="clear" w:color="auto" w:fill="FFFFFF"/>
            <w:vAlign w:val="center"/>
          </w:tcPr>
          <w:p w14:paraId="5BAEC76B">
            <w:pPr>
              <w:pStyle w:val="33"/>
              <w:keepNext w:val="0"/>
              <w:keepLines w:val="0"/>
              <w:widowControl w:val="0"/>
              <w:shd w:val="clear" w:color="auto" w:fill="auto"/>
              <w:bidi w:val="0"/>
              <w:spacing w:before="0" w:after="0" w:line="240" w:lineRule="auto"/>
              <w:ind w:left="0" w:right="0" w:firstLine="40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土壤污染预防措施</w:t>
            </w:r>
          </w:p>
        </w:tc>
      </w:tr>
      <w:tr w14:paraId="26729AA6">
        <w:tblPrEx>
          <w:tblCellMar>
            <w:top w:w="0" w:type="dxa"/>
            <w:left w:w="10" w:type="dxa"/>
            <w:bottom w:w="0" w:type="dxa"/>
            <w:right w:w="10" w:type="dxa"/>
          </w:tblCellMar>
        </w:tblPrEx>
        <w:trPr>
          <w:trHeight w:val="907" w:hRule="exact"/>
          <w:jc w:val="center"/>
        </w:trPr>
        <w:tc>
          <w:tcPr>
            <w:tcBorders>
              <w:top w:val="single" w:color="auto" w:sz="4" w:space="0"/>
              <w:left w:val="single" w:color="auto" w:sz="4" w:space="0"/>
            </w:tcBorders>
            <w:shd w:val="clear" w:color="auto" w:fill="FFFFFF"/>
            <w:vAlign w:val="center"/>
          </w:tcPr>
          <w:p w14:paraId="04BBC74E">
            <w:pPr>
              <w:pStyle w:val="33"/>
              <w:keepNext w:val="0"/>
              <w:keepLines w:val="0"/>
              <w:widowControl w:val="0"/>
              <w:shd w:val="clear" w:color="auto" w:fill="auto"/>
              <w:bidi w:val="0"/>
              <w:spacing w:before="0" w:after="0" w:line="240" w:lineRule="auto"/>
              <w:ind w:left="0" w:right="0" w:firstLine="40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1</w:t>
            </w:r>
          </w:p>
        </w:tc>
        <w:tc>
          <w:tcPr>
            <w:tcBorders>
              <w:top w:val="single" w:color="auto" w:sz="4" w:space="0"/>
              <w:left w:val="single" w:color="auto" w:sz="4" w:space="0"/>
            </w:tcBorders>
            <w:shd w:val="clear" w:color="auto" w:fill="FFFFFF"/>
            <w:vAlign w:val="center"/>
          </w:tcPr>
          <w:p w14:paraId="6A0A0ABE">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42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•若为地下储罐型事故应急收集设施，则参照（1）储罐类储存设施</w:t>
            </w:r>
          </w:p>
        </w:tc>
        <w:tc>
          <w:tcPr>
            <w:tcBorders>
              <w:top w:val="single" w:color="auto" w:sz="4" w:space="0"/>
              <w:left w:val="single" w:color="auto" w:sz="4" w:space="0"/>
              <w:right w:val="single" w:color="auto" w:sz="4" w:space="0"/>
            </w:tcBorders>
            <w:shd w:val="clear" w:color="auto" w:fill="FFFFFF"/>
            <w:vAlign w:val="center"/>
          </w:tcPr>
          <w:p w14:paraId="1FA3C6F8">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40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•参照（1）储罐类储存设施</w:t>
            </w:r>
          </w:p>
        </w:tc>
      </w:tr>
      <w:tr w14:paraId="538AA11B">
        <w:tblPrEx>
          <w:tblCellMar>
            <w:top w:w="0" w:type="dxa"/>
            <w:left w:w="10" w:type="dxa"/>
            <w:bottom w:w="0" w:type="dxa"/>
            <w:right w:w="10" w:type="dxa"/>
          </w:tblCellMar>
        </w:tblPrEx>
        <w:trPr>
          <w:trHeight w:val="716" w:hRule="exact"/>
          <w:jc w:val="center"/>
        </w:trPr>
        <w:tc>
          <w:tcPr>
            <w:tcBorders>
              <w:top w:val="single" w:color="auto" w:sz="4" w:space="0"/>
              <w:left w:val="single" w:color="auto" w:sz="4" w:space="0"/>
              <w:bottom w:val="single" w:color="auto" w:sz="4" w:space="0"/>
            </w:tcBorders>
            <w:shd w:val="clear" w:color="auto" w:fill="FFFFFF"/>
            <w:vAlign w:val="center"/>
          </w:tcPr>
          <w:p w14:paraId="44283E88">
            <w:pPr>
              <w:pStyle w:val="33"/>
              <w:keepNext w:val="0"/>
              <w:keepLines w:val="0"/>
              <w:widowControl w:val="0"/>
              <w:shd w:val="clear" w:color="auto" w:fill="auto"/>
              <w:bidi w:val="0"/>
              <w:spacing w:before="0" w:after="0" w:line="240" w:lineRule="auto"/>
              <w:ind w:left="0" w:right="0" w:firstLine="40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2</w:t>
            </w:r>
          </w:p>
        </w:tc>
        <w:tc>
          <w:tcPr>
            <w:tcBorders>
              <w:top w:val="single" w:color="auto" w:sz="4" w:space="0"/>
              <w:left w:val="single" w:color="auto" w:sz="4" w:space="0"/>
              <w:bottom w:val="single" w:color="auto" w:sz="4" w:space="0"/>
            </w:tcBorders>
            <w:shd w:val="clear" w:color="auto" w:fill="FFFFFF"/>
            <w:vAlign w:val="center"/>
          </w:tcPr>
          <w:p w14:paraId="4126F4EB">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42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•防渗应急设施</w:t>
            </w:r>
          </w:p>
        </w:tc>
        <w:tc>
          <w:tcPr>
            <w:tcBorders>
              <w:top w:val="single" w:color="auto" w:sz="4" w:space="0"/>
              <w:left w:val="single" w:color="auto" w:sz="4" w:space="0"/>
              <w:bottom w:val="single" w:color="auto" w:sz="4" w:space="0"/>
              <w:right w:val="single" w:color="auto" w:sz="4" w:space="0"/>
            </w:tcBorders>
            <w:shd w:val="clear" w:color="auto" w:fill="FFFFFF"/>
            <w:vAlign w:val="center"/>
          </w:tcPr>
          <w:p w14:paraId="30E5EA89">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40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•定期开展防渗效果检查</w:t>
            </w:r>
          </w:p>
          <w:p w14:paraId="16A253D6">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40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•日常维护</w:t>
            </w:r>
          </w:p>
        </w:tc>
      </w:tr>
    </w:tbl>
    <w:p w14:paraId="30564A47">
      <w:pPr>
        <w:pStyle w:val="27"/>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right="0" w:rightChars="0" w:firstLine="560" w:firstLineChars="200"/>
        <w:jc w:val="left"/>
        <w:textAlignment w:val="auto"/>
        <w:rPr>
          <w:rFonts w:hint="eastAsia" w:ascii="仿宋_GB2312" w:hAnsi="仿宋_GB2312" w:eastAsia="仿宋_GB2312" w:cs="仿宋_GB2312"/>
        </w:rPr>
      </w:pPr>
      <w:bookmarkStart w:id="192" w:name="bookmark237"/>
      <w:bookmarkEnd w:id="192"/>
      <w:r>
        <w:rPr>
          <w:rFonts w:hint="eastAsia" w:ascii="仿宋_GB2312" w:hAnsi="仿宋_GB2312" w:eastAsia="仿宋_GB2312" w:cs="仿宋_GB2312"/>
          <w:lang w:val="en-US" w:eastAsia="zh-CN"/>
        </w:rPr>
        <w:t>③</w:t>
      </w:r>
      <w:r>
        <w:rPr>
          <w:rFonts w:hint="eastAsia" w:ascii="仿宋_GB2312" w:hAnsi="仿宋_GB2312" w:eastAsia="仿宋_GB2312" w:cs="仿宋_GB2312"/>
        </w:rPr>
        <w:t>车间操作活动车间操作活动包括在升降桥、工作台或者材料加工机器（如车床、锯床）上的操作活动等，造成土壤污染主要是物料的飞溅、渗漏或者泄漏。可参考</w:t>
      </w:r>
      <w:r>
        <w:rPr>
          <w:rFonts w:hint="eastAsia" w:ascii="仿宋_GB2312" w:hAnsi="仿宋_GB2312" w:eastAsia="仿宋_GB2312" w:cs="仿宋_GB2312"/>
          <w:lang w:val="en-US" w:eastAsia="zh-CN"/>
        </w:rPr>
        <w:t>下表</w:t>
      </w:r>
      <w:r>
        <w:rPr>
          <w:rFonts w:hint="eastAsia" w:ascii="仿宋_GB2312" w:hAnsi="仿宋_GB2312" w:eastAsia="仿宋_GB2312" w:cs="仿宋_GB2312"/>
        </w:rPr>
        <w:t>开展排查和整改。</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190"/>
        <w:gridCol w:w="3686"/>
        <w:gridCol w:w="4008"/>
      </w:tblGrid>
      <w:tr w14:paraId="48A6B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81" w:hRule="exact"/>
          <w:jc w:val="center"/>
        </w:trPr>
        <w:tc>
          <w:tcPr>
            <w:shd w:val="clear" w:color="auto" w:fill="FFFFFF"/>
            <w:vAlign w:val="center"/>
          </w:tcPr>
          <w:p w14:paraId="0BA8BB33">
            <w:pPr>
              <w:pStyle w:val="33"/>
              <w:keepNext w:val="0"/>
              <w:keepLines w:val="0"/>
              <w:widowControl w:val="0"/>
              <w:shd w:val="clear" w:color="auto" w:fill="auto"/>
              <w:bidi w:val="0"/>
              <w:spacing w:before="0" w:after="0" w:line="240" w:lineRule="auto"/>
              <w:ind w:left="0" w:right="0" w:firstLine="400"/>
              <w:jc w:val="left"/>
              <w:rPr>
                <w:rFonts w:hint="eastAsia" w:ascii="仿宋_GB2312" w:hAnsi="仿宋_GB2312" w:eastAsia="仿宋_GB2312" w:cs="仿宋_GB2312"/>
                <w:sz w:val="21"/>
                <w:szCs w:val="21"/>
                <w:lang w:eastAsia="zh-CN"/>
              </w:rPr>
            </w:pPr>
            <w:r>
              <w:rPr>
                <w:rFonts w:hint="eastAsia" w:ascii="仿宋_GB2312" w:hAnsi="仿宋_GB2312" w:eastAsia="仿宋_GB2312" w:cs="仿宋_GB2312"/>
                <w:color w:val="000000"/>
                <w:spacing w:val="0"/>
                <w:w w:val="100"/>
                <w:position w:val="0"/>
                <w:sz w:val="21"/>
                <w:szCs w:val="21"/>
                <w:lang w:val="en-US" w:eastAsia="zh-CN"/>
              </w:rPr>
              <w:t>序号</w:t>
            </w:r>
          </w:p>
        </w:tc>
        <w:tc>
          <w:tcPr>
            <w:shd w:val="clear" w:color="auto" w:fill="FFFFFF"/>
            <w:vAlign w:val="center"/>
          </w:tcPr>
          <w:p w14:paraId="62A89B5F">
            <w:pPr>
              <w:pStyle w:val="33"/>
              <w:keepNext w:val="0"/>
              <w:keepLines w:val="0"/>
              <w:widowControl w:val="0"/>
              <w:shd w:val="clear" w:color="auto" w:fill="auto"/>
              <w:bidi w:val="0"/>
              <w:spacing w:before="0" w:after="0" w:line="240" w:lineRule="auto"/>
              <w:ind w:left="0" w:right="0" w:firstLine="40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土壤污染预防设施</w:t>
            </w:r>
            <w:r>
              <w:rPr>
                <w:rFonts w:hint="eastAsia" w:ascii="仿宋_GB2312" w:hAnsi="仿宋_GB2312" w:eastAsia="仿宋_GB2312" w:cs="仿宋_GB2312"/>
                <w:b/>
                <w:bCs/>
                <w:color w:val="000000"/>
                <w:spacing w:val="0"/>
                <w:w w:val="100"/>
                <w:position w:val="0"/>
                <w:sz w:val="21"/>
                <w:szCs w:val="21"/>
              </w:rPr>
              <w:t>/</w:t>
            </w:r>
            <w:r>
              <w:rPr>
                <w:rFonts w:hint="eastAsia" w:ascii="仿宋_GB2312" w:hAnsi="仿宋_GB2312" w:eastAsia="仿宋_GB2312" w:cs="仿宋_GB2312"/>
                <w:color w:val="000000"/>
                <w:spacing w:val="0"/>
                <w:w w:val="100"/>
                <w:position w:val="0"/>
                <w:sz w:val="21"/>
                <w:szCs w:val="21"/>
              </w:rPr>
              <w:t>功能</w:t>
            </w:r>
          </w:p>
        </w:tc>
        <w:tc>
          <w:tcPr>
            <w:shd w:val="clear" w:color="auto" w:fill="FFFFFF"/>
            <w:vAlign w:val="center"/>
          </w:tcPr>
          <w:p w14:paraId="6DEB5CA4">
            <w:pPr>
              <w:pStyle w:val="33"/>
              <w:keepNext w:val="0"/>
              <w:keepLines w:val="0"/>
              <w:widowControl w:val="0"/>
              <w:shd w:val="clear" w:color="auto" w:fill="auto"/>
              <w:bidi w:val="0"/>
              <w:spacing w:before="0" w:after="0" w:line="240" w:lineRule="auto"/>
              <w:ind w:left="0" w:right="0" w:firstLine="38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土壤污染预防措施</w:t>
            </w:r>
          </w:p>
        </w:tc>
      </w:tr>
      <w:tr w14:paraId="4512F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022" w:hRule="exact"/>
          <w:jc w:val="center"/>
        </w:trPr>
        <w:tc>
          <w:tcPr>
            <w:shd w:val="clear" w:color="auto" w:fill="FFFFFF"/>
            <w:vAlign w:val="center"/>
          </w:tcPr>
          <w:p w14:paraId="1A415266">
            <w:pPr>
              <w:pStyle w:val="33"/>
              <w:keepNext w:val="0"/>
              <w:keepLines w:val="0"/>
              <w:widowControl w:val="0"/>
              <w:shd w:val="clear" w:color="auto" w:fill="auto"/>
              <w:bidi w:val="0"/>
              <w:spacing w:before="0" w:after="0" w:line="240" w:lineRule="auto"/>
              <w:ind w:left="0" w:right="0" w:firstLine="40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1</w:t>
            </w:r>
          </w:p>
        </w:tc>
        <w:tc>
          <w:tcPr>
            <w:shd w:val="clear" w:color="auto" w:fill="FFFFFF"/>
            <w:vAlign w:val="top"/>
          </w:tcPr>
          <w:p w14:paraId="094A7FC0">
            <w:pPr>
              <w:pStyle w:val="33"/>
              <w:keepNext w:val="0"/>
              <w:keepLines w:val="0"/>
              <w:widowControl w:val="0"/>
              <w:shd w:val="clear" w:color="auto" w:fill="auto"/>
              <w:bidi w:val="0"/>
              <w:spacing w:before="0" w:after="60" w:line="283" w:lineRule="exact"/>
              <w:ind w:left="0" w:right="0" w:firstLine="400"/>
              <w:jc w:val="both"/>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•普通阻隔设施</w:t>
            </w:r>
          </w:p>
          <w:p w14:paraId="710351D2">
            <w:pPr>
              <w:pStyle w:val="33"/>
              <w:keepNext w:val="0"/>
              <w:keepLines w:val="0"/>
              <w:widowControl w:val="0"/>
              <w:shd w:val="clear" w:color="auto" w:fill="auto"/>
              <w:bidi w:val="0"/>
              <w:spacing w:before="0" w:after="0" w:line="283" w:lineRule="exact"/>
              <w:ind w:left="0" w:right="0" w:firstLine="420"/>
              <w:jc w:val="both"/>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•渗漏、流失的液体应得到有效收集并定期清理</w:t>
            </w:r>
          </w:p>
        </w:tc>
        <w:tc>
          <w:tcPr>
            <w:shd w:val="clear" w:color="auto" w:fill="FFFFFF"/>
            <w:vAlign w:val="top"/>
          </w:tcPr>
          <w:p w14:paraId="44BC677E">
            <w:pPr>
              <w:pStyle w:val="33"/>
              <w:keepNext w:val="0"/>
              <w:keepLines w:val="0"/>
              <w:widowControl w:val="0"/>
              <w:shd w:val="clear" w:color="auto" w:fill="auto"/>
              <w:bidi w:val="0"/>
              <w:spacing w:before="0" w:after="100" w:line="240" w:lineRule="auto"/>
              <w:ind w:left="0" w:right="0" w:firstLine="38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•目视检查</w:t>
            </w:r>
          </w:p>
          <w:p w14:paraId="5C585E25">
            <w:pPr>
              <w:pStyle w:val="33"/>
              <w:keepNext w:val="0"/>
              <w:keepLines w:val="0"/>
              <w:widowControl w:val="0"/>
              <w:shd w:val="clear" w:color="auto" w:fill="auto"/>
              <w:bidi w:val="0"/>
              <w:spacing w:before="0" w:after="100" w:line="240" w:lineRule="auto"/>
              <w:ind w:left="0" w:right="0" w:firstLine="38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•日常维护</w:t>
            </w:r>
          </w:p>
          <w:p w14:paraId="64D5890E">
            <w:pPr>
              <w:pStyle w:val="33"/>
              <w:keepNext w:val="0"/>
              <w:keepLines w:val="0"/>
              <w:widowControl w:val="0"/>
              <w:shd w:val="clear" w:color="auto" w:fill="auto"/>
              <w:bidi w:val="0"/>
              <w:spacing w:before="0" w:after="100" w:line="240" w:lineRule="auto"/>
              <w:ind w:left="0" w:right="0" w:firstLine="38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•有效应对泄漏事件</w:t>
            </w:r>
          </w:p>
        </w:tc>
      </w:tr>
      <w:tr w14:paraId="77EFA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651" w:hRule="exact"/>
          <w:jc w:val="center"/>
        </w:trPr>
        <w:tc>
          <w:tcPr>
            <w:shd w:val="clear" w:color="auto" w:fill="FFFFFF"/>
            <w:vAlign w:val="center"/>
          </w:tcPr>
          <w:p w14:paraId="41B50A9C">
            <w:pPr>
              <w:pStyle w:val="33"/>
              <w:keepNext w:val="0"/>
              <w:keepLines w:val="0"/>
              <w:widowControl w:val="0"/>
              <w:shd w:val="clear" w:color="auto" w:fill="auto"/>
              <w:bidi w:val="0"/>
              <w:spacing w:before="0" w:after="0" w:line="240" w:lineRule="auto"/>
              <w:ind w:left="0" w:right="0" w:firstLine="40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2</w:t>
            </w:r>
          </w:p>
        </w:tc>
        <w:tc>
          <w:tcPr>
            <w:shd w:val="clear" w:color="auto" w:fill="FFFFFF"/>
            <w:vAlign w:val="top"/>
          </w:tcPr>
          <w:p w14:paraId="147AF21A">
            <w:pPr>
              <w:pStyle w:val="33"/>
              <w:keepNext w:val="0"/>
              <w:keepLines w:val="0"/>
              <w:widowControl w:val="0"/>
              <w:shd w:val="clear" w:color="auto" w:fill="auto"/>
              <w:bidi w:val="0"/>
              <w:spacing w:before="0" w:after="80" w:line="281" w:lineRule="exact"/>
              <w:ind w:left="0" w:right="0" w:firstLine="420"/>
              <w:jc w:val="both"/>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•普通阻隔设施</w:t>
            </w:r>
          </w:p>
          <w:p w14:paraId="055C0AEA">
            <w:pPr>
              <w:pStyle w:val="33"/>
              <w:keepNext w:val="0"/>
              <w:keepLines w:val="0"/>
              <w:widowControl w:val="0"/>
              <w:shd w:val="clear" w:color="auto" w:fill="auto"/>
              <w:bidi w:val="0"/>
              <w:spacing w:before="0" w:after="80" w:line="283" w:lineRule="exact"/>
              <w:ind w:left="0" w:right="0" w:firstLine="420"/>
              <w:jc w:val="both"/>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•在设施设备容易发生泄漏、渗漏的地方设置防滴漏设施</w:t>
            </w:r>
          </w:p>
          <w:p w14:paraId="5C7E2F69">
            <w:pPr>
              <w:pStyle w:val="33"/>
              <w:keepNext w:val="0"/>
              <w:keepLines w:val="0"/>
              <w:widowControl w:val="0"/>
              <w:shd w:val="clear" w:color="auto" w:fill="auto"/>
              <w:bidi w:val="0"/>
              <w:spacing w:before="0" w:after="80" w:line="278" w:lineRule="exact"/>
              <w:ind w:left="0" w:right="0" w:firstLine="420"/>
              <w:jc w:val="both"/>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•注意设施设备频繁使用的部件与易发生飞溅的部件</w:t>
            </w:r>
          </w:p>
        </w:tc>
        <w:tc>
          <w:tcPr>
            <w:shd w:val="clear" w:color="auto" w:fill="FFFFFF"/>
            <w:vAlign w:val="center"/>
          </w:tcPr>
          <w:p w14:paraId="4C53D3A2">
            <w:pPr>
              <w:pStyle w:val="33"/>
              <w:keepNext w:val="0"/>
              <w:keepLines w:val="0"/>
              <w:widowControl w:val="0"/>
              <w:shd w:val="clear" w:color="auto" w:fill="auto"/>
              <w:bidi w:val="0"/>
              <w:spacing w:before="0" w:after="80" w:line="240" w:lineRule="auto"/>
              <w:ind w:left="0" w:right="0" w:firstLine="38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•定期清空防滴漏设施</w:t>
            </w:r>
          </w:p>
          <w:p w14:paraId="6DFFF0CB">
            <w:pPr>
              <w:pStyle w:val="33"/>
              <w:keepNext w:val="0"/>
              <w:keepLines w:val="0"/>
              <w:widowControl w:val="0"/>
              <w:shd w:val="clear" w:color="auto" w:fill="auto"/>
              <w:bidi w:val="0"/>
              <w:spacing w:before="0" w:after="80" w:line="240" w:lineRule="auto"/>
              <w:ind w:left="0" w:right="0" w:firstLine="38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•目视检查</w:t>
            </w:r>
          </w:p>
          <w:p w14:paraId="2431028D">
            <w:pPr>
              <w:pStyle w:val="33"/>
              <w:keepNext w:val="0"/>
              <w:keepLines w:val="0"/>
              <w:widowControl w:val="0"/>
              <w:shd w:val="clear" w:color="auto" w:fill="auto"/>
              <w:bidi w:val="0"/>
              <w:spacing w:before="0" w:after="80" w:line="240" w:lineRule="auto"/>
              <w:ind w:left="380" w:right="0" w:firstLine="4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•日常维护</w:t>
            </w:r>
          </w:p>
        </w:tc>
      </w:tr>
      <w:tr w14:paraId="5E530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008" w:hRule="exact"/>
          <w:jc w:val="center"/>
        </w:trPr>
        <w:tc>
          <w:tcPr>
            <w:shd w:val="clear" w:color="auto" w:fill="FFFFFF"/>
            <w:vAlign w:val="center"/>
          </w:tcPr>
          <w:p w14:paraId="1DEEE602">
            <w:pPr>
              <w:pStyle w:val="33"/>
              <w:keepNext w:val="0"/>
              <w:keepLines w:val="0"/>
              <w:widowControl w:val="0"/>
              <w:shd w:val="clear" w:color="auto" w:fill="auto"/>
              <w:bidi w:val="0"/>
              <w:spacing w:before="0" w:after="0" w:line="240" w:lineRule="auto"/>
              <w:ind w:left="0" w:right="0" w:firstLine="40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3</w:t>
            </w:r>
          </w:p>
        </w:tc>
        <w:tc>
          <w:tcPr>
            <w:shd w:val="clear" w:color="auto" w:fill="FFFFFF"/>
            <w:vAlign w:val="center"/>
          </w:tcPr>
          <w:p w14:paraId="3B5864DD">
            <w:pPr>
              <w:pStyle w:val="33"/>
              <w:keepNext w:val="0"/>
              <w:keepLines w:val="0"/>
              <w:widowControl w:val="0"/>
              <w:shd w:val="clear" w:color="auto" w:fill="auto"/>
              <w:bidi w:val="0"/>
              <w:spacing w:before="0" w:after="40" w:line="278" w:lineRule="exact"/>
              <w:ind w:left="0" w:right="0" w:firstLine="400"/>
              <w:jc w:val="both"/>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•防渗阻隔系统</w:t>
            </w:r>
          </w:p>
          <w:p w14:paraId="2629A397">
            <w:pPr>
              <w:pStyle w:val="33"/>
              <w:keepNext w:val="0"/>
              <w:keepLines w:val="0"/>
              <w:widowControl w:val="0"/>
              <w:shd w:val="clear" w:color="auto" w:fill="auto"/>
              <w:bidi w:val="0"/>
              <w:spacing w:before="0" w:after="0" w:line="278" w:lineRule="exact"/>
              <w:ind w:left="0" w:right="0" w:firstLine="420"/>
              <w:jc w:val="both"/>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•渗漏、流失的液体能得到有效收集并定期清理</w:t>
            </w:r>
          </w:p>
        </w:tc>
        <w:tc>
          <w:tcPr>
            <w:shd w:val="clear" w:color="auto" w:fill="FFFFFF"/>
            <w:vAlign w:val="top"/>
          </w:tcPr>
          <w:p w14:paraId="6A2467FF">
            <w:pPr>
              <w:pStyle w:val="33"/>
              <w:keepNext w:val="0"/>
              <w:keepLines w:val="0"/>
              <w:widowControl w:val="0"/>
              <w:shd w:val="clear" w:color="auto" w:fill="auto"/>
              <w:bidi w:val="0"/>
              <w:spacing w:before="0" w:after="80" w:line="240" w:lineRule="auto"/>
              <w:ind w:left="380" w:right="0" w:firstLine="4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•定期开展防渗效果检</w:t>
            </w:r>
          </w:p>
          <w:p w14:paraId="73497DFC">
            <w:pPr>
              <w:pStyle w:val="33"/>
              <w:keepNext w:val="0"/>
              <w:keepLines w:val="0"/>
              <w:widowControl w:val="0"/>
              <w:shd w:val="clear" w:color="auto" w:fill="auto"/>
              <w:bidi w:val="0"/>
              <w:spacing w:before="0" w:after="0" w:line="240" w:lineRule="auto"/>
              <w:ind w:left="380" w:right="0" w:firstLine="4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•日常维护</w:t>
            </w:r>
          </w:p>
        </w:tc>
      </w:tr>
    </w:tbl>
    <w:p w14:paraId="63A00CF5">
      <w:pPr>
        <w:pStyle w:val="27"/>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right="0" w:rightChars="0" w:firstLine="560" w:firstLineChars="200"/>
        <w:jc w:val="both"/>
        <w:textAlignment w:val="auto"/>
        <w:rPr>
          <w:rFonts w:hint="eastAsia" w:ascii="仿宋_GB2312" w:hAnsi="仿宋_GB2312" w:eastAsia="仿宋_GB2312" w:cs="仿宋_GB2312"/>
        </w:rPr>
      </w:pPr>
      <w:bookmarkStart w:id="193" w:name="bookmark238"/>
      <w:bookmarkEnd w:id="193"/>
      <w:r>
        <w:rPr>
          <w:rFonts w:hint="eastAsia" w:ascii="仿宋_GB2312" w:hAnsi="仿宋_GB2312" w:eastAsia="仿宋_GB2312" w:cs="仿宋_GB2312"/>
          <w:color w:val="000000"/>
          <w:spacing w:val="0"/>
          <w:w w:val="100"/>
          <w:position w:val="0"/>
          <w:lang w:val="en-US" w:eastAsia="zh-CN"/>
        </w:rPr>
        <w:t>④</w:t>
      </w:r>
      <w:r>
        <w:rPr>
          <w:rFonts w:hint="eastAsia" w:ascii="仿宋_GB2312" w:hAnsi="仿宋_GB2312" w:eastAsia="仿宋_GB2312" w:cs="仿宋_GB2312"/>
          <w:color w:val="000000"/>
          <w:spacing w:val="0"/>
          <w:w w:val="100"/>
          <w:position w:val="0"/>
        </w:rPr>
        <w:t>分析化验室分析化验室造成土壤污染主要是物质的泄漏、渗漏或者遗洒。可参考</w:t>
      </w:r>
      <w:r>
        <w:rPr>
          <w:rFonts w:hint="eastAsia" w:ascii="仿宋_GB2312" w:hAnsi="仿宋_GB2312" w:eastAsia="仿宋_GB2312" w:cs="仿宋_GB2312"/>
          <w:color w:val="000000"/>
          <w:spacing w:val="0"/>
          <w:w w:val="100"/>
          <w:position w:val="0"/>
          <w:lang w:val="en-US" w:eastAsia="zh-CN"/>
        </w:rPr>
        <w:t>下表</w:t>
      </w:r>
      <w:r>
        <w:rPr>
          <w:rFonts w:hint="eastAsia" w:ascii="仿宋_GB2312" w:hAnsi="仿宋_GB2312" w:eastAsia="仿宋_GB2312" w:cs="仿宋_GB2312"/>
          <w:color w:val="000000"/>
          <w:spacing w:val="0"/>
          <w:w w:val="100"/>
          <w:position w:val="0"/>
        </w:rPr>
        <w:t>开展排查和整改。</w:t>
      </w:r>
    </w:p>
    <w:tbl>
      <w:tblPr>
        <w:tblStyle w:val="9"/>
        <w:tblW w:w="0" w:type="auto"/>
        <w:jc w:val="center"/>
        <w:tblLayout w:type="fixed"/>
        <w:tblCellMar>
          <w:top w:w="0" w:type="dxa"/>
          <w:left w:w="10" w:type="dxa"/>
          <w:bottom w:w="0" w:type="dxa"/>
          <w:right w:w="10" w:type="dxa"/>
        </w:tblCellMar>
      </w:tblPr>
      <w:tblGrid>
        <w:gridCol w:w="1176"/>
        <w:gridCol w:w="3701"/>
        <w:gridCol w:w="4008"/>
      </w:tblGrid>
      <w:tr w14:paraId="46A2CF6F">
        <w:tblPrEx>
          <w:tblCellMar>
            <w:top w:w="0" w:type="dxa"/>
            <w:left w:w="10" w:type="dxa"/>
            <w:bottom w:w="0" w:type="dxa"/>
            <w:right w:w="10" w:type="dxa"/>
          </w:tblCellMar>
        </w:tblPrEx>
        <w:trPr>
          <w:trHeight w:val="586" w:hRule="exact"/>
          <w:jc w:val="center"/>
        </w:trPr>
        <w:tc>
          <w:tcPr>
            <w:tcBorders>
              <w:top w:val="single" w:color="auto" w:sz="4" w:space="0"/>
              <w:left w:val="single" w:color="auto" w:sz="4" w:space="0"/>
            </w:tcBorders>
            <w:shd w:val="clear" w:color="auto" w:fill="FFFFFF"/>
            <w:vAlign w:val="center"/>
          </w:tcPr>
          <w:p w14:paraId="2E58B68C">
            <w:pPr>
              <w:pStyle w:val="33"/>
              <w:keepNext w:val="0"/>
              <w:keepLines w:val="0"/>
              <w:widowControl w:val="0"/>
              <w:shd w:val="clear" w:color="auto" w:fill="auto"/>
              <w:bidi w:val="0"/>
              <w:spacing w:before="0" w:after="0" w:line="240" w:lineRule="auto"/>
              <w:ind w:left="0" w:right="0" w:firstLine="400"/>
              <w:jc w:val="left"/>
              <w:rPr>
                <w:rFonts w:hint="eastAsia" w:ascii="仿宋_GB2312" w:hAnsi="仿宋_GB2312" w:eastAsia="仿宋_GB2312" w:cs="仿宋_GB2312"/>
                <w:b w:val="0"/>
                <w:bCs w:val="0"/>
                <w:sz w:val="21"/>
                <w:szCs w:val="21"/>
                <w:lang w:eastAsia="zh-CN"/>
              </w:rPr>
            </w:pPr>
            <w:r>
              <w:rPr>
                <w:rFonts w:hint="eastAsia" w:ascii="仿宋_GB2312" w:hAnsi="仿宋_GB2312" w:eastAsia="仿宋_GB2312" w:cs="仿宋_GB2312"/>
                <w:b w:val="0"/>
                <w:bCs w:val="0"/>
                <w:color w:val="000000"/>
                <w:spacing w:val="0"/>
                <w:w w:val="100"/>
                <w:position w:val="0"/>
                <w:sz w:val="21"/>
                <w:szCs w:val="21"/>
                <w:lang w:val="en-US" w:eastAsia="zh-CN"/>
              </w:rPr>
              <w:t>序号</w:t>
            </w:r>
          </w:p>
        </w:tc>
        <w:tc>
          <w:tcPr>
            <w:tcBorders>
              <w:top w:val="single" w:color="auto" w:sz="4" w:space="0"/>
              <w:left w:val="single" w:color="auto" w:sz="4" w:space="0"/>
            </w:tcBorders>
            <w:shd w:val="clear" w:color="auto" w:fill="FFFFFF"/>
            <w:vAlign w:val="center"/>
          </w:tcPr>
          <w:p w14:paraId="05E624A0">
            <w:pPr>
              <w:pStyle w:val="33"/>
              <w:keepNext w:val="0"/>
              <w:keepLines w:val="0"/>
              <w:widowControl w:val="0"/>
              <w:shd w:val="clear" w:color="auto" w:fill="auto"/>
              <w:bidi w:val="0"/>
              <w:spacing w:before="0" w:after="0" w:line="240" w:lineRule="auto"/>
              <w:ind w:left="0" w:right="0" w:firstLine="420"/>
              <w:jc w:val="left"/>
              <w:rPr>
                <w:rFonts w:hint="eastAsia" w:ascii="仿宋_GB2312" w:hAnsi="仿宋_GB2312" w:eastAsia="仿宋_GB2312" w:cs="仿宋_GB2312"/>
                <w:b w:val="0"/>
                <w:bCs w:val="0"/>
                <w:sz w:val="21"/>
                <w:szCs w:val="21"/>
              </w:rPr>
            </w:pPr>
            <w:r>
              <w:rPr>
                <w:rFonts w:hint="eastAsia" w:ascii="仿宋_GB2312" w:hAnsi="仿宋_GB2312" w:eastAsia="仿宋_GB2312" w:cs="仿宋_GB2312"/>
                <w:b w:val="0"/>
                <w:bCs w:val="0"/>
                <w:color w:val="000000"/>
                <w:spacing w:val="0"/>
                <w:w w:val="100"/>
                <w:position w:val="0"/>
                <w:sz w:val="21"/>
                <w:szCs w:val="21"/>
              </w:rPr>
              <w:t>土壤污染预防设施/功能</w:t>
            </w:r>
          </w:p>
        </w:tc>
        <w:tc>
          <w:tcPr>
            <w:tcBorders>
              <w:top w:val="single" w:color="auto" w:sz="4" w:space="0"/>
              <w:left w:val="single" w:color="auto" w:sz="4" w:space="0"/>
              <w:right w:val="single" w:color="auto" w:sz="4" w:space="0"/>
            </w:tcBorders>
            <w:shd w:val="clear" w:color="auto" w:fill="FFFFFF"/>
            <w:vAlign w:val="center"/>
          </w:tcPr>
          <w:p w14:paraId="29F93B08">
            <w:pPr>
              <w:pStyle w:val="33"/>
              <w:keepNext w:val="0"/>
              <w:keepLines w:val="0"/>
              <w:widowControl w:val="0"/>
              <w:shd w:val="clear" w:color="auto" w:fill="auto"/>
              <w:bidi w:val="0"/>
              <w:spacing w:before="0" w:after="0" w:line="240" w:lineRule="auto"/>
              <w:ind w:left="380" w:right="0" w:firstLine="40"/>
              <w:jc w:val="left"/>
              <w:rPr>
                <w:rFonts w:hint="eastAsia" w:ascii="仿宋_GB2312" w:hAnsi="仿宋_GB2312" w:eastAsia="仿宋_GB2312" w:cs="仿宋_GB2312"/>
                <w:b w:val="0"/>
                <w:bCs w:val="0"/>
                <w:sz w:val="21"/>
                <w:szCs w:val="21"/>
              </w:rPr>
            </w:pPr>
            <w:r>
              <w:rPr>
                <w:rFonts w:hint="eastAsia" w:ascii="仿宋_GB2312" w:hAnsi="仿宋_GB2312" w:eastAsia="仿宋_GB2312" w:cs="仿宋_GB2312"/>
                <w:b w:val="0"/>
                <w:bCs w:val="0"/>
                <w:color w:val="000000"/>
                <w:spacing w:val="0"/>
                <w:w w:val="100"/>
                <w:position w:val="0"/>
                <w:sz w:val="21"/>
                <w:szCs w:val="21"/>
              </w:rPr>
              <w:t>土壤污染预防措施</w:t>
            </w:r>
          </w:p>
        </w:tc>
      </w:tr>
      <w:tr w14:paraId="12752275">
        <w:tblPrEx>
          <w:tblCellMar>
            <w:top w:w="0" w:type="dxa"/>
            <w:left w:w="10" w:type="dxa"/>
            <w:bottom w:w="0" w:type="dxa"/>
            <w:right w:w="10" w:type="dxa"/>
          </w:tblCellMar>
        </w:tblPrEx>
        <w:trPr>
          <w:trHeight w:val="1258" w:hRule="exact"/>
          <w:jc w:val="center"/>
        </w:trPr>
        <w:tc>
          <w:tcPr>
            <w:tcBorders>
              <w:top w:val="single" w:color="auto" w:sz="4" w:space="0"/>
              <w:left w:val="single" w:color="auto" w:sz="4" w:space="0"/>
            </w:tcBorders>
            <w:shd w:val="clear" w:color="auto" w:fill="FFFFFF"/>
            <w:vAlign w:val="center"/>
          </w:tcPr>
          <w:p w14:paraId="37F291F4">
            <w:pPr>
              <w:pStyle w:val="33"/>
              <w:keepNext w:val="0"/>
              <w:keepLines w:val="0"/>
              <w:widowControl w:val="0"/>
              <w:shd w:val="clear" w:color="auto" w:fill="auto"/>
              <w:bidi w:val="0"/>
              <w:spacing w:before="0" w:after="0" w:line="240" w:lineRule="auto"/>
              <w:ind w:left="0" w:right="0" w:firstLine="40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1</w:t>
            </w:r>
          </w:p>
        </w:tc>
        <w:tc>
          <w:tcPr>
            <w:tcBorders>
              <w:top w:val="single" w:color="auto" w:sz="4" w:space="0"/>
              <w:left w:val="single" w:color="auto" w:sz="4" w:space="0"/>
            </w:tcBorders>
            <w:shd w:val="clear" w:color="auto" w:fill="FFFFFF"/>
            <w:vAlign w:val="center"/>
          </w:tcPr>
          <w:p w14:paraId="6A2B63BE">
            <w:pPr>
              <w:pStyle w:val="33"/>
              <w:keepNext w:val="0"/>
              <w:keepLines w:val="0"/>
              <w:widowControl w:val="0"/>
              <w:shd w:val="clear" w:color="auto" w:fill="auto"/>
              <w:bidi w:val="0"/>
              <w:spacing w:before="0" w:after="0" w:line="264" w:lineRule="exact"/>
              <w:ind w:left="0" w:right="0" w:firstLine="42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•普通阻隔设施</w:t>
            </w:r>
          </w:p>
          <w:p w14:paraId="364C848C">
            <w:pPr>
              <w:pStyle w:val="33"/>
              <w:keepNext w:val="0"/>
              <w:keepLines w:val="0"/>
              <w:widowControl w:val="0"/>
              <w:shd w:val="clear" w:color="auto" w:fill="auto"/>
              <w:bidi w:val="0"/>
              <w:spacing w:before="0" w:after="0" w:line="264" w:lineRule="exact"/>
              <w:ind w:left="0" w:right="0" w:firstLine="42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•关键点位设置防滴漏设施</w:t>
            </w:r>
          </w:p>
          <w:p w14:paraId="5F8F8436">
            <w:pPr>
              <w:pStyle w:val="33"/>
              <w:keepNext w:val="0"/>
              <w:keepLines w:val="0"/>
              <w:widowControl w:val="0"/>
              <w:shd w:val="clear" w:color="auto" w:fill="auto"/>
              <w:bidi w:val="0"/>
              <w:spacing w:before="0" w:after="0" w:line="264" w:lineRule="exact"/>
              <w:ind w:left="0" w:right="0" w:firstLine="420"/>
              <w:jc w:val="both"/>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•渗漏、流失的液体得到有效收集并定期清理</w:t>
            </w:r>
          </w:p>
        </w:tc>
        <w:tc>
          <w:tcPr>
            <w:tcBorders>
              <w:top w:val="single" w:color="auto" w:sz="4" w:space="0"/>
              <w:left w:val="single" w:color="auto" w:sz="4" w:space="0"/>
              <w:right w:val="single" w:color="auto" w:sz="4" w:space="0"/>
            </w:tcBorders>
            <w:shd w:val="clear" w:color="auto" w:fill="FFFFFF"/>
            <w:vAlign w:val="center"/>
          </w:tcPr>
          <w:p w14:paraId="130A6407">
            <w:pPr>
              <w:pStyle w:val="33"/>
              <w:keepNext w:val="0"/>
              <w:keepLines w:val="0"/>
              <w:widowControl w:val="0"/>
              <w:shd w:val="clear" w:color="auto" w:fill="auto"/>
              <w:bidi w:val="0"/>
              <w:spacing w:before="0" w:after="0" w:line="274" w:lineRule="exact"/>
              <w:ind w:left="380" w:right="0" w:firstLine="4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•定期清空防滴漏设施•日常维护和目视检查</w:t>
            </w:r>
          </w:p>
        </w:tc>
      </w:tr>
      <w:tr w14:paraId="09F530A9">
        <w:tblPrEx>
          <w:tblCellMar>
            <w:top w:w="0" w:type="dxa"/>
            <w:left w:w="10" w:type="dxa"/>
            <w:bottom w:w="0" w:type="dxa"/>
            <w:right w:w="10" w:type="dxa"/>
          </w:tblCellMar>
        </w:tblPrEx>
        <w:trPr>
          <w:trHeight w:val="1077" w:hRule="exact"/>
          <w:jc w:val="center"/>
        </w:trPr>
        <w:tc>
          <w:tcPr>
            <w:tcBorders>
              <w:top w:val="single" w:color="auto" w:sz="4" w:space="0"/>
              <w:left w:val="single" w:color="auto" w:sz="4" w:space="0"/>
              <w:bottom w:val="single" w:color="auto" w:sz="4" w:space="0"/>
            </w:tcBorders>
            <w:shd w:val="clear" w:color="auto" w:fill="FFFFFF"/>
            <w:vAlign w:val="center"/>
          </w:tcPr>
          <w:p w14:paraId="6F8C3D85">
            <w:pPr>
              <w:pStyle w:val="33"/>
              <w:keepNext w:val="0"/>
              <w:keepLines w:val="0"/>
              <w:widowControl w:val="0"/>
              <w:shd w:val="clear" w:color="auto" w:fill="auto"/>
              <w:bidi w:val="0"/>
              <w:spacing w:before="0" w:after="0" w:line="240" w:lineRule="auto"/>
              <w:ind w:left="0" w:right="0" w:firstLine="40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2</w:t>
            </w:r>
          </w:p>
        </w:tc>
        <w:tc>
          <w:tcPr>
            <w:tcBorders>
              <w:top w:val="single" w:color="auto" w:sz="4" w:space="0"/>
              <w:left w:val="single" w:color="auto" w:sz="4" w:space="0"/>
              <w:bottom w:val="single" w:color="auto" w:sz="4" w:space="0"/>
            </w:tcBorders>
            <w:shd w:val="clear" w:color="auto" w:fill="FFFFFF"/>
            <w:vAlign w:val="center"/>
          </w:tcPr>
          <w:p w14:paraId="7B9DF2B3">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420"/>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•防渗阻隔系统</w:t>
            </w:r>
          </w:p>
          <w:p w14:paraId="78F1A8F2">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420"/>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•渗漏、流失的液体得到有效收</w:t>
            </w:r>
          </w:p>
          <w:p w14:paraId="15BD6D0A">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集并定期清理</w:t>
            </w:r>
          </w:p>
        </w:tc>
        <w:tc>
          <w:tcPr>
            <w:tcBorders>
              <w:top w:val="single" w:color="auto" w:sz="4" w:space="0"/>
              <w:left w:val="single" w:color="auto" w:sz="4" w:space="0"/>
              <w:bottom w:val="single" w:color="auto" w:sz="4" w:space="0"/>
              <w:right w:val="single" w:color="auto" w:sz="4" w:space="0"/>
            </w:tcBorders>
            <w:shd w:val="clear" w:color="auto" w:fill="FFFFFF"/>
            <w:vAlign w:val="center"/>
          </w:tcPr>
          <w:p w14:paraId="55336E33">
            <w:pPr>
              <w:pStyle w:val="33"/>
              <w:keepNext w:val="0"/>
              <w:keepLines w:val="0"/>
              <w:widowControl w:val="0"/>
              <w:shd w:val="clear" w:color="auto" w:fill="auto"/>
              <w:bidi w:val="0"/>
              <w:spacing w:before="0" w:after="0" w:line="259" w:lineRule="exact"/>
              <w:ind w:left="380" w:right="0" w:firstLine="4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•定期检测密封和防渗效果•日常维护和目视检查</w:t>
            </w:r>
          </w:p>
        </w:tc>
      </w:tr>
    </w:tbl>
    <w:p w14:paraId="4EF79E42">
      <w:pPr>
        <w:pStyle w:val="27"/>
        <w:bidi w:val="0"/>
        <w:rPr>
          <w:rFonts w:hint="eastAsia" w:ascii="仿宋_GB2312" w:hAnsi="仿宋_GB2312" w:eastAsia="仿宋_GB2312" w:cs="仿宋_GB2312"/>
        </w:rPr>
      </w:pPr>
      <w:bookmarkStart w:id="194" w:name="bookmark239"/>
      <w:bookmarkEnd w:id="194"/>
      <w:r>
        <w:rPr>
          <w:rFonts w:hint="eastAsia" w:ascii="仿宋_GB2312" w:hAnsi="仿宋_GB2312" w:eastAsia="仿宋_GB2312" w:cs="仿宋_GB2312"/>
          <w:lang w:val="en-US" w:eastAsia="zh-CN"/>
        </w:rPr>
        <w:t>⑤</w:t>
      </w:r>
      <w:r>
        <w:rPr>
          <w:rFonts w:hint="eastAsia" w:ascii="仿宋_GB2312" w:hAnsi="仿宋_GB2312" w:eastAsia="仿宋_GB2312" w:cs="仿宋_GB2312"/>
        </w:rPr>
        <w:t>一般工业固体废物贮存场和危险废物贮存库</w:t>
      </w:r>
      <w:r>
        <w:rPr>
          <w:rFonts w:hint="eastAsia" w:ascii="仿宋_GB2312" w:hAnsi="仿宋_GB2312" w:eastAsia="仿宋_GB2312" w:cs="仿宋_GB2312"/>
          <w:lang w:val="en-US" w:eastAsia="en-US"/>
        </w:rPr>
        <w:t>GB18599</w:t>
      </w:r>
      <w:r>
        <w:rPr>
          <w:rFonts w:hint="eastAsia" w:ascii="仿宋_GB2312" w:hAnsi="仿宋_GB2312" w:eastAsia="仿宋_GB2312" w:cs="仿宋_GB2312"/>
        </w:rPr>
        <w:t>规定了一般工业固体废物贮存场的选址、建设、运行、封场等过程的环境保护要求，以及监测要求和实施与监督等内容。一般工业固体废物贮存场可按照</w:t>
      </w:r>
      <w:r>
        <w:rPr>
          <w:rFonts w:hint="eastAsia" w:ascii="仿宋_GB2312" w:hAnsi="仿宋_GB2312" w:eastAsia="仿宋_GB2312" w:cs="仿宋_GB2312"/>
          <w:lang w:val="en-US" w:eastAsia="en-US"/>
        </w:rPr>
        <w:t>GB</w:t>
      </w:r>
      <w:r>
        <w:rPr>
          <w:rFonts w:hint="eastAsia" w:ascii="仿宋_GB2312" w:hAnsi="仿宋_GB2312" w:eastAsia="仿宋_GB2312" w:cs="仿宋_GB2312"/>
        </w:rPr>
        <w:t>18599的要求开展排查和整改。</w:t>
      </w:r>
      <w:r>
        <w:rPr>
          <w:rFonts w:hint="eastAsia" w:ascii="仿宋_GB2312" w:hAnsi="仿宋_GB2312" w:eastAsia="仿宋_GB2312" w:cs="仿宋_GB2312"/>
          <w:lang w:val="en-US" w:eastAsia="en-US"/>
        </w:rPr>
        <w:t>GB</w:t>
      </w:r>
      <w:r>
        <w:rPr>
          <w:rFonts w:hint="eastAsia" w:ascii="仿宋_GB2312" w:hAnsi="仿宋_GB2312" w:eastAsia="仿宋_GB2312" w:cs="仿宋_GB2312"/>
        </w:rPr>
        <w:t>18597规定了对危险废物贮存的一般要求，对危险废物包装、贮存设施的选址、设计、运行、安全防护、监测和关闭等要求。危险废物贮存库可按照</w:t>
      </w:r>
      <w:r>
        <w:rPr>
          <w:rFonts w:hint="eastAsia" w:ascii="仿宋_GB2312" w:hAnsi="仿宋_GB2312" w:eastAsia="仿宋_GB2312" w:cs="仿宋_GB2312"/>
          <w:lang w:val="en-US" w:eastAsia="en-US"/>
        </w:rPr>
        <w:t>GB</w:t>
      </w:r>
      <w:r>
        <w:rPr>
          <w:rFonts w:hint="eastAsia" w:ascii="仿宋_GB2312" w:hAnsi="仿宋_GB2312" w:eastAsia="仿宋_GB2312" w:cs="仿宋_GB2312"/>
        </w:rPr>
        <w:t>18597的要求开展排查和整改。</w:t>
      </w:r>
      <w:bookmarkStart w:id="195" w:name="bookmark241"/>
      <w:bookmarkStart w:id="196" w:name="bookmark243"/>
      <w:bookmarkStart w:id="197" w:name="bookmark240"/>
      <w:bookmarkStart w:id="198" w:name="_Toc30299"/>
    </w:p>
    <w:p w14:paraId="175E37B6">
      <w:pPr>
        <w:pStyle w:val="17"/>
        <w:bidi w:val="0"/>
        <w:rPr>
          <w:rFonts w:hint="eastAsia" w:ascii="仿宋_GB2312" w:hAnsi="仿宋_GB2312" w:eastAsia="仿宋_GB2312" w:cs="仿宋_GB2312"/>
        </w:rPr>
      </w:pPr>
      <w:r>
        <w:rPr>
          <w:rFonts w:hint="eastAsia" w:ascii="仿宋_GB2312" w:hAnsi="仿宋_GB2312" w:eastAsia="仿宋_GB2312" w:cs="仿宋_GB2312"/>
          <w:lang w:val="zh-CN" w:eastAsia="zh-CN"/>
        </w:rPr>
        <w:t>4.</w:t>
      </w:r>
      <w:r>
        <w:rPr>
          <w:rFonts w:hint="eastAsia" w:ascii="仿宋_GB2312" w:hAnsi="仿宋_GB2312" w:eastAsia="仿宋_GB2312" w:cs="仿宋_GB2312"/>
        </w:rPr>
        <w:t>土壤污染隐患排查</w:t>
      </w:r>
      <w:bookmarkEnd w:id="195"/>
      <w:bookmarkEnd w:id="196"/>
      <w:bookmarkEnd w:id="197"/>
      <w:bookmarkEnd w:id="198"/>
    </w:p>
    <w:p w14:paraId="07AE8F22">
      <w:pPr>
        <w:pStyle w:val="25"/>
        <w:bidi w:val="0"/>
        <w:rPr>
          <w:rFonts w:hint="eastAsia" w:ascii="仿宋_GB2312" w:hAnsi="仿宋_GB2312" w:eastAsia="仿宋_GB2312" w:cs="仿宋_GB2312"/>
        </w:rPr>
      </w:pPr>
      <w:bookmarkStart w:id="199" w:name="_Toc26723"/>
      <w:bookmarkStart w:id="200" w:name="bookmark245"/>
      <w:bookmarkStart w:id="201" w:name="bookmark247"/>
      <w:bookmarkStart w:id="202" w:name="bookmark244"/>
      <w:r>
        <w:rPr>
          <w:rFonts w:hint="eastAsia" w:ascii="仿宋_GB2312" w:hAnsi="仿宋_GB2312" w:eastAsia="仿宋_GB2312" w:cs="仿宋_GB2312"/>
          <w:lang w:val="en-US" w:eastAsia="en-US"/>
        </w:rPr>
        <w:t>4.</w:t>
      </w:r>
      <w:r>
        <w:rPr>
          <w:rFonts w:hint="eastAsia" w:ascii="仿宋_GB2312" w:hAnsi="仿宋_GB2312" w:eastAsia="仿宋_GB2312" w:cs="仿宋_GB2312"/>
        </w:rPr>
        <w:t>1重点场所、重点设施设备隐患排査</w:t>
      </w:r>
      <w:bookmarkEnd w:id="199"/>
      <w:bookmarkEnd w:id="200"/>
      <w:bookmarkEnd w:id="201"/>
      <w:bookmarkEnd w:id="202"/>
    </w:p>
    <w:p w14:paraId="0AA93CE7">
      <w:pPr>
        <w:pStyle w:val="27"/>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580"/>
        <w:jc w:val="both"/>
        <w:textAlignment w:val="auto"/>
        <w:rPr>
          <w:rFonts w:hint="eastAsia" w:ascii="仿宋_GB2312" w:hAnsi="仿宋_GB2312" w:eastAsia="仿宋_GB2312" w:cs="仿宋_GB2312"/>
        </w:rPr>
      </w:pPr>
      <w:r>
        <w:rPr>
          <w:rFonts w:hint="eastAsia" w:ascii="仿宋_GB2312" w:hAnsi="仿宋_GB2312" w:eastAsia="仿宋_GB2312" w:cs="仿宋_GB2312"/>
          <w:color w:val="000000"/>
          <w:spacing w:val="0"/>
          <w:w w:val="100"/>
          <w:position w:val="0"/>
        </w:rPr>
        <w:t>石柱县海创环保科技有限责任公司根据</w:t>
      </w:r>
      <w:r>
        <w:rPr>
          <w:rFonts w:hint="eastAsia" w:ascii="仿宋_GB2312" w:hAnsi="仿宋_GB2312" w:eastAsia="仿宋_GB2312" w:cs="仿宋_GB2312"/>
          <w:color w:val="000000"/>
          <w:spacing w:val="0"/>
          <w:w w:val="100"/>
          <w:position w:val="0"/>
          <w:lang w:val="en-US" w:eastAsia="en-US" w:bidi="en-US"/>
        </w:rPr>
        <w:t>3.1</w:t>
      </w:r>
      <w:r>
        <w:rPr>
          <w:rFonts w:hint="eastAsia" w:ascii="仿宋_GB2312" w:hAnsi="仿宋_GB2312" w:eastAsia="仿宋_GB2312" w:cs="仿宋_GB2312"/>
          <w:color w:val="000000"/>
          <w:spacing w:val="0"/>
          <w:w w:val="100"/>
          <w:position w:val="0"/>
        </w:rPr>
        <w:t>确定的《土壤污染隐患的重点场所或者重点设施设备清单》，参考《重点监管单位土壤污染隐患排査指南（试行）》附录</w:t>
      </w:r>
      <w:r>
        <w:rPr>
          <w:rFonts w:hint="eastAsia" w:ascii="仿宋_GB2312" w:hAnsi="仿宋_GB2312" w:eastAsia="仿宋_GB2312" w:cs="仿宋_GB2312"/>
          <w:color w:val="000000"/>
          <w:spacing w:val="0"/>
          <w:w w:val="100"/>
          <w:position w:val="0"/>
          <w:lang w:val="en-US" w:eastAsia="en-US" w:bidi="en-US"/>
        </w:rPr>
        <w:t>A</w:t>
      </w:r>
      <w:r>
        <w:rPr>
          <w:rFonts w:hint="eastAsia" w:ascii="仿宋_GB2312" w:hAnsi="仿宋_GB2312" w:eastAsia="仿宋_GB2312" w:cs="仿宋_GB2312"/>
          <w:color w:val="000000"/>
          <w:spacing w:val="0"/>
          <w:w w:val="100"/>
          <w:position w:val="0"/>
        </w:rPr>
        <w:t>的排査技术要点，对</w:t>
      </w:r>
      <w:r>
        <w:rPr>
          <w:rFonts w:hint="eastAsia" w:ascii="仿宋_GB2312" w:hAnsi="仿宋_GB2312" w:eastAsia="仿宋_GB2312" w:cs="仿宋_GB2312"/>
          <w:color w:val="000000"/>
          <w:spacing w:val="0"/>
          <w:w w:val="100"/>
          <w:position w:val="0"/>
          <w:lang w:val="en-US" w:eastAsia="zh-CN"/>
        </w:rPr>
        <w:t>公司</w:t>
      </w:r>
      <w:r>
        <w:rPr>
          <w:rFonts w:hint="eastAsia" w:ascii="仿宋_GB2312" w:hAnsi="仿宋_GB2312" w:eastAsia="仿宋_GB2312" w:cs="仿宋_GB2312"/>
          <w:color w:val="000000"/>
          <w:spacing w:val="0"/>
          <w:w w:val="100"/>
          <w:position w:val="0"/>
        </w:rPr>
        <w:t>可能造成土壤污染隐患的重点场所和重点设备进行了排查。现将排查情况简述如下。</w:t>
      </w:r>
    </w:p>
    <w:p w14:paraId="5A242FF6">
      <w:pPr>
        <w:pStyle w:val="29"/>
        <w:bidi w:val="0"/>
        <w:rPr>
          <w:rFonts w:hint="eastAsia" w:ascii="仿宋_GB2312" w:hAnsi="仿宋_GB2312" w:eastAsia="仿宋_GB2312" w:cs="仿宋_GB2312"/>
        </w:rPr>
      </w:pPr>
      <w:bookmarkStart w:id="203" w:name="bookmark251"/>
      <w:bookmarkStart w:id="204" w:name="bookmark249"/>
      <w:bookmarkStart w:id="205" w:name="bookmark248"/>
      <w:bookmarkStart w:id="206" w:name="_Toc14567"/>
      <w:r>
        <w:rPr>
          <w:rFonts w:hint="eastAsia" w:ascii="仿宋_GB2312" w:hAnsi="仿宋_GB2312" w:eastAsia="仿宋_GB2312" w:cs="仿宋_GB2312"/>
          <w:lang w:val="en-US" w:eastAsia="en-US"/>
        </w:rPr>
        <w:t>4.1.</w:t>
      </w:r>
      <w:r>
        <w:rPr>
          <w:rFonts w:hint="eastAsia" w:ascii="仿宋_GB2312" w:hAnsi="仿宋_GB2312" w:eastAsia="仿宋_GB2312" w:cs="仿宋_GB2312"/>
        </w:rPr>
        <w:t>1液体储存区</w:t>
      </w:r>
      <w:bookmarkEnd w:id="203"/>
      <w:bookmarkEnd w:id="204"/>
      <w:bookmarkEnd w:id="205"/>
      <w:bookmarkEnd w:id="206"/>
    </w:p>
    <w:p w14:paraId="251AD1DF">
      <w:pPr>
        <w:pStyle w:val="27"/>
        <w:keepNext w:val="0"/>
        <w:keepLines w:val="0"/>
        <w:widowControl w:val="0"/>
        <w:shd w:val="clear" w:color="auto" w:fill="auto"/>
        <w:bidi w:val="0"/>
        <w:spacing w:before="0" w:after="0" w:line="542" w:lineRule="exact"/>
        <w:ind w:left="0" w:right="0" w:firstLine="580"/>
        <w:jc w:val="both"/>
        <w:rPr>
          <w:rFonts w:hint="eastAsia" w:ascii="仿宋_GB2312" w:hAnsi="仿宋_GB2312" w:eastAsia="仿宋_GB2312" w:cs="仿宋_GB2312"/>
        </w:rPr>
      </w:pPr>
      <w:r>
        <w:rPr>
          <w:rFonts w:hint="eastAsia" w:ascii="仿宋_GB2312" w:hAnsi="仿宋_GB2312" w:eastAsia="仿宋_GB2312" w:cs="仿宋_GB2312"/>
          <w:color w:val="000000"/>
          <w:spacing w:val="0"/>
          <w:w w:val="100"/>
          <w:position w:val="0"/>
        </w:rPr>
        <w:t>（1）储罐类</w:t>
      </w:r>
    </w:p>
    <w:p w14:paraId="44712B48">
      <w:pPr>
        <w:pStyle w:val="27"/>
        <w:keepNext w:val="0"/>
        <w:keepLines w:val="0"/>
        <w:widowControl w:val="0"/>
        <w:shd w:val="clear" w:color="auto" w:fill="auto"/>
        <w:bidi w:val="0"/>
        <w:spacing w:before="0" w:after="0" w:line="542" w:lineRule="exact"/>
        <w:ind w:left="0" w:right="0" w:firstLine="580"/>
        <w:jc w:val="both"/>
        <w:rPr>
          <w:rFonts w:hint="eastAsia" w:ascii="仿宋_GB2312" w:hAnsi="仿宋_GB2312" w:eastAsia="仿宋_GB2312" w:cs="仿宋_GB2312"/>
          <w:color w:val="000000"/>
          <w:spacing w:val="0"/>
          <w:w w:val="100"/>
          <w:position w:val="0"/>
          <w:lang w:eastAsia="zh-CN"/>
        </w:rPr>
      </w:pPr>
      <w:r>
        <w:rPr>
          <w:rFonts w:hint="eastAsia" w:ascii="仿宋_GB2312" w:hAnsi="仿宋_GB2312" w:eastAsia="仿宋_GB2312" w:cs="仿宋_GB2312"/>
          <w:color w:val="000000"/>
          <w:spacing w:val="0"/>
          <w:w w:val="100"/>
          <w:position w:val="0"/>
          <w:lang w:val="en-US" w:eastAsia="zh-CN"/>
        </w:rPr>
        <w:t>本公司</w:t>
      </w:r>
      <w:r>
        <w:rPr>
          <w:rFonts w:hint="eastAsia" w:ascii="仿宋_GB2312" w:hAnsi="仿宋_GB2312" w:eastAsia="仿宋_GB2312" w:cs="仿宋_GB2312"/>
          <w:color w:val="000000"/>
          <w:spacing w:val="0"/>
          <w:w w:val="100"/>
          <w:position w:val="0"/>
        </w:rPr>
        <w:t>储罐类储存设施</w:t>
      </w:r>
      <w:r>
        <w:rPr>
          <w:rFonts w:hint="eastAsia" w:ascii="仿宋_GB2312" w:hAnsi="仿宋_GB2312" w:eastAsia="仿宋_GB2312" w:cs="仿宋_GB2312"/>
          <w:color w:val="000000"/>
          <w:spacing w:val="0"/>
          <w:w w:val="100"/>
          <w:position w:val="0"/>
          <w:lang w:val="en-US" w:eastAsia="zh-CN"/>
        </w:rPr>
        <w:t>为</w:t>
      </w:r>
      <w:r>
        <w:rPr>
          <w:rFonts w:hint="eastAsia" w:ascii="仿宋_GB2312" w:hAnsi="仿宋_GB2312" w:eastAsia="仿宋_GB2312" w:cs="仿宋_GB2312"/>
          <w:color w:val="000000"/>
          <w:spacing w:val="0"/>
          <w:w w:val="100"/>
          <w:position w:val="0"/>
        </w:rPr>
        <w:t>接地储罐。</w:t>
      </w:r>
    </w:p>
    <w:tbl>
      <w:tblPr>
        <w:tblStyle w:val="9"/>
        <w:tblW w:w="0" w:type="auto"/>
        <w:jc w:val="center"/>
        <w:tblLayout w:type="fixed"/>
        <w:tblCellMar>
          <w:top w:w="0" w:type="dxa"/>
          <w:left w:w="10" w:type="dxa"/>
          <w:bottom w:w="0" w:type="dxa"/>
          <w:right w:w="10" w:type="dxa"/>
        </w:tblCellMar>
      </w:tblPr>
      <w:tblGrid>
        <w:gridCol w:w="1147"/>
        <w:gridCol w:w="2050"/>
        <w:gridCol w:w="1282"/>
        <w:gridCol w:w="984"/>
        <w:gridCol w:w="1190"/>
        <w:gridCol w:w="1090"/>
        <w:gridCol w:w="1147"/>
      </w:tblGrid>
      <w:tr w14:paraId="75D40A2F">
        <w:tblPrEx>
          <w:tblCellMar>
            <w:top w:w="0" w:type="dxa"/>
            <w:left w:w="10" w:type="dxa"/>
            <w:bottom w:w="0" w:type="dxa"/>
            <w:right w:w="10" w:type="dxa"/>
          </w:tblCellMar>
        </w:tblPrEx>
        <w:trPr>
          <w:trHeight w:val="485" w:hRule="exact"/>
          <w:jc w:val="center"/>
        </w:trPr>
        <w:tc>
          <w:tcPr>
            <w:gridSpan w:val="6"/>
            <w:tcBorders>
              <w:top w:val="single" w:color="auto" w:sz="4" w:space="0"/>
              <w:left w:val="single" w:color="auto" w:sz="4" w:space="0"/>
            </w:tcBorders>
            <w:shd w:val="clear" w:color="auto" w:fill="FFFFFF"/>
            <w:vAlign w:val="center"/>
          </w:tcPr>
          <w:p w14:paraId="28464088">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接地储罐的施工设计及日常运行管理标准</w:t>
            </w:r>
          </w:p>
        </w:tc>
        <w:tc>
          <w:tcPr>
            <w:vMerge w:val="restart"/>
            <w:tcBorders>
              <w:top w:val="single" w:color="auto" w:sz="4" w:space="0"/>
              <w:left w:val="single" w:color="auto" w:sz="4" w:space="0"/>
              <w:right w:val="single" w:color="auto" w:sz="4" w:space="0"/>
            </w:tcBorders>
            <w:shd w:val="clear" w:color="auto" w:fill="FFFFFF"/>
            <w:vAlign w:val="center"/>
          </w:tcPr>
          <w:p w14:paraId="314A5E0E">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排查场地有无该项设施</w:t>
            </w:r>
          </w:p>
        </w:tc>
      </w:tr>
      <w:tr w14:paraId="0790B32F">
        <w:tblPrEx>
          <w:tblCellMar>
            <w:top w:w="0" w:type="dxa"/>
            <w:left w:w="10" w:type="dxa"/>
            <w:bottom w:w="0" w:type="dxa"/>
            <w:right w:w="10" w:type="dxa"/>
          </w:tblCellMar>
        </w:tblPrEx>
        <w:trPr>
          <w:trHeight w:val="616" w:hRule="exact"/>
          <w:jc w:val="center"/>
        </w:trPr>
        <w:tc>
          <w:tcPr>
            <w:tcBorders>
              <w:top w:val="single" w:color="auto" w:sz="4" w:space="0"/>
              <w:left w:val="single" w:color="auto" w:sz="4" w:space="0"/>
            </w:tcBorders>
            <w:shd w:val="clear" w:color="auto" w:fill="FFFFFF"/>
            <w:vAlign w:val="center"/>
          </w:tcPr>
          <w:p w14:paraId="7FB84C89">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施工/设计</w:t>
            </w:r>
          </w:p>
        </w:tc>
        <w:tc>
          <w:tcPr>
            <w:tcBorders>
              <w:top w:val="single" w:color="auto" w:sz="4" w:space="0"/>
              <w:left w:val="single" w:color="auto" w:sz="4" w:space="0"/>
            </w:tcBorders>
            <w:shd w:val="clear" w:color="auto" w:fill="FFFFFF"/>
            <w:vAlign w:val="center"/>
          </w:tcPr>
          <w:p w14:paraId="08A1A1E8">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重点</w:t>
            </w:r>
          </w:p>
        </w:tc>
        <w:tc>
          <w:tcPr>
            <w:tcBorders>
              <w:top w:val="single" w:color="auto" w:sz="4" w:space="0"/>
              <w:left w:val="single" w:color="auto" w:sz="4" w:space="0"/>
            </w:tcBorders>
            <w:shd w:val="clear" w:color="auto" w:fill="FFFFFF"/>
            <w:vAlign w:val="center"/>
          </w:tcPr>
          <w:p w14:paraId="4DFF0601">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特殊运行维护</w:t>
            </w:r>
          </w:p>
        </w:tc>
        <w:tc>
          <w:tcPr>
            <w:tcBorders>
              <w:top w:val="single" w:color="auto" w:sz="4" w:space="0"/>
              <w:left w:val="single" w:color="auto" w:sz="4" w:space="0"/>
            </w:tcBorders>
            <w:shd w:val="clear" w:color="auto" w:fill="FFFFFF"/>
            <w:vAlign w:val="center"/>
          </w:tcPr>
          <w:p w14:paraId="3B4211A2">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检测</w:t>
            </w:r>
          </w:p>
        </w:tc>
        <w:tc>
          <w:tcPr>
            <w:tcBorders>
              <w:top w:val="single" w:color="auto" w:sz="4" w:space="0"/>
              <w:left w:val="single" w:color="auto" w:sz="4" w:space="0"/>
            </w:tcBorders>
            <w:shd w:val="clear" w:color="auto" w:fill="FFFFFF"/>
            <w:vAlign w:val="center"/>
          </w:tcPr>
          <w:p w14:paraId="1F8D7DE7">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事故管理</w:t>
            </w:r>
          </w:p>
        </w:tc>
        <w:tc>
          <w:tcPr>
            <w:tcBorders>
              <w:top w:val="single" w:color="auto" w:sz="4" w:space="0"/>
              <w:left w:val="single" w:color="auto" w:sz="4" w:space="0"/>
            </w:tcBorders>
            <w:shd w:val="clear" w:color="auto" w:fill="FFFFFF"/>
            <w:vAlign w:val="center"/>
          </w:tcPr>
          <w:p w14:paraId="55509549">
            <w:pPr>
              <w:keepNext w:val="0"/>
              <w:keepLines w:val="0"/>
              <w:widowControl w:val="0"/>
              <w:shd w:val="clear" w:color="auto" w:fill="auto"/>
              <w:bidi w:val="0"/>
              <w:spacing w:before="0" w:after="0" w:line="245"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土壤污染可能性</w:t>
            </w:r>
          </w:p>
        </w:tc>
        <w:tc>
          <w:tcPr>
            <w:vMerge w:val="continue"/>
            <w:tcBorders>
              <w:left w:val="single" w:color="auto" w:sz="4" w:space="0"/>
              <w:right w:val="single" w:color="auto" w:sz="4" w:space="0"/>
            </w:tcBorders>
            <w:shd w:val="clear" w:color="auto" w:fill="FFFFFF"/>
            <w:vAlign w:val="center"/>
          </w:tcPr>
          <w:p w14:paraId="11BF8DEF">
            <w:pPr>
              <w:shd w:val="clear" w:color="auto" w:fill="auto"/>
              <w:jc w:val="center"/>
              <w:rPr>
                <w:rFonts w:hint="eastAsia" w:ascii="仿宋_GB2312" w:hAnsi="仿宋_GB2312" w:eastAsia="仿宋_GB2312" w:cs="仿宋_GB2312"/>
                <w:b w:val="0"/>
                <w:bCs w:val="0"/>
                <w:sz w:val="21"/>
                <w:szCs w:val="21"/>
              </w:rPr>
            </w:pPr>
          </w:p>
        </w:tc>
      </w:tr>
      <w:tr w14:paraId="16080402">
        <w:tblPrEx>
          <w:tblCellMar>
            <w:top w:w="0" w:type="dxa"/>
            <w:left w:w="10" w:type="dxa"/>
            <w:bottom w:w="0" w:type="dxa"/>
            <w:right w:w="10" w:type="dxa"/>
          </w:tblCellMar>
        </w:tblPrEx>
        <w:trPr>
          <w:trHeight w:val="718" w:hRule="exact"/>
          <w:jc w:val="center"/>
        </w:trPr>
        <w:tc>
          <w:tcPr>
            <w:tcBorders>
              <w:top w:val="single" w:color="auto" w:sz="4" w:space="0"/>
              <w:left w:val="single" w:color="auto" w:sz="4" w:space="0"/>
            </w:tcBorders>
            <w:shd w:val="clear" w:color="auto" w:fill="FFFFFF"/>
            <w:vAlign w:val="center"/>
          </w:tcPr>
          <w:p w14:paraId="2712406A">
            <w:pPr>
              <w:keepNext w:val="0"/>
              <w:keepLines w:val="0"/>
              <w:widowControl w:val="0"/>
              <w:shd w:val="clear" w:color="auto" w:fill="auto"/>
              <w:bidi w:val="0"/>
              <w:spacing w:before="0" w:after="0" w:line="235"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无渗漏措施的单层罐</w:t>
            </w:r>
          </w:p>
        </w:tc>
        <w:tc>
          <w:tcPr>
            <w:tcBorders>
              <w:top w:val="single" w:color="auto" w:sz="4" w:space="0"/>
              <w:left w:val="single" w:color="auto" w:sz="4" w:space="0"/>
            </w:tcBorders>
            <w:shd w:val="clear" w:color="auto" w:fill="FFFFFF"/>
            <w:vAlign w:val="center"/>
          </w:tcPr>
          <w:p w14:paraId="7CAB962B">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进料口、出料口、法兰、排尽口、基槽等</w:t>
            </w:r>
          </w:p>
        </w:tc>
        <w:tc>
          <w:tcPr>
            <w:tcBorders>
              <w:top w:val="single" w:color="auto" w:sz="4" w:space="0"/>
              <w:left w:val="single" w:color="auto" w:sz="4" w:space="0"/>
            </w:tcBorders>
            <w:shd w:val="clear" w:color="auto" w:fill="FFFFFF"/>
            <w:vAlign w:val="center"/>
          </w:tcPr>
          <w:p w14:paraId="6AF225DB">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w:t>
            </w:r>
          </w:p>
        </w:tc>
        <w:tc>
          <w:tcPr>
            <w:tcBorders>
              <w:top w:val="single" w:color="auto" w:sz="4" w:space="0"/>
              <w:left w:val="single" w:color="auto" w:sz="4" w:space="0"/>
            </w:tcBorders>
            <w:shd w:val="clear" w:color="auto" w:fill="FFFFFF"/>
            <w:vAlign w:val="center"/>
          </w:tcPr>
          <w:p w14:paraId="5B8FC573">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w:t>
            </w:r>
          </w:p>
        </w:tc>
        <w:tc>
          <w:tcPr>
            <w:tcBorders>
              <w:top w:val="single" w:color="auto" w:sz="4" w:space="0"/>
              <w:left w:val="single" w:color="auto" w:sz="4" w:space="0"/>
            </w:tcBorders>
            <w:shd w:val="clear" w:color="auto" w:fill="FFFFFF"/>
            <w:vAlign w:val="center"/>
          </w:tcPr>
          <w:p w14:paraId="38A31A14">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tcBorders>
              <w:top w:val="single" w:color="auto" w:sz="4" w:space="0"/>
              <w:left w:val="single" w:color="auto" w:sz="4" w:space="0"/>
            </w:tcBorders>
            <w:shd w:val="clear" w:color="auto" w:fill="FFFFFF"/>
            <w:vAlign w:val="center"/>
          </w:tcPr>
          <w:p w14:paraId="592E7B32">
            <w:pPr>
              <w:keepNext w:val="0"/>
              <w:keepLines w:val="0"/>
              <w:widowControl w:val="0"/>
              <w:shd w:val="clear" w:color="auto" w:fill="auto"/>
              <w:bidi w:val="0"/>
              <w:spacing w:before="0" w:after="0" w:line="226"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极易产生污染</w:t>
            </w:r>
          </w:p>
        </w:tc>
        <w:tc>
          <w:tcPr>
            <w:tcBorders>
              <w:top w:val="single" w:color="auto" w:sz="4" w:space="0"/>
              <w:left w:val="single" w:color="auto" w:sz="4" w:space="0"/>
              <w:right w:val="single" w:color="auto" w:sz="4" w:space="0"/>
            </w:tcBorders>
            <w:shd w:val="clear" w:color="auto" w:fill="FFFFFF"/>
            <w:vAlign w:val="center"/>
          </w:tcPr>
          <w:p w14:paraId="47711029">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w:t>
            </w:r>
          </w:p>
        </w:tc>
      </w:tr>
      <w:tr w14:paraId="68492482">
        <w:tblPrEx>
          <w:tblCellMar>
            <w:top w:w="0" w:type="dxa"/>
            <w:left w:w="10" w:type="dxa"/>
            <w:bottom w:w="0" w:type="dxa"/>
            <w:right w:w="10" w:type="dxa"/>
          </w:tblCellMar>
        </w:tblPrEx>
        <w:trPr>
          <w:trHeight w:val="787" w:hRule="exact"/>
          <w:jc w:val="center"/>
        </w:trPr>
        <w:tc>
          <w:tcPr>
            <w:tcBorders>
              <w:top w:val="single" w:color="auto" w:sz="4" w:space="0"/>
              <w:left w:val="single" w:color="auto" w:sz="4" w:space="0"/>
            </w:tcBorders>
            <w:shd w:val="clear" w:color="auto" w:fill="FFFFFF"/>
            <w:vAlign w:val="center"/>
          </w:tcPr>
          <w:p w14:paraId="429F3165">
            <w:pPr>
              <w:keepNext w:val="0"/>
              <w:keepLines w:val="0"/>
              <w:widowControl w:val="0"/>
              <w:shd w:val="clear" w:color="auto" w:fill="auto"/>
              <w:bidi w:val="0"/>
              <w:spacing w:before="0" w:after="0" w:line="250"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无渗漏措施的双层罐</w:t>
            </w:r>
          </w:p>
        </w:tc>
        <w:tc>
          <w:tcPr>
            <w:tcBorders>
              <w:top w:val="single" w:color="auto" w:sz="4" w:space="0"/>
              <w:left w:val="single" w:color="auto" w:sz="4" w:space="0"/>
            </w:tcBorders>
            <w:shd w:val="clear" w:color="auto" w:fill="FFFFFF"/>
            <w:vAlign w:val="center"/>
          </w:tcPr>
          <w:p w14:paraId="6F8DB520">
            <w:pPr>
              <w:keepNext w:val="0"/>
              <w:keepLines w:val="0"/>
              <w:widowControl w:val="0"/>
              <w:shd w:val="clear" w:color="auto" w:fill="auto"/>
              <w:bidi w:val="0"/>
              <w:spacing w:before="0" w:after="0" w:line="247"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等料口、出料口、法兰、排尽口、基槽、围堰等。</w:t>
            </w:r>
          </w:p>
        </w:tc>
        <w:tc>
          <w:tcPr>
            <w:tcBorders>
              <w:top w:val="single" w:color="auto" w:sz="4" w:space="0"/>
              <w:left w:val="single" w:color="auto" w:sz="4" w:space="0"/>
            </w:tcBorders>
            <w:shd w:val="clear" w:color="auto" w:fill="FFFFFF"/>
            <w:vAlign w:val="center"/>
          </w:tcPr>
          <w:p w14:paraId="1AD21DB2">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tcBorders>
              <w:top w:val="single" w:color="auto" w:sz="4" w:space="0"/>
              <w:left w:val="single" w:color="auto" w:sz="4" w:space="0"/>
            </w:tcBorders>
            <w:shd w:val="clear" w:color="auto" w:fill="FFFFFF"/>
            <w:vAlign w:val="center"/>
          </w:tcPr>
          <w:p w14:paraId="4E340FC0">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w:t>
            </w:r>
          </w:p>
        </w:tc>
        <w:tc>
          <w:tcPr>
            <w:tcBorders>
              <w:top w:val="single" w:color="auto" w:sz="4" w:space="0"/>
              <w:left w:val="single" w:color="auto" w:sz="4" w:space="0"/>
            </w:tcBorders>
            <w:shd w:val="clear" w:color="auto" w:fill="FFFFFF"/>
            <w:vAlign w:val="center"/>
          </w:tcPr>
          <w:p w14:paraId="76DE66B4">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tcBorders>
              <w:top w:val="single" w:color="auto" w:sz="4" w:space="0"/>
              <w:left w:val="single" w:color="auto" w:sz="4" w:space="0"/>
            </w:tcBorders>
            <w:shd w:val="clear" w:color="auto" w:fill="FFFFFF"/>
            <w:vAlign w:val="center"/>
          </w:tcPr>
          <w:p w14:paraId="23C6D58D">
            <w:pPr>
              <w:keepNext w:val="0"/>
              <w:keepLines w:val="0"/>
              <w:widowControl w:val="0"/>
              <w:shd w:val="clear" w:color="auto" w:fill="auto"/>
              <w:bidi w:val="0"/>
              <w:spacing w:before="0" w:after="0" w:line="259"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易产生污染</w:t>
            </w:r>
          </w:p>
        </w:tc>
        <w:tc>
          <w:tcPr>
            <w:tcBorders>
              <w:top w:val="single" w:color="auto" w:sz="4" w:space="0"/>
              <w:left w:val="single" w:color="auto" w:sz="4" w:space="0"/>
              <w:right w:val="single" w:color="auto" w:sz="4" w:space="0"/>
            </w:tcBorders>
            <w:shd w:val="clear" w:color="auto" w:fill="FFFFFF"/>
            <w:vAlign w:val="center"/>
          </w:tcPr>
          <w:p w14:paraId="35D1FA42">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w:t>
            </w:r>
          </w:p>
        </w:tc>
      </w:tr>
      <w:tr w14:paraId="410AC4B5">
        <w:tblPrEx>
          <w:tblCellMar>
            <w:top w:w="0" w:type="dxa"/>
            <w:left w:w="10" w:type="dxa"/>
            <w:bottom w:w="0" w:type="dxa"/>
            <w:right w:w="10" w:type="dxa"/>
          </w:tblCellMar>
        </w:tblPrEx>
        <w:trPr>
          <w:trHeight w:val="864" w:hRule="exact"/>
          <w:jc w:val="center"/>
        </w:trPr>
        <w:tc>
          <w:tcPr>
            <w:tcBorders>
              <w:top w:val="single" w:color="auto" w:sz="4" w:space="0"/>
              <w:left w:val="single" w:color="auto" w:sz="4" w:space="0"/>
            </w:tcBorders>
            <w:shd w:val="clear" w:color="auto" w:fill="FFFFFF"/>
            <w:vAlign w:val="center"/>
          </w:tcPr>
          <w:p w14:paraId="4D81F8AC">
            <w:pPr>
              <w:keepNext w:val="0"/>
              <w:keepLines w:val="0"/>
              <w:widowControl w:val="0"/>
              <w:shd w:val="clear" w:color="auto" w:fill="auto"/>
              <w:bidi w:val="0"/>
              <w:spacing w:before="0" w:after="0" w:line="254"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有渗漏措施的储罐</w:t>
            </w:r>
          </w:p>
        </w:tc>
        <w:tc>
          <w:tcPr>
            <w:tcBorders>
              <w:top w:val="single" w:color="auto" w:sz="4" w:space="0"/>
              <w:left w:val="single" w:color="auto" w:sz="4" w:space="0"/>
            </w:tcBorders>
            <w:shd w:val="clear" w:color="auto" w:fill="FFFFFF"/>
            <w:vAlign w:val="center"/>
          </w:tcPr>
          <w:p w14:paraId="768AA821">
            <w:pPr>
              <w:keepNext w:val="0"/>
              <w:keepLines w:val="0"/>
              <w:widowControl w:val="0"/>
              <w:shd w:val="clear" w:color="auto" w:fill="auto"/>
              <w:bidi w:val="0"/>
              <w:spacing w:before="0" w:after="0" w:line="247"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料口、出料口、法兰、排尽口、基槽、围堰等。</w:t>
            </w:r>
          </w:p>
        </w:tc>
        <w:tc>
          <w:tcPr>
            <w:tcBorders>
              <w:top w:val="single" w:color="auto" w:sz="4" w:space="0"/>
              <w:left w:val="single" w:color="auto" w:sz="4" w:space="0"/>
            </w:tcBorders>
            <w:shd w:val="clear" w:color="auto" w:fill="FFFFFF"/>
            <w:vAlign w:val="center"/>
          </w:tcPr>
          <w:p w14:paraId="2B479AB1">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w:t>
            </w:r>
          </w:p>
        </w:tc>
        <w:tc>
          <w:tcPr>
            <w:tcBorders>
              <w:top w:val="single" w:color="auto" w:sz="4" w:space="0"/>
              <w:left w:val="single" w:color="auto" w:sz="4" w:space="0"/>
            </w:tcBorders>
            <w:shd w:val="clear" w:color="auto" w:fill="FFFFFF"/>
            <w:vAlign w:val="center"/>
          </w:tcPr>
          <w:p w14:paraId="317DA98F">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w:t>
            </w:r>
          </w:p>
        </w:tc>
        <w:tc>
          <w:tcPr>
            <w:tcBorders>
              <w:top w:val="single" w:color="auto" w:sz="4" w:space="0"/>
              <w:left w:val="single" w:color="auto" w:sz="4" w:space="0"/>
            </w:tcBorders>
            <w:shd w:val="clear" w:color="auto" w:fill="FFFFFF"/>
            <w:vAlign w:val="center"/>
          </w:tcPr>
          <w:p w14:paraId="6470F212">
            <w:pPr>
              <w:keepNext w:val="0"/>
              <w:keepLines w:val="0"/>
              <w:widowControl w:val="0"/>
              <w:shd w:val="clear" w:color="auto" w:fill="auto"/>
              <w:bidi w:val="0"/>
              <w:spacing w:before="0" w:after="0" w:line="240" w:lineRule="auto"/>
              <w:ind w:left="0" w:right="0" w:firstLine="380"/>
              <w:jc w:val="both"/>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完善</w:t>
            </w:r>
          </w:p>
        </w:tc>
        <w:tc>
          <w:tcPr>
            <w:tcBorders>
              <w:top w:val="single" w:color="auto" w:sz="4" w:space="0"/>
              <w:left w:val="single" w:color="auto" w:sz="4" w:space="0"/>
            </w:tcBorders>
            <w:shd w:val="clear" w:color="auto" w:fill="FFFFFF"/>
            <w:vAlign w:val="center"/>
          </w:tcPr>
          <w:p w14:paraId="17D3593E">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可能产生</w:t>
            </w:r>
          </w:p>
        </w:tc>
        <w:tc>
          <w:tcPr>
            <w:tcBorders>
              <w:top w:val="single" w:color="auto" w:sz="4" w:space="0"/>
              <w:left w:val="single" w:color="auto" w:sz="4" w:space="0"/>
              <w:right w:val="single" w:color="auto" w:sz="4" w:space="0"/>
            </w:tcBorders>
            <w:shd w:val="clear" w:color="auto" w:fill="FFFFFF"/>
            <w:vAlign w:val="center"/>
          </w:tcPr>
          <w:p w14:paraId="549C2C42">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w:t>
            </w:r>
          </w:p>
        </w:tc>
      </w:tr>
      <w:tr w14:paraId="5D6FB787">
        <w:tblPrEx>
          <w:tblCellMar>
            <w:top w:w="0" w:type="dxa"/>
            <w:left w:w="10" w:type="dxa"/>
            <w:bottom w:w="0" w:type="dxa"/>
            <w:right w:w="10" w:type="dxa"/>
          </w:tblCellMar>
        </w:tblPrEx>
        <w:trPr>
          <w:trHeight w:val="821" w:hRule="exact"/>
          <w:jc w:val="center"/>
        </w:trPr>
        <w:tc>
          <w:tcPr>
            <w:tcBorders>
              <w:top w:val="single" w:color="auto" w:sz="4" w:space="0"/>
              <w:left w:val="single" w:color="auto" w:sz="4" w:space="0"/>
            </w:tcBorders>
            <w:shd w:val="clear" w:color="auto" w:fill="FFFFFF"/>
            <w:vAlign w:val="center"/>
          </w:tcPr>
          <w:p w14:paraId="014EC498">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有防渗和检漏的储罐</w:t>
            </w:r>
          </w:p>
        </w:tc>
        <w:tc>
          <w:tcPr>
            <w:tcBorders>
              <w:top w:val="single" w:color="auto" w:sz="4" w:space="0"/>
              <w:left w:val="single" w:color="auto" w:sz="4" w:space="0"/>
            </w:tcBorders>
            <w:shd w:val="clear" w:color="auto" w:fill="FFFFFF"/>
            <w:vAlign w:val="center"/>
          </w:tcPr>
          <w:p w14:paraId="6AC60438">
            <w:pPr>
              <w:keepNext w:val="0"/>
              <w:keepLines w:val="0"/>
              <w:widowControl w:val="0"/>
              <w:shd w:val="clear" w:color="auto" w:fill="auto"/>
              <w:bidi w:val="0"/>
              <w:spacing w:before="0" w:after="0" w:line="247"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料口、出料口、法兰、排尽口、基槽、围堰等。</w:t>
            </w:r>
          </w:p>
        </w:tc>
        <w:tc>
          <w:tcPr>
            <w:tcBorders>
              <w:top w:val="single" w:color="auto" w:sz="4" w:space="0"/>
              <w:left w:val="single" w:color="auto" w:sz="4" w:space="0"/>
            </w:tcBorders>
            <w:shd w:val="clear" w:color="auto" w:fill="FFFFFF"/>
            <w:vAlign w:val="center"/>
          </w:tcPr>
          <w:p w14:paraId="10EF0420">
            <w:pPr>
              <w:keepNext w:val="0"/>
              <w:keepLines w:val="0"/>
              <w:widowControl w:val="0"/>
              <w:shd w:val="clear" w:color="auto" w:fill="auto"/>
              <w:bidi w:val="0"/>
              <w:spacing w:before="0" w:after="0" w:line="235"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专门的储存管理</w:t>
            </w:r>
          </w:p>
        </w:tc>
        <w:tc>
          <w:tcPr>
            <w:tcBorders>
              <w:top w:val="single" w:color="auto" w:sz="4" w:space="0"/>
              <w:left w:val="single" w:color="auto" w:sz="4" w:space="0"/>
            </w:tcBorders>
            <w:shd w:val="clear" w:color="auto" w:fill="FFFFFF"/>
            <w:vAlign w:val="center"/>
          </w:tcPr>
          <w:p w14:paraId="70AD4181">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定期检测</w:t>
            </w:r>
          </w:p>
        </w:tc>
        <w:tc>
          <w:tcPr>
            <w:tcBorders>
              <w:top w:val="single" w:color="auto" w:sz="4" w:space="0"/>
              <w:left w:val="single" w:color="auto" w:sz="4" w:space="0"/>
            </w:tcBorders>
            <w:shd w:val="clear" w:color="auto" w:fill="FFFFFF"/>
            <w:vAlign w:val="center"/>
          </w:tcPr>
          <w:p w14:paraId="5D210898">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专业人员和设施</w:t>
            </w:r>
          </w:p>
        </w:tc>
        <w:tc>
          <w:tcPr>
            <w:tcBorders>
              <w:top w:val="single" w:color="auto" w:sz="4" w:space="0"/>
              <w:left w:val="single" w:color="auto" w:sz="4" w:space="0"/>
            </w:tcBorders>
            <w:shd w:val="clear" w:color="auto" w:fill="FFFFFF"/>
            <w:vAlign w:val="center"/>
          </w:tcPr>
          <w:p w14:paraId="0AAD4AAB">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可忽略</w:t>
            </w:r>
          </w:p>
        </w:tc>
        <w:tc>
          <w:tcPr>
            <w:tcBorders>
              <w:top w:val="single" w:color="auto" w:sz="4" w:space="0"/>
              <w:left w:val="single" w:color="auto" w:sz="4" w:space="0"/>
              <w:right w:val="single" w:color="auto" w:sz="4" w:space="0"/>
            </w:tcBorders>
            <w:shd w:val="clear" w:color="auto" w:fill="FFFFFF"/>
            <w:vAlign w:val="center"/>
          </w:tcPr>
          <w:p w14:paraId="548C155A">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CN"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en-US" w:eastAsia="zh-CN" w:bidi="zh-TW"/>
              </w:rPr>
              <w:t>有</w:t>
            </w:r>
          </w:p>
        </w:tc>
      </w:tr>
      <w:tr w14:paraId="375D5023">
        <w:tblPrEx>
          <w:tblCellMar>
            <w:top w:w="0" w:type="dxa"/>
            <w:left w:w="10" w:type="dxa"/>
            <w:bottom w:w="0" w:type="dxa"/>
            <w:right w:w="10" w:type="dxa"/>
          </w:tblCellMar>
        </w:tblPrEx>
        <w:trPr>
          <w:trHeight w:val="826" w:hRule="exact"/>
          <w:jc w:val="center"/>
        </w:trPr>
        <w:tc>
          <w:tcPr>
            <w:tcBorders>
              <w:top w:val="single" w:color="auto" w:sz="4" w:space="0"/>
              <w:left w:val="single" w:color="auto" w:sz="4" w:space="0"/>
              <w:bottom w:val="single" w:color="auto" w:sz="4" w:space="0"/>
            </w:tcBorders>
            <w:shd w:val="clear" w:color="auto" w:fill="FFFFFF"/>
            <w:vAlign w:val="center"/>
          </w:tcPr>
          <w:p w14:paraId="08F5A392">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不渗漏的密闭储罐</w:t>
            </w:r>
          </w:p>
        </w:tc>
        <w:tc>
          <w:tcPr>
            <w:tcBorders>
              <w:top w:val="single" w:color="auto" w:sz="4" w:space="0"/>
              <w:left w:val="single" w:color="auto" w:sz="4" w:space="0"/>
              <w:bottom w:val="single" w:color="auto" w:sz="4" w:space="0"/>
            </w:tcBorders>
            <w:shd w:val="clear" w:color="auto" w:fill="FFFFFF"/>
            <w:vAlign w:val="center"/>
          </w:tcPr>
          <w:p w14:paraId="05F77D45">
            <w:pPr>
              <w:keepNext w:val="0"/>
              <w:keepLines w:val="0"/>
              <w:widowControl w:val="0"/>
              <w:shd w:val="clear" w:color="auto" w:fill="auto"/>
              <w:bidi w:val="0"/>
              <w:spacing w:before="0" w:after="0" w:line="247"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料口、出料口、法兰、排尽口、基槽、围堰等。</w:t>
            </w:r>
          </w:p>
        </w:tc>
        <w:tc>
          <w:tcPr>
            <w:tcBorders>
              <w:top w:val="single" w:color="auto" w:sz="4" w:space="0"/>
              <w:left w:val="single" w:color="auto" w:sz="4" w:space="0"/>
              <w:bottom w:val="single" w:color="auto" w:sz="4" w:space="0"/>
            </w:tcBorders>
            <w:shd w:val="clear" w:color="auto" w:fill="FFFFFF"/>
            <w:vAlign w:val="center"/>
          </w:tcPr>
          <w:p w14:paraId="2E4C9B71">
            <w:pPr>
              <w:keepNext w:val="0"/>
              <w:keepLines w:val="0"/>
              <w:widowControl w:val="0"/>
              <w:shd w:val="clear" w:color="auto" w:fill="auto"/>
              <w:bidi w:val="0"/>
              <w:spacing w:before="0" w:after="0" w:line="235"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专门的储存管理</w:t>
            </w:r>
          </w:p>
        </w:tc>
        <w:tc>
          <w:tcPr>
            <w:tcBorders>
              <w:top w:val="single" w:color="auto" w:sz="4" w:space="0"/>
              <w:left w:val="single" w:color="auto" w:sz="4" w:space="0"/>
              <w:bottom w:val="single" w:color="auto" w:sz="4" w:space="0"/>
            </w:tcBorders>
            <w:shd w:val="clear" w:color="auto" w:fill="FFFFFF"/>
            <w:vAlign w:val="center"/>
          </w:tcPr>
          <w:p w14:paraId="313879D5">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定期检测</w:t>
            </w:r>
          </w:p>
        </w:tc>
        <w:tc>
          <w:tcPr>
            <w:tcBorders>
              <w:top w:val="single" w:color="auto" w:sz="4" w:space="0"/>
              <w:left w:val="single" w:color="auto" w:sz="4" w:space="0"/>
              <w:bottom w:val="single" w:color="auto" w:sz="4" w:space="0"/>
            </w:tcBorders>
            <w:shd w:val="clear" w:color="auto" w:fill="FFFFFF"/>
            <w:vAlign w:val="center"/>
          </w:tcPr>
          <w:p w14:paraId="7B04330D">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专业人员和设施</w:t>
            </w:r>
          </w:p>
        </w:tc>
        <w:tc>
          <w:tcPr>
            <w:tcBorders>
              <w:top w:val="single" w:color="auto" w:sz="4" w:space="0"/>
              <w:left w:val="single" w:color="auto" w:sz="4" w:space="0"/>
              <w:bottom w:val="single" w:color="auto" w:sz="4" w:space="0"/>
            </w:tcBorders>
            <w:shd w:val="clear" w:color="auto" w:fill="FFFFFF"/>
            <w:vAlign w:val="center"/>
          </w:tcPr>
          <w:p w14:paraId="4F94E597">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可忽略</w:t>
            </w:r>
          </w:p>
        </w:tc>
        <w:tc>
          <w:tcPr>
            <w:tcBorders>
              <w:top w:val="single" w:color="auto" w:sz="4" w:space="0"/>
              <w:left w:val="single" w:color="auto" w:sz="4" w:space="0"/>
              <w:bottom w:val="single" w:color="auto" w:sz="4" w:space="0"/>
              <w:right w:val="single" w:color="auto" w:sz="4" w:space="0"/>
            </w:tcBorders>
            <w:shd w:val="clear" w:color="auto" w:fill="FFFFFF"/>
            <w:vAlign w:val="center"/>
          </w:tcPr>
          <w:p w14:paraId="295BFEC9">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w:t>
            </w:r>
          </w:p>
        </w:tc>
      </w:tr>
    </w:tbl>
    <w:p w14:paraId="234D1A40">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经现场排查，石柱</w:t>
      </w:r>
      <w:r>
        <w:rPr>
          <w:rFonts w:hint="eastAsia" w:ascii="仿宋_GB2312" w:hAnsi="仿宋_GB2312" w:eastAsia="仿宋_GB2312" w:cs="仿宋_GB2312"/>
          <w:lang w:val="en-US" w:eastAsia="zh-CN"/>
        </w:rPr>
        <w:t>县海创环保科技有限责任公司有接地</w:t>
      </w:r>
      <w:r>
        <w:rPr>
          <w:rFonts w:hint="eastAsia" w:ascii="仿宋_GB2312" w:hAnsi="仿宋_GB2312" w:eastAsia="仿宋_GB2312" w:cs="仿宋_GB2312"/>
          <w:lang w:eastAsia="zh-CN"/>
        </w:rPr>
        <w:t>储罐</w:t>
      </w:r>
      <w:r>
        <w:rPr>
          <w:rFonts w:hint="eastAsia" w:ascii="仿宋_GB2312" w:hAnsi="仿宋_GB2312" w:eastAsia="仿宋_GB2312" w:cs="仿宋_GB2312"/>
          <w:lang w:val="en-US" w:eastAsia="zh-CN"/>
        </w:rPr>
        <w:t>氨水储罐、柴油储罐、硫酸储罐等</w:t>
      </w:r>
      <w:r>
        <w:rPr>
          <w:rFonts w:hint="eastAsia" w:ascii="仿宋_GB2312" w:hAnsi="仿宋_GB2312" w:eastAsia="仿宋_GB2312" w:cs="仿宋_GB2312"/>
          <w:lang w:eastAsia="zh-CN"/>
        </w:rPr>
        <w:t>设施，</w:t>
      </w:r>
      <w:r>
        <w:rPr>
          <w:rFonts w:hint="eastAsia" w:ascii="仿宋_GB2312" w:hAnsi="仿宋_GB2312" w:eastAsia="仿宋_GB2312" w:cs="仿宋_GB2312"/>
          <w:lang w:val="en-US" w:eastAsia="zh-CN"/>
        </w:rPr>
        <w:t>均在室内，有围堰，定期检测</w:t>
      </w:r>
      <w:r>
        <w:rPr>
          <w:rFonts w:hint="eastAsia" w:ascii="仿宋_GB2312" w:hAnsi="仿宋_GB2312" w:eastAsia="仿宋_GB2312" w:cs="仿宋_GB2312"/>
          <w:lang w:eastAsia="zh-CN"/>
        </w:rPr>
        <w:t>。因此这些设施或者区域隐患等级为“可忽略”。</w:t>
      </w:r>
    </w:p>
    <w:p w14:paraId="0125B1EB">
      <w:pPr>
        <w:pStyle w:val="27"/>
        <w:keepNext w:val="0"/>
        <w:keepLines w:val="0"/>
        <w:widowControl w:val="0"/>
        <w:shd w:val="clear" w:color="auto" w:fill="auto"/>
        <w:bidi w:val="0"/>
        <w:spacing w:before="0" w:after="0" w:line="542" w:lineRule="exact"/>
        <w:ind w:left="0" w:leftChars="0" w:right="0" w:firstLine="560" w:firstLineChars="200"/>
        <w:jc w:val="both"/>
        <w:rPr>
          <w:rFonts w:hint="eastAsia" w:ascii="仿宋_GB2312" w:hAnsi="仿宋_GB2312" w:eastAsia="仿宋_GB2312" w:cs="仿宋_GB2312"/>
          <w:color w:val="000000"/>
          <w:spacing w:val="0"/>
          <w:w w:val="100"/>
          <w:position w:val="0"/>
          <w:lang w:eastAsia="zh-CN"/>
        </w:rPr>
      </w:pPr>
      <w:r>
        <w:rPr>
          <w:rFonts w:hint="eastAsia" w:ascii="仿宋_GB2312" w:hAnsi="仿宋_GB2312" w:eastAsia="仿宋_GB2312" w:cs="仿宋_GB2312"/>
          <w:color w:val="000000"/>
          <w:spacing w:val="0"/>
          <w:w w:val="100"/>
          <w:position w:val="0"/>
          <w:lang w:eastAsia="zh-CN"/>
        </w:rPr>
        <w:t>（</w:t>
      </w:r>
      <w:r>
        <w:rPr>
          <w:rFonts w:hint="eastAsia" w:ascii="仿宋_GB2312" w:hAnsi="仿宋_GB2312" w:eastAsia="仿宋_GB2312" w:cs="仿宋_GB2312"/>
          <w:color w:val="000000"/>
          <w:spacing w:val="0"/>
          <w:w w:val="100"/>
          <w:position w:val="0"/>
          <w:lang w:val="en-US" w:eastAsia="zh-CN"/>
        </w:rPr>
        <w:t>2</w:t>
      </w:r>
      <w:r>
        <w:rPr>
          <w:rFonts w:hint="eastAsia" w:ascii="仿宋_GB2312" w:hAnsi="仿宋_GB2312" w:eastAsia="仿宋_GB2312" w:cs="仿宋_GB2312"/>
          <w:color w:val="000000"/>
          <w:spacing w:val="0"/>
          <w:w w:val="100"/>
          <w:position w:val="0"/>
          <w:lang w:eastAsia="zh-CN"/>
        </w:rPr>
        <w:t>）池体类储存设施</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608"/>
        <w:gridCol w:w="941"/>
        <w:gridCol w:w="1262"/>
        <w:gridCol w:w="1262"/>
        <w:gridCol w:w="1262"/>
        <w:gridCol w:w="1262"/>
        <w:gridCol w:w="1272"/>
      </w:tblGrid>
      <w:tr w14:paraId="679AA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6" w:hRule="exact"/>
          <w:jc w:val="center"/>
        </w:trPr>
        <w:tc>
          <w:tcPr>
            <w:gridSpan w:val="6"/>
            <w:shd w:val="clear" w:color="auto" w:fill="FFFFFF"/>
            <w:vAlign w:val="center"/>
          </w:tcPr>
          <w:p w14:paraId="4C974849">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池体类储存设施的施工设计及日常运行管理标准</w:t>
            </w:r>
          </w:p>
        </w:tc>
        <w:tc>
          <w:tcPr>
            <w:vMerge w:val="restart"/>
            <w:shd w:val="clear" w:color="auto" w:fill="FFFFFF"/>
            <w:vAlign w:val="center"/>
          </w:tcPr>
          <w:p w14:paraId="70EEC354">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排查场地有无该项设施</w:t>
            </w:r>
          </w:p>
        </w:tc>
      </w:tr>
      <w:tr w14:paraId="4C418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83" w:hRule="exact"/>
          <w:jc w:val="center"/>
        </w:trPr>
        <w:tc>
          <w:tcPr>
            <w:shd w:val="clear" w:color="auto" w:fill="FFFFFF"/>
            <w:vAlign w:val="center"/>
          </w:tcPr>
          <w:p w14:paraId="0E915D35">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施工/设计</w:t>
            </w:r>
          </w:p>
        </w:tc>
        <w:tc>
          <w:tcPr>
            <w:shd w:val="clear" w:color="auto" w:fill="FFFFFF"/>
            <w:vAlign w:val="center"/>
          </w:tcPr>
          <w:p w14:paraId="1F6FA6E3">
            <w:pPr>
              <w:keepNext w:val="0"/>
              <w:keepLines w:val="0"/>
              <w:widowControl w:val="0"/>
              <w:shd w:val="clear" w:color="auto" w:fill="auto"/>
              <w:bidi w:val="0"/>
              <w:spacing w:before="0" w:after="0" w:line="240" w:lineRule="auto"/>
              <w:ind w:left="0" w:right="0" w:firstLine="240"/>
              <w:jc w:val="both"/>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重点</w:t>
            </w:r>
          </w:p>
        </w:tc>
        <w:tc>
          <w:tcPr>
            <w:shd w:val="clear" w:color="auto" w:fill="FFFFFF"/>
            <w:vAlign w:val="center"/>
          </w:tcPr>
          <w:p w14:paraId="100082B1">
            <w:pPr>
              <w:keepNext w:val="0"/>
              <w:keepLines w:val="0"/>
              <w:widowControl w:val="0"/>
              <w:shd w:val="clear" w:color="auto" w:fill="auto"/>
              <w:bidi w:val="0"/>
              <w:spacing w:before="0" w:after="0" w:line="245"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特殊运行维护</w:t>
            </w:r>
          </w:p>
        </w:tc>
        <w:tc>
          <w:tcPr>
            <w:shd w:val="clear" w:color="auto" w:fill="FFFFFF"/>
            <w:vAlign w:val="center"/>
          </w:tcPr>
          <w:p w14:paraId="11E8BE41">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检测</w:t>
            </w:r>
          </w:p>
        </w:tc>
        <w:tc>
          <w:tcPr>
            <w:shd w:val="clear" w:color="auto" w:fill="FFFFFF"/>
            <w:vAlign w:val="center"/>
          </w:tcPr>
          <w:p w14:paraId="0DA6E869">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事故管理</w:t>
            </w:r>
          </w:p>
        </w:tc>
        <w:tc>
          <w:tcPr>
            <w:shd w:val="clear" w:color="auto" w:fill="FFFFFF"/>
            <w:vAlign w:val="center"/>
          </w:tcPr>
          <w:p w14:paraId="2AE2044A">
            <w:pPr>
              <w:keepNext w:val="0"/>
              <w:keepLines w:val="0"/>
              <w:widowControl w:val="0"/>
              <w:shd w:val="clear" w:color="auto" w:fill="auto"/>
              <w:bidi w:val="0"/>
              <w:spacing w:before="0" w:after="0" w:line="245"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土壤污染可能性</w:t>
            </w:r>
          </w:p>
        </w:tc>
        <w:tc>
          <w:tcPr>
            <w:vMerge w:val="continue"/>
            <w:shd w:val="clear" w:color="auto" w:fill="FFFFFF"/>
            <w:vAlign w:val="center"/>
          </w:tcPr>
          <w:p w14:paraId="39A79BCF">
            <w:pPr>
              <w:shd w:val="clear" w:color="auto" w:fill="auto"/>
              <w:jc w:val="center"/>
              <w:rPr>
                <w:rFonts w:hint="eastAsia" w:ascii="仿宋_GB2312" w:hAnsi="仿宋_GB2312" w:eastAsia="仿宋_GB2312" w:cs="仿宋_GB2312"/>
                <w:b w:val="0"/>
                <w:bCs w:val="0"/>
                <w:sz w:val="21"/>
                <w:szCs w:val="21"/>
              </w:rPr>
            </w:pPr>
          </w:p>
        </w:tc>
      </w:tr>
      <w:tr w14:paraId="2F152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9" w:hRule="exact"/>
          <w:jc w:val="center"/>
        </w:trPr>
        <w:tc>
          <w:tcPr>
            <w:shd w:val="clear" w:color="auto" w:fill="FFFFFF"/>
            <w:vAlign w:val="center"/>
          </w:tcPr>
          <w:p w14:paraId="1F24C6FC">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无防渗设施的池体类储存设施</w:t>
            </w:r>
          </w:p>
        </w:tc>
        <w:tc>
          <w:tcPr>
            <w:shd w:val="clear" w:color="auto" w:fill="FFFFFF"/>
            <w:vAlign w:val="center"/>
          </w:tcPr>
          <w:p w14:paraId="798FCA04">
            <w:pPr>
              <w:keepNext w:val="0"/>
              <w:keepLines w:val="0"/>
              <w:widowControl w:val="0"/>
              <w:shd w:val="clear" w:color="auto" w:fill="auto"/>
              <w:bidi w:val="0"/>
              <w:spacing w:before="0" w:after="0" w:line="240" w:lineRule="auto"/>
              <w:ind w:left="0" w:right="0" w:firstLine="240"/>
              <w:jc w:val="both"/>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废水</w:t>
            </w:r>
          </w:p>
        </w:tc>
        <w:tc>
          <w:tcPr>
            <w:shd w:val="clear" w:color="auto" w:fill="FFFFFF"/>
            <w:vAlign w:val="center"/>
          </w:tcPr>
          <w:p w14:paraId="3954A247">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无或简单</w:t>
            </w:r>
          </w:p>
        </w:tc>
        <w:tc>
          <w:tcPr>
            <w:shd w:val="clear" w:color="auto" w:fill="FFFFFF"/>
            <w:vAlign w:val="center"/>
          </w:tcPr>
          <w:p w14:paraId="2A3DCD3A">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w:t>
            </w:r>
          </w:p>
        </w:tc>
        <w:tc>
          <w:tcPr>
            <w:shd w:val="clear" w:color="auto" w:fill="FFFFFF"/>
            <w:vAlign w:val="center"/>
          </w:tcPr>
          <w:p w14:paraId="455AC4A9">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w:t>
            </w:r>
          </w:p>
        </w:tc>
        <w:tc>
          <w:tcPr>
            <w:shd w:val="clear" w:color="auto" w:fill="FFFFFF"/>
            <w:vAlign w:val="center"/>
          </w:tcPr>
          <w:p w14:paraId="0D8F5168">
            <w:pPr>
              <w:keepNext w:val="0"/>
              <w:keepLines w:val="0"/>
              <w:widowControl w:val="0"/>
              <w:shd w:val="clear" w:color="auto" w:fill="auto"/>
              <w:bidi w:val="0"/>
              <w:spacing w:before="0" w:after="0" w:line="245"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极易产生污染</w:t>
            </w:r>
          </w:p>
        </w:tc>
        <w:tc>
          <w:tcPr>
            <w:shd w:val="clear" w:color="auto" w:fill="FFFFFF"/>
            <w:vAlign w:val="center"/>
          </w:tcPr>
          <w:p w14:paraId="3D620271">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w:t>
            </w:r>
          </w:p>
        </w:tc>
      </w:tr>
      <w:tr w14:paraId="7CDAD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01" w:hRule="exact"/>
          <w:jc w:val="center"/>
        </w:trPr>
        <w:tc>
          <w:tcPr>
            <w:shd w:val="clear" w:color="auto" w:fill="FFFFFF"/>
            <w:vAlign w:val="center"/>
          </w:tcPr>
          <w:p w14:paraId="6C816AD6">
            <w:pPr>
              <w:keepNext w:val="0"/>
              <w:keepLines w:val="0"/>
              <w:widowControl w:val="0"/>
              <w:shd w:val="clear" w:color="auto" w:fill="auto"/>
              <w:bidi w:val="0"/>
              <w:spacing w:before="0" w:after="0" w:line="245"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有简单防渗设施池体类储存设施</w:t>
            </w:r>
          </w:p>
        </w:tc>
        <w:tc>
          <w:tcPr>
            <w:shd w:val="clear" w:color="auto" w:fill="FFFFFF"/>
            <w:vAlign w:val="center"/>
          </w:tcPr>
          <w:p w14:paraId="6779C1F6">
            <w:pPr>
              <w:keepNext w:val="0"/>
              <w:keepLines w:val="0"/>
              <w:widowControl w:val="0"/>
              <w:shd w:val="clear" w:color="auto" w:fill="auto"/>
              <w:bidi w:val="0"/>
              <w:spacing w:before="0" w:after="0" w:line="240" w:lineRule="auto"/>
              <w:ind w:left="0" w:right="0" w:firstLine="240"/>
              <w:jc w:val="both"/>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废水</w:t>
            </w:r>
          </w:p>
        </w:tc>
        <w:tc>
          <w:tcPr>
            <w:shd w:val="clear" w:color="auto" w:fill="FFFFFF"/>
            <w:vAlign w:val="center"/>
          </w:tcPr>
          <w:p w14:paraId="53773BA9">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无或简单</w:t>
            </w:r>
          </w:p>
        </w:tc>
        <w:tc>
          <w:tcPr>
            <w:shd w:val="clear" w:color="auto" w:fill="FFFFFF"/>
            <w:vAlign w:val="center"/>
          </w:tcPr>
          <w:p w14:paraId="7E44BCC5">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定期检测</w:t>
            </w:r>
          </w:p>
        </w:tc>
        <w:tc>
          <w:tcPr>
            <w:shd w:val="clear" w:color="auto" w:fill="FFFFFF"/>
            <w:vAlign w:val="center"/>
          </w:tcPr>
          <w:p w14:paraId="541F3A2C">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w:t>
            </w:r>
          </w:p>
        </w:tc>
        <w:tc>
          <w:tcPr>
            <w:shd w:val="clear" w:color="auto" w:fill="FFFFFF"/>
            <w:vAlign w:val="center"/>
          </w:tcPr>
          <w:p w14:paraId="28D2B49A">
            <w:pPr>
              <w:keepNext w:val="0"/>
              <w:keepLines w:val="0"/>
              <w:widowControl w:val="0"/>
              <w:shd w:val="clear" w:color="auto" w:fill="auto"/>
              <w:bidi w:val="0"/>
              <w:spacing w:before="0" w:after="0" w:line="259"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极易产生污染</w:t>
            </w:r>
          </w:p>
        </w:tc>
        <w:tc>
          <w:tcPr>
            <w:shd w:val="clear" w:color="auto" w:fill="FFFFFF"/>
            <w:vAlign w:val="center"/>
          </w:tcPr>
          <w:p w14:paraId="30D8B11C">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w:t>
            </w:r>
          </w:p>
        </w:tc>
      </w:tr>
      <w:tr w14:paraId="360C2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62" w:hRule="exact"/>
          <w:jc w:val="center"/>
        </w:trPr>
        <w:tc>
          <w:tcPr>
            <w:shd w:val="clear" w:color="auto" w:fill="FFFFFF"/>
            <w:vAlign w:val="center"/>
          </w:tcPr>
          <w:p w14:paraId="37CB7EE8">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不渗漏的密闭收集设施</w:t>
            </w:r>
          </w:p>
        </w:tc>
        <w:tc>
          <w:tcPr>
            <w:shd w:val="clear" w:color="auto" w:fill="FFFFFF"/>
            <w:vAlign w:val="center"/>
          </w:tcPr>
          <w:p w14:paraId="4A783A0B">
            <w:pPr>
              <w:keepNext w:val="0"/>
              <w:keepLines w:val="0"/>
              <w:widowControl w:val="0"/>
              <w:shd w:val="clear" w:color="auto" w:fill="auto"/>
              <w:bidi w:val="0"/>
              <w:spacing w:before="0" w:after="0" w:line="245"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废水、雨水</w:t>
            </w:r>
          </w:p>
        </w:tc>
        <w:tc>
          <w:tcPr>
            <w:shd w:val="clear" w:color="auto" w:fill="FFFFFF"/>
            <w:vAlign w:val="center"/>
          </w:tcPr>
          <w:p w14:paraId="753BA3DF">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无或简单</w:t>
            </w:r>
          </w:p>
        </w:tc>
        <w:tc>
          <w:tcPr>
            <w:shd w:val="clear" w:color="auto" w:fill="FFFFFF"/>
            <w:vAlign w:val="center"/>
          </w:tcPr>
          <w:p w14:paraId="712EC74A">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定期检测</w:t>
            </w:r>
          </w:p>
        </w:tc>
        <w:tc>
          <w:tcPr>
            <w:shd w:val="clear" w:color="auto" w:fill="FFFFFF"/>
            <w:vAlign w:val="center"/>
          </w:tcPr>
          <w:p w14:paraId="3C7E60A5">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w:t>
            </w:r>
          </w:p>
        </w:tc>
        <w:tc>
          <w:tcPr>
            <w:shd w:val="clear" w:color="auto" w:fill="FFFFFF"/>
            <w:vAlign w:val="center"/>
          </w:tcPr>
          <w:p w14:paraId="0F42D80E">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可能产生</w:t>
            </w:r>
          </w:p>
        </w:tc>
        <w:tc>
          <w:tcPr>
            <w:shd w:val="clear" w:color="auto" w:fill="FFFFFF"/>
            <w:vAlign w:val="center"/>
          </w:tcPr>
          <w:p w14:paraId="79CD2E88">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r>
      <w:tr w14:paraId="3B411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25" w:hRule="exact"/>
          <w:jc w:val="center"/>
        </w:trPr>
        <w:tc>
          <w:tcPr>
            <w:shd w:val="clear" w:color="auto" w:fill="FFFFFF"/>
            <w:vAlign w:val="center"/>
          </w:tcPr>
          <w:p w14:paraId="5E3FF3A9">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不渗漏的密闭收集设施</w:t>
            </w:r>
          </w:p>
        </w:tc>
        <w:tc>
          <w:tcPr>
            <w:shd w:val="clear" w:color="auto" w:fill="FFFFFF"/>
            <w:vAlign w:val="center"/>
          </w:tcPr>
          <w:p w14:paraId="777E9455">
            <w:pPr>
              <w:keepNext w:val="0"/>
              <w:keepLines w:val="0"/>
              <w:widowControl w:val="0"/>
              <w:shd w:val="clear" w:color="auto" w:fill="auto"/>
              <w:bidi w:val="0"/>
              <w:spacing w:before="0" w:after="0" w:line="240" w:lineRule="auto"/>
              <w:ind w:left="0" w:right="0" w:firstLine="24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雨水</w:t>
            </w:r>
          </w:p>
        </w:tc>
        <w:tc>
          <w:tcPr>
            <w:shd w:val="clear" w:color="auto" w:fill="FFFFFF"/>
            <w:vAlign w:val="center"/>
          </w:tcPr>
          <w:p w14:paraId="6A3C3461">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shd w:val="clear" w:color="auto" w:fill="FFFFFF"/>
            <w:vAlign w:val="center"/>
          </w:tcPr>
          <w:p w14:paraId="728512D5">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shd w:val="clear" w:color="auto" w:fill="FFFFFF"/>
            <w:vAlign w:val="center"/>
          </w:tcPr>
          <w:p w14:paraId="2B2DA6C9">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管理完善</w:t>
            </w:r>
          </w:p>
        </w:tc>
        <w:tc>
          <w:tcPr>
            <w:shd w:val="clear" w:color="auto" w:fill="FFFFFF"/>
            <w:vAlign w:val="center"/>
          </w:tcPr>
          <w:p w14:paraId="25A3DE10">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可忽略</w:t>
            </w:r>
          </w:p>
        </w:tc>
        <w:tc>
          <w:tcPr>
            <w:shd w:val="clear" w:color="auto" w:fill="FFFFFF"/>
            <w:vAlign w:val="center"/>
          </w:tcPr>
          <w:p w14:paraId="351D7E60">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r>
    </w:tbl>
    <w:p w14:paraId="3F104775">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石柱县海创环保科技有限责任公司</w:t>
      </w:r>
      <w:r>
        <w:rPr>
          <w:rFonts w:hint="eastAsia" w:ascii="仿宋_GB2312" w:hAnsi="仿宋_GB2312" w:eastAsia="仿宋_GB2312" w:cs="仿宋_GB2312"/>
        </w:rPr>
        <w:t>的液体储存区涉及的重点场所或者重点设施设有</w:t>
      </w:r>
      <w:r>
        <w:rPr>
          <w:rFonts w:hint="eastAsia" w:ascii="仿宋_GB2312" w:hAnsi="仿宋_GB2312" w:eastAsia="仿宋_GB2312" w:cs="仿宋_GB2312"/>
          <w:lang w:eastAsia="zh-CN"/>
        </w:rPr>
        <w:t>：</w:t>
      </w:r>
      <w:r>
        <w:rPr>
          <w:rFonts w:hint="eastAsia" w:ascii="仿宋_GB2312" w:hAnsi="仿宋_GB2312" w:eastAsia="仿宋_GB2312" w:cs="仿宋_GB2312"/>
        </w:rPr>
        <w:t>垃圾渗滤液</w:t>
      </w:r>
      <w:r>
        <w:rPr>
          <w:rFonts w:hint="eastAsia" w:ascii="仿宋_GB2312" w:hAnsi="仿宋_GB2312" w:eastAsia="仿宋_GB2312" w:cs="仿宋_GB2312"/>
          <w:lang w:val="en-US" w:eastAsia="zh-CN"/>
        </w:rPr>
        <w:t>收集池、</w:t>
      </w:r>
      <w:r>
        <w:rPr>
          <w:rFonts w:hint="eastAsia" w:ascii="仿宋_GB2312" w:hAnsi="仿宋_GB2312" w:eastAsia="仿宋_GB2312" w:cs="仿宋_GB2312"/>
        </w:rPr>
        <w:t>调节池</w:t>
      </w: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厌氧池、消化池</w:t>
      </w:r>
      <w:r>
        <w:rPr>
          <w:rFonts w:hint="eastAsia" w:ascii="仿宋_GB2312" w:hAnsi="仿宋_GB2312" w:eastAsia="仿宋_GB2312" w:cs="仿宋_GB2312"/>
        </w:rPr>
        <w:t>、事故应急池共</w:t>
      </w:r>
      <w:r>
        <w:rPr>
          <w:rFonts w:hint="eastAsia" w:ascii="仿宋_GB2312" w:hAnsi="仿宋_GB2312" w:eastAsia="仿宋_GB2312" w:cs="仿宋_GB2312"/>
          <w:lang w:val="en-US" w:eastAsia="zh-CN"/>
        </w:rPr>
        <w:t>5</w:t>
      </w:r>
      <w:r>
        <w:rPr>
          <w:rFonts w:hint="eastAsia" w:ascii="仿宋_GB2312" w:hAnsi="仿宋_GB2312" w:eastAsia="仿宋_GB2312" w:cs="仿宋_GB2312"/>
        </w:rPr>
        <w:t>个池体，</w:t>
      </w:r>
      <w:r>
        <w:rPr>
          <w:rFonts w:hint="eastAsia" w:ascii="仿宋_GB2312" w:hAnsi="仿宋_GB2312" w:eastAsia="仿宋_GB2312" w:cs="仿宋_GB2312"/>
          <w:lang w:val="en-US" w:eastAsia="zh-CN"/>
        </w:rPr>
        <w:t>5</w:t>
      </w:r>
      <w:r>
        <w:rPr>
          <w:rFonts w:hint="eastAsia" w:ascii="仿宋_GB2312" w:hAnsi="仿宋_GB2312" w:eastAsia="仿宋_GB2312" w:cs="仿宋_GB2312"/>
        </w:rPr>
        <w:t>个池体均为接地池体。经现场排查，厂区内涉及池体类储存设施均为料液池,各料液池底及四壁均采取抗渗混凝土+环氧树脂漆进行防渗处理，池体未见破损，防渗完好，料液池地面均采取抗渗混凝土+环氧树脂漆进行防渗处理，现场未发现有“跑、冒、滴、漏”现象。因此该类设施或区域隐患等级为</w:t>
      </w:r>
      <w:r>
        <w:rPr>
          <w:rFonts w:hint="eastAsia" w:ascii="仿宋_GB2312" w:hAnsi="仿宋_GB2312" w:eastAsia="仿宋_GB2312" w:cs="仿宋_GB2312"/>
          <w:lang w:val="zh-CN" w:eastAsia="zh-CN"/>
        </w:rPr>
        <w:t>“可</w:t>
      </w:r>
      <w:r>
        <w:rPr>
          <w:rFonts w:hint="eastAsia" w:ascii="仿宋_GB2312" w:hAnsi="仿宋_GB2312" w:eastAsia="仿宋_GB2312" w:cs="仿宋_GB2312"/>
        </w:rPr>
        <w:t>忽略”</w:t>
      </w:r>
      <w:r>
        <w:rPr>
          <w:rFonts w:hint="eastAsia" w:ascii="仿宋_GB2312" w:hAnsi="仿宋_GB2312" w:eastAsia="仿宋_GB2312" w:cs="仿宋_GB2312"/>
          <w:lang w:eastAsia="zh-CN"/>
        </w:rPr>
        <w:t>。</w:t>
      </w:r>
    </w:p>
    <w:p w14:paraId="2C92CD8B">
      <w:pPr>
        <w:pStyle w:val="29"/>
        <w:bidi w:val="0"/>
        <w:rPr>
          <w:rFonts w:hint="eastAsia" w:ascii="仿宋_GB2312" w:hAnsi="仿宋_GB2312" w:eastAsia="仿宋_GB2312" w:cs="仿宋_GB2312"/>
          <w:lang w:eastAsia="zh-CN"/>
        </w:rPr>
      </w:pPr>
      <w:bookmarkStart w:id="207" w:name="_Toc26674"/>
      <w:r>
        <w:rPr>
          <w:rFonts w:hint="eastAsia" w:ascii="仿宋_GB2312" w:hAnsi="仿宋_GB2312" w:eastAsia="仿宋_GB2312" w:cs="仿宋_GB2312"/>
          <w:lang w:eastAsia="zh-CN"/>
        </w:rPr>
        <w:t>4.1.2散状液体转运与厂内运输</w:t>
      </w:r>
      <w:bookmarkEnd w:id="207"/>
    </w:p>
    <w:p w14:paraId="3CF2814F">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（1）装车与卸货</w:t>
      </w:r>
    </w:p>
    <w:tbl>
      <w:tblPr>
        <w:tblStyle w:val="9"/>
        <w:tblW w:w="0" w:type="auto"/>
        <w:jc w:val="center"/>
        <w:tblLayout w:type="fixed"/>
        <w:tblCellMar>
          <w:top w:w="0" w:type="dxa"/>
          <w:left w:w="10" w:type="dxa"/>
          <w:bottom w:w="0" w:type="dxa"/>
          <w:right w:w="10" w:type="dxa"/>
        </w:tblCellMar>
      </w:tblPr>
      <w:tblGrid>
        <w:gridCol w:w="1798"/>
        <w:gridCol w:w="1240"/>
        <w:gridCol w:w="976"/>
        <w:gridCol w:w="1108"/>
        <w:gridCol w:w="1244"/>
        <w:gridCol w:w="1180"/>
        <w:gridCol w:w="1265"/>
      </w:tblGrid>
      <w:tr w14:paraId="65B774CB">
        <w:tblPrEx>
          <w:tblCellMar>
            <w:top w:w="0" w:type="dxa"/>
            <w:left w:w="10" w:type="dxa"/>
            <w:bottom w:w="0" w:type="dxa"/>
            <w:right w:w="10" w:type="dxa"/>
          </w:tblCellMar>
        </w:tblPrEx>
        <w:trPr>
          <w:trHeight w:val="425" w:hRule="exact"/>
          <w:jc w:val="center"/>
        </w:trPr>
        <w:tc>
          <w:tcPr>
            <w:gridSpan w:val="2"/>
            <w:tcBorders>
              <w:top w:val="single" w:color="auto" w:sz="4" w:space="0"/>
              <w:left w:val="single" w:color="auto" w:sz="4" w:space="0"/>
            </w:tcBorders>
            <w:shd w:val="clear" w:color="auto" w:fill="FFFFFF"/>
            <w:vAlign w:val="center"/>
          </w:tcPr>
          <w:p w14:paraId="1F7A1DAA">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系统设计</w:t>
            </w:r>
          </w:p>
        </w:tc>
        <w:tc>
          <w:tcPr>
            <w:gridSpan w:val="4"/>
            <w:tcBorders>
              <w:top w:val="single" w:color="auto" w:sz="4" w:space="0"/>
              <w:left w:val="single" w:color="auto" w:sz="4" w:space="0"/>
            </w:tcBorders>
            <w:shd w:val="clear" w:color="auto" w:fill="FFFFFF"/>
            <w:vAlign w:val="center"/>
          </w:tcPr>
          <w:p w14:paraId="06CAA2EA">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日常运行管理</w:t>
            </w:r>
          </w:p>
        </w:tc>
        <w:tc>
          <w:tcPr>
            <w:vMerge w:val="restart"/>
            <w:tcBorders>
              <w:top w:val="single" w:color="auto" w:sz="4" w:space="0"/>
              <w:left w:val="single" w:color="auto" w:sz="4" w:space="0"/>
              <w:right w:val="single" w:color="auto" w:sz="4" w:space="0"/>
            </w:tcBorders>
            <w:shd w:val="clear" w:color="auto" w:fill="FFFFFF"/>
            <w:vAlign w:val="center"/>
          </w:tcPr>
          <w:p w14:paraId="1F834163">
            <w:pPr>
              <w:keepNext w:val="0"/>
              <w:keepLines w:val="0"/>
              <w:widowControl w:val="0"/>
              <w:shd w:val="clear" w:color="auto" w:fill="auto"/>
              <w:bidi w:val="0"/>
              <w:spacing w:before="0" w:after="0" w:line="239"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本项目是否涉及</w:t>
            </w:r>
          </w:p>
        </w:tc>
      </w:tr>
      <w:tr w14:paraId="7770909C">
        <w:tblPrEx>
          <w:tblCellMar>
            <w:top w:w="0" w:type="dxa"/>
            <w:left w:w="10" w:type="dxa"/>
            <w:bottom w:w="0" w:type="dxa"/>
            <w:right w:w="10" w:type="dxa"/>
          </w:tblCellMar>
        </w:tblPrEx>
        <w:trPr>
          <w:trHeight w:val="486" w:hRule="exact"/>
          <w:jc w:val="center"/>
        </w:trPr>
        <w:tc>
          <w:tcPr>
            <w:tcBorders>
              <w:top w:val="single" w:color="auto" w:sz="4" w:space="0"/>
              <w:left w:val="single" w:color="auto" w:sz="4" w:space="0"/>
            </w:tcBorders>
            <w:shd w:val="clear" w:color="auto" w:fill="FFFFFF"/>
            <w:vAlign w:val="center"/>
          </w:tcPr>
          <w:p w14:paraId="7B82F266">
            <w:pPr>
              <w:keepNext w:val="0"/>
              <w:keepLines w:val="0"/>
              <w:widowControl w:val="0"/>
              <w:shd w:val="clear" w:color="auto" w:fill="auto"/>
              <w:bidi w:val="0"/>
              <w:spacing w:before="0" w:after="0" w:line="240" w:lineRule="auto"/>
              <w:ind w:left="0" w:right="0" w:firstLine="44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施工/设计</w:t>
            </w:r>
          </w:p>
        </w:tc>
        <w:tc>
          <w:tcPr>
            <w:tcBorders>
              <w:top w:val="single" w:color="auto" w:sz="4" w:space="0"/>
              <w:left w:val="single" w:color="auto" w:sz="4" w:space="0"/>
            </w:tcBorders>
            <w:shd w:val="clear" w:color="auto" w:fill="FFFFFF"/>
            <w:vAlign w:val="center"/>
          </w:tcPr>
          <w:p w14:paraId="297B8871">
            <w:pPr>
              <w:keepNext w:val="0"/>
              <w:keepLines w:val="0"/>
              <w:widowControl w:val="0"/>
              <w:shd w:val="clear" w:color="auto" w:fill="auto"/>
              <w:bidi w:val="0"/>
              <w:spacing w:before="0" w:after="0" w:line="240" w:lineRule="auto"/>
              <w:ind w:left="0" w:right="0" w:firstLine="400"/>
              <w:jc w:val="both"/>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重点</w:t>
            </w:r>
          </w:p>
        </w:tc>
        <w:tc>
          <w:tcPr>
            <w:tcBorders>
              <w:top w:val="single" w:color="auto" w:sz="4" w:space="0"/>
              <w:left w:val="single" w:color="auto" w:sz="4" w:space="0"/>
            </w:tcBorders>
            <w:shd w:val="clear" w:color="auto" w:fill="FFFFFF"/>
            <w:vAlign w:val="center"/>
          </w:tcPr>
          <w:p w14:paraId="739A3B57">
            <w:pPr>
              <w:keepNext w:val="0"/>
              <w:keepLines w:val="0"/>
              <w:widowControl w:val="0"/>
              <w:shd w:val="clear" w:color="auto" w:fill="auto"/>
              <w:bidi w:val="0"/>
              <w:spacing w:before="0" w:after="0" w:line="243"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特殊运行维护</w:t>
            </w:r>
          </w:p>
        </w:tc>
        <w:tc>
          <w:tcPr>
            <w:tcBorders>
              <w:top w:val="single" w:color="auto" w:sz="4" w:space="0"/>
              <w:left w:val="single" w:color="auto" w:sz="4" w:space="0"/>
            </w:tcBorders>
            <w:shd w:val="clear" w:color="auto" w:fill="FFFFFF"/>
            <w:vAlign w:val="center"/>
          </w:tcPr>
          <w:p w14:paraId="558E1745">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监测</w:t>
            </w:r>
          </w:p>
        </w:tc>
        <w:tc>
          <w:tcPr>
            <w:tcBorders>
              <w:top w:val="single" w:color="auto" w:sz="4" w:space="0"/>
              <w:left w:val="single" w:color="auto" w:sz="4" w:space="0"/>
            </w:tcBorders>
            <w:shd w:val="clear" w:color="auto" w:fill="FFFFFF"/>
            <w:vAlign w:val="center"/>
          </w:tcPr>
          <w:p w14:paraId="1EC00616">
            <w:pPr>
              <w:keepNext w:val="0"/>
              <w:keepLines w:val="0"/>
              <w:widowControl w:val="0"/>
              <w:shd w:val="clear" w:color="auto" w:fill="auto"/>
              <w:bidi w:val="0"/>
              <w:spacing w:before="0" w:after="0" w:line="240" w:lineRule="auto"/>
              <w:ind w:left="0" w:right="0" w:firstLine="200"/>
              <w:jc w:val="both"/>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事故管理</w:t>
            </w:r>
          </w:p>
        </w:tc>
        <w:tc>
          <w:tcPr>
            <w:tcBorders>
              <w:top w:val="single" w:color="auto" w:sz="4" w:space="0"/>
              <w:left w:val="single" w:color="auto" w:sz="4" w:space="0"/>
            </w:tcBorders>
            <w:shd w:val="clear" w:color="auto" w:fill="FFFFFF"/>
            <w:vAlign w:val="center"/>
          </w:tcPr>
          <w:p w14:paraId="667EE7EC">
            <w:pPr>
              <w:keepNext w:val="0"/>
              <w:keepLines w:val="0"/>
              <w:widowControl w:val="0"/>
              <w:shd w:val="clear" w:color="auto" w:fill="auto"/>
              <w:bidi w:val="0"/>
              <w:spacing w:before="0" w:after="0" w:line="247"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土壤污染可能性</w:t>
            </w:r>
          </w:p>
        </w:tc>
        <w:tc>
          <w:tcPr>
            <w:vMerge w:val="continue"/>
            <w:tcBorders>
              <w:left w:val="single" w:color="auto" w:sz="4" w:space="0"/>
              <w:right w:val="single" w:color="auto" w:sz="4" w:space="0"/>
            </w:tcBorders>
            <w:shd w:val="clear" w:color="auto" w:fill="FFFFFF"/>
            <w:vAlign w:val="center"/>
          </w:tcPr>
          <w:p w14:paraId="2B2BA907">
            <w:pPr>
              <w:shd w:val="clear" w:color="auto" w:fill="auto"/>
              <w:jc w:val="center"/>
              <w:rPr>
                <w:rFonts w:hint="eastAsia" w:ascii="仿宋_GB2312" w:hAnsi="仿宋_GB2312" w:eastAsia="仿宋_GB2312" w:cs="仿宋_GB2312"/>
                <w:b w:val="0"/>
                <w:bCs w:val="0"/>
                <w:sz w:val="21"/>
                <w:szCs w:val="21"/>
              </w:rPr>
            </w:pPr>
          </w:p>
        </w:tc>
      </w:tr>
      <w:tr w14:paraId="516C81BA">
        <w:tblPrEx>
          <w:tblCellMar>
            <w:top w:w="0" w:type="dxa"/>
            <w:left w:w="10" w:type="dxa"/>
            <w:bottom w:w="0" w:type="dxa"/>
            <w:right w:w="10" w:type="dxa"/>
          </w:tblCellMar>
        </w:tblPrEx>
        <w:trPr>
          <w:trHeight w:val="486" w:hRule="exact"/>
          <w:jc w:val="center"/>
        </w:trPr>
        <w:tc>
          <w:tcPr>
            <w:tcBorders>
              <w:top w:val="single" w:color="auto" w:sz="4" w:space="0"/>
              <w:left w:val="single" w:color="auto" w:sz="4" w:space="0"/>
            </w:tcBorders>
            <w:shd w:val="clear" w:color="auto" w:fill="FFFFFF"/>
            <w:vAlign w:val="center"/>
          </w:tcPr>
          <w:p w14:paraId="6D86D6E8">
            <w:pPr>
              <w:keepNext w:val="0"/>
              <w:keepLines w:val="0"/>
              <w:widowControl w:val="0"/>
              <w:shd w:val="clear" w:color="auto" w:fill="auto"/>
              <w:bidi w:val="0"/>
              <w:spacing w:before="0" w:after="0" w:line="238"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无防渗设施的装卸平台</w:t>
            </w:r>
          </w:p>
        </w:tc>
        <w:tc>
          <w:tcPr>
            <w:tcBorders>
              <w:top w:val="single" w:color="auto" w:sz="4" w:space="0"/>
              <w:left w:val="single" w:color="auto" w:sz="4" w:space="0"/>
            </w:tcBorders>
            <w:shd w:val="clear" w:color="auto" w:fill="FFFFFF"/>
            <w:vAlign w:val="center"/>
          </w:tcPr>
          <w:p w14:paraId="2D62E7C9">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加油管</w:t>
            </w:r>
          </w:p>
        </w:tc>
        <w:tc>
          <w:tcPr>
            <w:tcBorders>
              <w:top w:val="single" w:color="auto" w:sz="4" w:space="0"/>
              <w:left w:val="single" w:color="auto" w:sz="4" w:space="0"/>
            </w:tcBorders>
            <w:shd w:val="clear" w:color="auto" w:fill="FFFFFF"/>
            <w:vAlign w:val="center"/>
          </w:tcPr>
          <w:p w14:paraId="2062822D">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tcBorders>
              <w:top w:val="single" w:color="auto" w:sz="4" w:space="0"/>
              <w:left w:val="single" w:color="auto" w:sz="4" w:space="0"/>
            </w:tcBorders>
            <w:shd w:val="clear" w:color="auto" w:fill="FFFFFF"/>
            <w:vAlign w:val="center"/>
          </w:tcPr>
          <w:p w14:paraId="0AA49141">
            <w:pPr>
              <w:keepNext w:val="0"/>
              <w:keepLines w:val="0"/>
              <w:widowControl w:val="0"/>
              <w:shd w:val="clear" w:color="auto" w:fill="auto"/>
              <w:bidi w:val="0"/>
              <w:spacing w:before="0" w:after="0" w:line="239"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灌装软管里的检测装置</w:t>
            </w:r>
          </w:p>
        </w:tc>
        <w:tc>
          <w:tcPr>
            <w:tcBorders>
              <w:top w:val="single" w:color="auto" w:sz="4" w:space="0"/>
              <w:left w:val="single" w:color="auto" w:sz="4" w:space="0"/>
            </w:tcBorders>
            <w:shd w:val="clear" w:color="auto" w:fill="FFFFFF"/>
            <w:vAlign w:val="center"/>
          </w:tcPr>
          <w:p w14:paraId="7CDEE5D2">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tcBorders>
              <w:top w:val="single" w:color="auto" w:sz="4" w:space="0"/>
              <w:left w:val="single" w:color="auto" w:sz="4" w:space="0"/>
            </w:tcBorders>
            <w:shd w:val="clear" w:color="auto" w:fill="FFFFFF"/>
            <w:vAlign w:val="center"/>
          </w:tcPr>
          <w:p w14:paraId="34138CB4">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易产生污染</w:t>
            </w:r>
          </w:p>
        </w:tc>
        <w:tc>
          <w:tcPr>
            <w:tcBorders>
              <w:top w:val="single" w:color="auto" w:sz="4" w:space="0"/>
              <w:left w:val="single" w:color="auto" w:sz="4" w:space="0"/>
              <w:right w:val="single" w:color="auto" w:sz="4" w:space="0"/>
            </w:tcBorders>
            <w:shd w:val="clear" w:color="auto" w:fill="FFFFFF"/>
            <w:vAlign w:val="center"/>
          </w:tcPr>
          <w:p w14:paraId="33450B46">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否</w:t>
            </w:r>
          </w:p>
        </w:tc>
      </w:tr>
      <w:tr w14:paraId="44D65FF2">
        <w:tblPrEx>
          <w:tblCellMar>
            <w:top w:w="0" w:type="dxa"/>
            <w:left w:w="10" w:type="dxa"/>
            <w:bottom w:w="0" w:type="dxa"/>
            <w:right w:w="10" w:type="dxa"/>
          </w:tblCellMar>
        </w:tblPrEx>
        <w:trPr>
          <w:trHeight w:val="486" w:hRule="exact"/>
          <w:jc w:val="center"/>
        </w:trPr>
        <w:tc>
          <w:tcPr>
            <w:tcBorders>
              <w:top w:val="single" w:color="auto" w:sz="4" w:space="0"/>
              <w:left w:val="single" w:color="auto" w:sz="4" w:space="0"/>
            </w:tcBorders>
            <w:shd w:val="clear" w:color="auto" w:fill="FFFFFF"/>
            <w:vAlign w:val="center"/>
          </w:tcPr>
          <w:p w14:paraId="453F5219">
            <w:pPr>
              <w:keepNext w:val="0"/>
              <w:keepLines w:val="0"/>
              <w:widowControl w:val="0"/>
              <w:shd w:val="clear" w:color="auto" w:fill="auto"/>
              <w:bidi w:val="0"/>
              <w:spacing w:before="0" w:after="0" w:line="243"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有防渗设施的装卸平台</w:t>
            </w:r>
          </w:p>
        </w:tc>
        <w:tc>
          <w:tcPr>
            <w:tcBorders>
              <w:top w:val="single" w:color="auto" w:sz="4" w:space="0"/>
              <w:left w:val="single" w:color="auto" w:sz="4" w:space="0"/>
            </w:tcBorders>
            <w:shd w:val="clear" w:color="auto" w:fill="FFFFFF"/>
            <w:vAlign w:val="center"/>
          </w:tcPr>
          <w:p w14:paraId="2AA8B17C">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加油管</w:t>
            </w:r>
          </w:p>
        </w:tc>
        <w:tc>
          <w:tcPr>
            <w:tcBorders>
              <w:top w:val="single" w:color="auto" w:sz="4" w:space="0"/>
              <w:left w:val="single" w:color="auto" w:sz="4" w:space="0"/>
            </w:tcBorders>
            <w:shd w:val="clear" w:color="auto" w:fill="FFFFFF"/>
            <w:vAlign w:val="center"/>
          </w:tcPr>
          <w:p w14:paraId="15F5F50F">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tcBorders>
              <w:top w:val="single" w:color="auto" w:sz="4" w:space="0"/>
              <w:left w:val="single" w:color="auto" w:sz="4" w:space="0"/>
            </w:tcBorders>
            <w:shd w:val="clear" w:color="auto" w:fill="FFFFFF"/>
            <w:vAlign w:val="center"/>
          </w:tcPr>
          <w:p w14:paraId="282A5CB9">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罐体监测</w:t>
            </w:r>
          </w:p>
        </w:tc>
        <w:tc>
          <w:tcPr>
            <w:tcBorders>
              <w:top w:val="single" w:color="auto" w:sz="4" w:space="0"/>
              <w:left w:val="single" w:color="auto" w:sz="4" w:space="0"/>
            </w:tcBorders>
            <w:shd w:val="clear" w:color="auto" w:fill="FFFFFF"/>
            <w:vAlign w:val="center"/>
          </w:tcPr>
          <w:p w14:paraId="09A43136">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tcBorders>
              <w:top w:val="single" w:color="auto" w:sz="4" w:space="0"/>
              <w:left w:val="single" w:color="auto" w:sz="4" w:space="0"/>
            </w:tcBorders>
            <w:shd w:val="clear" w:color="auto" w:fill="FFFFFF"/>
            <w:vAlign w:val="center"/>
          </w:tcPr>
          <w:p w14:paraId="4637534A">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可能产生</w:t>
            </w:r>
          </w:p>
        </w:tc>
        <w:tc>
          <w:tcPr>
            <w:tcBorders>
              <w:top w:val="single" w:color="auto" w:sz="4" w:space="0"/>
              <w:left w:val="single" w:color="auto" w:sz="4" w:space="0"/>
              <w:right w:val="single" w:color="auto" w:sz="4" w:space="0"/>
            </w:tcBorders>
            <w:shd w:val="clear" w:color="auto" w:fill="FFFFFF"/>
            <w:vAlign w:val="center"/>
          </w:tcPr>
          <w:p w14:paraId="1A0F08CD">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否</w:t>
            </w:r>
          </w:p>
        </w:tc>
      </w:tr>
      <w:tr w14:paraId="58385C37">
        <w:tblPrEx>
          <w:tblCellMar>
            <w:top w:w="0" w:type="dxa"/>
            <w:left w:w="10" w:type="dxa"/>
            <w:bottom w:w="0" w:type="dxa"/>
            <w:right w:w="10" w:type="dxa"/>
          </w:tblCellMar>
        </w:tblPrEx>
        <w:trPr>
          <w:trHeight w:val="724" w:hRule="exact"/>
          <w:jc w:val="center"/>
        </w:trPr>
        <w:tc>
          <w:tcPr>
            <w:tcBorders>
              <w:top w:val="single" w:color="auto" w:sz="4" w:space="0"/>
              <w:left w:val="single" w:color="auto" w:sz="4" w:space="0"/>
            </w:tcBorders>
            <w:shd w:val="clear" w:color="auto" w:fill="FFFFFF"/>
            <w:vAlign w:val="center"/>
          </w:tcPr>
          <w:p w14:paraId="5AA81B67">
            <w:pPr>
              <w:keepNext w:val="0"/>
              <w:keepLines w:val="0"/>
              <w:widowControl w:val="0"/>
              <w:shd w:val="clear" w:color="auto" w:fill="auto"/>
              <w:bidi w:val="0"/>
              <w:spacing w:before="0" w:after="0" w:line="239"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有防渗设施和收集容器的装卸平台</w:t>
            </w:r>
          </w:p>
        </w:tc>
        <w:tc>
          <w:tcPr>
            <w:tcBorders>
              <w:top w:val="single" w:color="auto" w:sz="4" w:space="0"/>
              <w:left w:val="single" w:color="auto" w:sz="4" w:space="0"/>
            </w:tcBorders>
            <w:shd w:val="clear" w:color="auto" w:fill="FFFFFF"/>
            <w:vAlign w:val="center"/>
          </w:tcPr>
          <w:p w14:paraId="79AE5103">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溢流收集装</w:t>
            </w:r>
          </w:p>
          <w:p w14:paraId="528B6168">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置</w:t>
            </w:r>
          </w:p>
        </w:tc>
        <w:tc>
          <w:tcPr>
            <w:tcBorders>
              <w:top w:val="single" w:color="auto" w:sz="4" w:space="0"/>
              <w:left w:val="single" w:color="auto" w:sz="4" w:space="0"/>
            </w:tcBorders>
            <w:shd w:val="clear" w:color="auto" w:fill="FFFFFF"/>
            <w:vAlign w:val="center"/>
          </w:tcPr>
          <w:p w14:paraId="66FCBB05">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tcBorders>
              <w:top w:val="single" w:color="auto" w:sz="4" w:space="0"/>
              <w:left w:val="single" w:color="auto" w:sz="4" w:space="0"/>
            </w:tcBorders>
            <w:shd w:val="clear" w:color="auto" w:fill="FFFFFF"/>
            <w:vAlign w:val="center"/>
          </w:tcPr>
          <w:p w14:paraId="3C23861A">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罐体监测</w:t>
            </w:r>
          </w:p>
        </w:tc>
        <w:tc>
          <w:tcPr>
            <w:tcBorders>
              <w:top w:val="single" w:color="auto" w:sz="4" w:space="0"/>
              <w:left w:val="single" w:color="auto" w:sz="4" w:space="0"/>
            </w:tcBorders>
            <w:shd w:val="clear" w:color="auto" w:fill="FFFFFF"/>
            <w:vAlign w:val="center"/>
          </w:tcPr>
          <w:p w14:paraId="358535CE">
            <w:pPr>
              <w:keepNext w:val="0"/>
              <w:keepLines w:val="0"/>
              <w:widowControl w:val="0"/>
              <w:shd w:val="clear" w:color="auto" w:fill="auto"/>
              <w:bidi w:val="0"/>
              <w:spacing w:before="0" w:after="0" w:line="256"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专业人员和设备</w:t>
            </w:r>
          </w:p>
        </w:tc>
        <w:tc>
          <w:tcPr>
            <w:tcBorders>
              <w:top w:val="single" w:color="auto" w:sz="4" w:space="0"/>
              <w:left w:val="single" w:color="auto" w:sz="4" w:space="0"/>
            </w:tcBorders>
            <w:shd w:val="clear" w:color="auto" w:fill="FFFFFF"/>
            <w:vAlign w:val="center"/>
          </w:tcPr>
          <w:p w14:paraId="050FA3E7">
            <w:pPr>
              <w:keepNext w:val="0"/>
              <w:keepLines w:val="0"/>
              <w:widowControl w:val="0"/>
              <w:shd w:val="clear" w:color="auto" w:fill="auto"/>
              <w:bidi w:val="0"/>
              <w:spacing w:before="0" w:after="0" w:line="240" w:lineRule="auto"/>
              <w:ind w:left="0" w:right="0" w:firstLine="26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可忽略</w:t>
            </w:r>
          </w:p>
        </w:tc>
        <w:tc>
          <w:tcPr>
            <w:tcBorders>
              <w:top w:val="single" w:color="auto" w:sz="4" w:space="0"/>
              <w:left w:val="single" w:color="auto" w:sz="4" w:space="0"/>
              <w:right w:val="single" w:color="auto" w:sz="4" w:space="0"/>
            </w:tcBorders>
            <w:shd w:val="clear" w:color="auto" w:fill="FFFFFF"/>
            <w:vAlign w:val="center"/>
          </w:tcPr>
          <w:p w14:paraId="65A147EF">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CN"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en-US" w:eastAsia="zh-CN" w:bidi="zh-TW"/>
              </w:rPr>
              <w:t>是</w:t>
            </w:r>
          </w:p>
        </w:tc>
      </w:tr>
      <w:tr w14:paraId="58E08AA5">
        <w:tblPrEx>
          <w:tblCellMar>
            <w:top w:w="0" w:type="dxa"/>
            <w:left w:w="10" w:type="dxa"/>
            <w:bottom w:w="0" w:type="dxa"/>
            <w:right w:w="10" w:type="dxa"/>
          </w:tblCellMar>
        </w:tblPrEx>
        <w:trPr>
          <w:trHeight w:val="486" w:hRule="exact"/>
          <w:jc w:val="center"/>
        </w:trPr>
        <w:tc>
          <w:tcPr>
            <w:tcBorders>
              <w:top w:val="single" w:color="auto" w:sz="4" w:space="0"/>
              <w:left w:val="single" w:color="auto" w:sz="4" w:space="0"/>
            </w:tcBorders>
            <w:shd w:val="clear" w:color="auto" w:fill="FFFFFF"/>
            <w:vAlign w:val="center"/>
          </w:tcPr>
          <w:p w14:paraId="63F660FF">
            <w:pPr>
              <w:keepNext w:val="0"/>
              <w:keepLines w:val="0"/>
              <w:widowControl w:val="0"/>
              <w:shd w:val="clear" w:color="auto" w:fill="auto"/>
              <w:bidi w:val="0"/>
              <w:spacing w:before="0" w:after="0" w:line="222"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密闭不渗漏的装卸平台</w:t>
            </w:r>
          </w:p>
        </w:tc>
        <w:tc>
          <w:tcPr>
            <w:tcBorders>
              <w:top w:val="single" w:color="auto" w:sz="4" w:space="0"/>
              <w:left w:val="single" w:color="auto" w:sz="4" w:space="0"/>
            </w:tcBorders>
            <w:shd w:val="clear" w:color="auto" w:fill="FFFFFF"/>
            <w:vAlign w:val="center"/>
          </w:tcPr>
          <w:p w14:paraId="739E5F01">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溢流收集装</w:t>
            </w:r>
          </w:p>
          <w:p w14:paraId="315C8CA2">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置</w:t>
            </w:r>
          </w:p>
        </w:tc>
        <w:tc>
          <w:tcPr>
            <w:tcBorders>
              <w:top w:val="single" w:color="auto" w:sz="4" w:space="0"/>
              <w:left w:val="single" w:color="auto" w:sz="4" w:space="0"/>
            </w:tcBorders>
            <w:shd w:val="clear" w:color="auto" w:fill="FFFFFF"/>
            <w:vAlign w:val="center"/>
          </w:tcPr>
          <w:p w14:paraId="4225CF5B">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tcBorders>
              <w:top w:val="single" w:color="auto" w:sz="4" w:space="0"/>
              <w:left w:val="single" w:color="auto" w:sz="4" w:space="0"/>
            </w:tcBorders>
            <w:shd w:val="clear" w:color="auto" w:fill="FFFFFF"/>
            <w:vAlign w:val="center"/>
          </w:tcPr>
          <w:p w14:paraId="09FD2305">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罐体监测</w:t>
            </w:r>
          </w:p>
        </w:tc>
        <w:tc>
          <w:tcPr>
            <w:tcBorders>
              <w:top w:val="single" w:color="auto" w:sz="4" w:space="0"/>
              <w:left w:val="single" w:color="auto" w:sz="4" w:space="0"/>
            </w:tcBorders>
            <w:shd w:val="clear" w:color="auto" w:fill="FFFFFF"/>
            <w:vAlign w:val="center"/>
          </w:tcPr>
          <w:p w14:paraId="7BF2748E">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完善管理</w:t>
            </w:r>
          </w:p>
        </w:tc>
        <w:tc>
          <w:tcPr>
            <w:tcBorders>
              <w:top w:val="single" w:color="auto" w:sz="4" w:space="0"/>
              <w:left w:val="single" w:color="auto" w:sz="4" w:space="0"/>
            </w:tcBorders>
            <w:shd w:val="clear" w:color="auto" w:fill="FFFFFF"/>
            <w:vAlign w:val="center"/>
          </w:tcPr>
          <w:p w14:paraId="3219A9F5">
            <w:pPr>
              <w:keepNext w:val="0"/>
              <w:keepLines w:val="0"/>
              <w:widowControl w:val="0"/>
              <w:shd w:val="clear" w:color="auto" w:fill="auto"/>
              <w:bidi w:val="0"/>
              <w:spacing w:before="0" w:after="0" w:line="240" w:lineRule="auto"/>
              <w:ind w:left="0" w:right="0" w:firstLine="26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可忽略</w:t>
            </w:r>
          </w:p>
        </w:tc>
        <w:tc>
          <w:tcPr>
            <w:tcBorders>
              <w:top w:val="single" w:color="auto" w:sz="4" w:space="0"/>
              <w:left w:val="single" w:color="auto" w:sz="4" w:space="0"/>
              <w:right w:val="single" w:color="auto" w:sz="4" w:space="0"/>
            </w:tcBorders>
            <w:shd w:val="clear" w:color="auto" w:fill="FFFFFF"/>
            <w:vAlign w:val="center"/>
          </w:tcPr>
          <w:p w14:paraId="1781CCFE">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否</w:t>
            </w:r>
          </w:p>
        </w:tc>
      </w:tr>
      <w:tr w14:paraId="6D6AE294">
        <w:tblPrEx>
          <w:tblCellMar>
            <w:top w:w="0" w:type="dxa"/>
            <w:left w:w="10" w:type="dxa"/>
            <w:bottom w:w="0" w:type="dxa"/>
            <w:right w:w="10" w:type="dxa"/>
          </w:tblCellMar>
        </w:tblPrEx>
        <w:trPr>
          <w:trHeight w:val="481" w:hRule="exact"/>
          <w:jc w:val="center"/>
        </w:trPr>
        <w:tc>
          <w:tcPr>
            <w:tcBorders>
              <w:top w:val="single" w:color="auto" w:sz="4" w:space="0"/>
              <w:left w:val="single" w:color="auto" w:sz="4" w:space="0"/>
            </w:tcBorders>
            <w:shd w:val="clear" w:color="auto" w:fill="FFFFFF"/>
            <w:vAlign w:val="center"/>
          </w:tcPr>
          <w:p w14:paraId="70696551">
            <w:pPr>
              <w:keepNext w:val="0"/>
              <w:keepLines w:val="0"/>
              <w:widowControl w:val="0"/>
              <w:shd w:val="clear" w:color="auto" w:fill="auto"/>
              <w:bidi w:val="0"/>
              <w:spacing w:before="0" w:after="0" w:line="243"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有溢流收集装置的液体抽吸点</w:t>
            </w:r>
          </w:p>
        </w:tc>
        <w:tc>
          <w:tcPr>
            <w:tcBorders>
              <w:top w:val="single" w:color="auto" w:sz="4" w:space="0"/>
              <w:left w:val="single" w:color="auto" w:sz="4" w:space="0"/>
            </w:tcBorders>
            <w:shd w:val="clear" w:color="auto" w:fill="FFFFFF"/>
            <w:vAlign w:val="center"/>
          </w:tcPr>
          <w:p w14:paraId="00AB0792">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溢流收集装</w:t>
            </w:r>
          </w:p>
          <w:p w14:paraId="0452A3A4">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置</w:t>
            </w:r>
          </w:p>
        </w:tc>
        <w:tc>
          <w:tcPr>
            <w:tcBorders>
              <w:top w:val="single" w:color="auto" w:sz="4" w:space="0"/>
              <w:left w:val="single" w:color="auto" w:sz="4" w:space="0"/>
            </w:tcBorders>
            <w:shd w:val="clear" w:color="auto" w:fill="FFFFFF"/>
            <w:vAlign w:val="center"/>
          </w:tcPr>
          <w:p w14:paraId="6DAB8AF1">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tcBorders>
              <w:top w:val="single" w:color="auto" w:sz="4" w:space="0"/>
              <w:left w:val="single" w:color="auto" w:sz="4" w:space="0"/>
            </w:tcBorders>
            <w:shd w:val="clear" w:color="auto" w:fill="FFFFFF"/>
            <w:vAlign w:val="center"/>
          </w:tcPr>
          <w:p w14:paraId="77E61BCE">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tcBorders>
              <w:top w:val="single" w:color="auto" w:sz="4" w:space="0"/>
              <w:left w:val="single" w:color="auto" w:sz="4" w:space="0"/>
            </w:tcBorders>
            <w:shd w:val="clear" w:color="auto" w:fill="FFFFFF"/>
            <w:vAlign w:val="center"/>
          </w:tcPr>
          <w:p w14:paraId="19F14A0C">
            <w:pPr>
              <w:keepNext w:val="0"/>
              <w:keepLines w:val="0"/>
              <w:widowControl w:val="0"/>
              <w:shd w:val="clear" w:color="auto" w:fill="auto"/>
              <w:bidi w:val="0"/>
              <w:spacing w:before="0" w:after="0" w:line="239"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专业人员和设备</w:t>
            </w:r>
          </w:p>
        </w:tc>
        <w:tc>
          <w:tcPr>
            <w:tcBorders>
              <w:top w:val="single" w:color="auto" w:sz="4" w:space="0"/>
              <w:left w:val="single" w:color="auto" w:sz="4" w:space="0"/>
            </w:tcBorders>
            <w:shd w:val="clear" w:color="auto" w:fill="FFFFFF"/>
            <w:vAlign w:val="center"/>
          </w:tcPr>
          <w:p w14:paraId="0AC8335F">
            <w:pPr>
              <w:keepNext w:val="0"/>
              <w:keepLines w:val="0"/>
              <w:widowControl w:val="0"/>
              <w:shd w:val="clear" w:color="auto" w:fill="auto"/>
              <w:bidi w:val="0"/>
              <w:spacing w:before="0" w:after="0" w:line="240" w:lineRule="auto"/>
              <w:ind w:left="0" w:right="0" w:firstLine="26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可忽略</w:t>
            </w:r>
          </w:p>
        </w:tc>
        <w:tc>
          <w:tcPr>
            <w:tcBorders>
              <w:top w:val="single" w:color="auto" w:sz="4" w:space="0"/>
              <w:left w:val="single" w:color="auto" w:sz="4" w:space="0"/>
              <w:right w:val="single" w:color="auto" w:sz="4" w:space="0"/>
            </w:tcBorders>
            <w:shd w:val="clear" w:color="auto" w:fill="FFFFFF"/>
            <w:vAlign w:val="center"/>
          </w:tcPr>
          <w:p w14:paraId="517E39F1">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否</w:t>
            </w:r>
          </w:p>
        </w:tc>
      </w:tr>
      <w:tr w14:paraId="3EDD0304">
        <w:tblPrEx>
          <w:tblCellMar>
            <w:top w:w="0" w:type="dxa"/>
            <w:left w:w="10" w:type="dxa"/>
            <w:bottom w:w="0" w:type="dxa"/>
            <w:right w:w="10" w:type="dxa"/>
          </w:tblCellMar>
        </w:tblPrEx>
        <w:trPr>
          <w:trHeight w:val="729" w:hRule="exact"/>
          <w:jc w:val="center"/>
        </w:trPr>
        <w:tc>
          <w:tcPr>
            <w:tcBorders>
              <w:top w:val="single" w:color="auto" w:sz="4" w:space="0"/>
              <w:left w:val="single" w:color="auto" w:sz="4" w:space="0"/>
            </w:tcBorders>
            <w:shd w:val="clear" w:color="auto" w:fill="FFFFFF"/>
            <w:vAlign w:val="center"/>
          </w:tcPr>
          <w:p w14:paraId="2C0CA79D">
            <w:pPr>
              <w:keepNext w:val="0"/>
              <w:keepLines w:val="0"/>
              <w:widowControl w:val="0"/>
              <w:shd w:val="clear" w:color="auto" w:fill="auto"/>
              <w:bidi w:val="0"/>
              <w:spacing w:before="0" w:after="0" w:line="251"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无渗漏和溢流收集装置的进、出料口</w:t>
            </w:r>
          </w:p>
        </w:tc>
        <w:tc>
          <w:tcPr>
            <w:tcBorders>
              <w:top w:val="single" w:color="auto" w:sz="4" w:space="0"/>
              <w:left w:val="single" w:color="auto" w:sz="4" w:space="0"/>
            </w:tcBorders>
            <w:shd w:val="clear" w:color="auto" w:fill="FFFFFF"/>
            <w:vAlign w:val="center"/>
          </w:tcPr>
          <w:p w14:paraId="090F94BA">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溢流收集装</w:t>
            </w:r>
          </w:p>
          <w:p w14:paraId="1C8E4B1C">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置</w:t>
            </w:r>
          </w:p>
        </w:tc>
        <w:tc>
          <w:tcPr>
            <w:tcBorders>
              <w:top w:val="single" w:color="auto" w:sz="4" w:space="0"/>
              <w:left w:val="single" w:color="auto" w:sz="4" w:space="0"/>
            </w:tcBorders>
            <w:shd w:val="clear" w:color="auto" w:fill="FFFFFF"/>
            <w:vAlign w:val="center"/>
          </w:tcPr>
          <w:p w14:paraId="0C1E8229">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w:t>
            </w:r>
          </w:p>
        </w:tc>
        <w:tc>
          <w:tcPr>
            <w:tcBorders>
              <w:top w:val="single" w:color="auto" w:sz="4" w:space="0"/>
              <w:left w:val="single" w:color="auto" w:sz="4" w:space="0"/>
            </w:tcBorders>
            <w:shd w:val="clear" w:color="auto" w:fill="FFFFFF"/>
            <w:vAlign w:val="center"/>
          </w:tcPr>
          <w:p w14:paraId="31E270CC">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w:t>
            </w:r>
          </w:p>
        </w:tc>
        <w:tc>
          <w:tcPr>
            <w:tcBorders>
              <w:top w:val="single" w:color="auto" w:sz="4" w:space="0"/>
              <w:left w:val="single" w:color="auto" w:sz="4" w:space="0"/>
            </w:tcBorders>
            <w:shd w:val="clear" w:color="auto" w:fill="FFFFFF"/>
            <w:vAlign w:val="center"/>
          </w:tcPr>
          <w:p w14:paraId="6D1B92F2">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w:t>
            </w:r>
          </w:p>
        </w:tc>
        <w:tc>
          <w:tcPr>
            <w:tcBorders>
              <w:top w:val="single" w:color="auto" w:sz="4" w:space="0"/>
              <w:left w:val="single" w:color="auto" w:sz="4" w:space="0"/>
            </w:tcBorders>
            <w:shd w:val="clear" w:color="auto" w:fill="FFFFFF"/>
            <w:vAlign w:val="center"/>
          </w:tcPr>
          <w:p w14:paraId="68EC0B42">
            <w:pPr>
              <w:keepNext w:val="0"/>
              <w:keepLines w:val="0"/>
              <w:widowControl w:val="0"/>
              <w:shd w:val="clear" w:color="auto" w:fill="auto"/>
              <w:bidi w:val="0"/>
              <w:spacing w:before="0" w:after="0" w:line="247"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极易产生污染</w:t>
            </w:r>
          </w:p>
        </w:tc>
        <w:tc>
          <w:tcPr>
            <w:tcBorders>
              <w:top w:val="single" w:color="auto" w:sz="4" w:space="0"/>
              <w:left w:val="single" w:color="auto" w:sz="4" w:space="0"/>
              <w:right w:val="single" w:color="auto" w:sz="4" w:space="0"/>
            </w:tcBorders>
            <w:shd w:val="clear" w:color="auto" w:fill="FFFFFF"/>
            <w:vAlign w:val="center"/>
          </w:tcPr>
          <w:p w14:paraId="54446CAF">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否</w:t>
            </w:r>
          </w:p>
        </w:tc>
      </w:tr>
      <w:tr w14:paraId="7D900879">
        <w:tblPrEx>
          <w:tblCellMar>
            <w:top w:w="0" w:type="dxa"/>
            <w:left w:w="10" w:type="dxa"/>
            <w:bottom w:w="0" w:type="dxa"/>
            <w:right w:w="10" w:type="dxa"/>
          </w:tblCellMar>
        </w:tblPrEx>
        <w:trPr>
          <w:trHeight w:val="605" w:hRule="exact"/>
          <w:jc w:val="center"/>
        </w:trPr>
        <w:tc>
          <w:tcPr>
            <w:tcBorders>
              <w:top w:val="single" w:color="auto" w:sz="4" w:space="0"/>
              <w:left w:val="single" w:color="auto" w:sz="4" w:space="0"/>
              <w:bottom w:val="single" w:color="auto" w:sz="4" w:space="0"/>
            </w:tcBorders>
            <w:shd w:val="clear" w:color="auto" w:fill="FFFFFF"/>
            <w:vAlign w:val="center"/>
          </w:tcPr>
          <w:p w14:paraId="7633DFC4">
            <w:pPr>
              <w:keepNext w:val="0"/>
              <w:keepLines w:val="0"/>
              <w:widowControl w:val="0"/>
              <w:shd w:val="clear" w:color="auto" w:fill="auto"/>
              <w:bidi w:val="0"/>
              <w:spacing w:before="0" w:after="0" w:line="226"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密闭不渗漏的进、出料口</w:t>
            </w:r>
          </w:p>
        </w:tc>
        <w:tc>
          <w:tcPr>
            <w:tcBorders>
              <w:top w:val="single" w:color="auto" w:sz="4" w:space="0"/>
              <w:left w:val="single" w:color="auto" w:sz="4" w:space="0"/>
              <w:bottom w:val="single" w:color="auto" w:sz="4" w:space="0"/>
            </w:tcBorders>
            <w:shd w:val="clear" w:color="auto" w:fill="FFFFFF"/>
            <w:vAlign w:val="center"/>
          </w:tcPr>
          <w:p w14:paraId="67F7BCF9">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溢流收集装</w:t>
            </w:r>
          </w:p>
          <w:p w14:paraId="0047AD98">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置</w:t>
            </w:r>
          </w:p>
        </w:tc>
        <w:tc>
          <w:tcPr>
            <w:tcBorders>
              <w:top w:val="single" w:color="auto" w:sz="4" w:space="0"/>
              <w:left w:val="single" w:color="auto" w:sz="4" w:space="0"/>
              <w:bottom w:val="single" w:color="auto" w:sz="4" w:space="0"/>
            </w:tcBorders>
            <w:shd w:val="clear" w:color="auto" w:fill="FFFFFF"/>
            <w:vAlign w:val="center"/>
          </w:tcPr>
          <w:p w14:paraId="32E6EA3D">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tcBorders>
              <w:top w:val="single" w:color="auto" w:sz="4" w:space="0"/>
              <w:left w:val="single" w:color="auto" w:sz="4" w:space="0"/>
              <w:bottom w:val="single" w:color="auto" w:sz="4" w:space="0"/>
            </w:tcBorders>
            <w:shd w:val="clear" w:color="auto" w:fill="FFFFFF"/>
            <w:vAlign w:val="center"/>
          </w:tcPr>
          <w:p w14:paraId="6723F4A2">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tcBorders>
              <w:top w:val="single" w:color="auto" w:sz="4" w:space="0"/>
              <w:left w:val="single" w:color="auto" w:sz="4" w:space="0"/>
              <w:bottom w:val="single" w:color="auto" w:sz="4" w:space="0"/>
            </w:tcBorders>
            <w:shd w:val="clear" w:color="auto" w:fill="FFFFFF"/>
            <w:vAlign w:val="center"/>
          </w:tcPr>
          <w:p w14:paraId="20716693">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完善管理</w:t>
            </w:r>
          </w:p>
        </w:tc>
        <w:tc>
          <w:tcPr>
            <w:tcBorders>
              <w:top w:val="single" w:color="auto" w:sz="4" w:space="0"/>
              <w:left w:val="single" w:color="auto" w:sz="4" w:space="0"/>
              <w:bottom w:val="single" w:color="auto" w:sz="4" w:space="0"/>
            </w:tcBorders>
            <w:shd w:val="clear" w:color="auto" w:fill="FFFFFF"/>
            <w:vAlign w:val="center"/>
          </w:tcPr>
          <w:p w14:paraId="2704F802">
            <w:pPr>
              <w:keepNext w:val="0"/>
              <w:keepLines w:val="0"/>
              <w:widowControl w:val="0"/>
              <w:shd w:val="clear" w:color="auto" w:fill="auto"/>
              <w:bidi w:val="0"/>
              <w:spacing w:before="0" w:after="0" w:line="240" w:lineRule="auto"/>
              <w:ind w:left="0" w:right="0" w:firstLine="26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可忽略</w:t>
            </w:r>
          </w:p>
        </w:tc>
        <w:tc>
          <w:tcPr>
            <w:tcBorders>
              <w:top w:val="single" w:color="auto" w:sz="4" w:space="0"/>
              <w:left w:val="single" w:color="auto" w:sz="4" w:space="0"/>
              <w:bottom w:val="single" w:color="auto" w:sz="4" w:space="0"/>
              <w:right w:val="single" w:color="auto" w:sz="4" w:space="0"/>
            </w:tcBorders>
            <w:shd w:val="clear" w:color="auto" w:fill="FFFFFF"/>
            <w:vAlign w:val="center"/>
          </w:tcPr>
          <w:p w14:paraId="3571FA19">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否</w:t>
            </w:r>
          </w:p>
        </w:tc>
      </w:tr>
    </w:tbl>
    <w:p w14:paraId="559F5286">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经现场排查：石柱</w:t>
      </w:r>
      <w:r>
        <w:rPr>
          <w:rFonts w:hint="eastAsia" w:ascii="仿宋_GB2312" w:hAnsi="仿宋_GB2312" w:eastAsia="仿宋_GB2312" w:cs="仿宋_GB2312"/>
          <w:lang w:val="en-US" w:eastAsia="zh-CN"/>
        </w:rPr>
        <w:t>县海创环保科技有限责任公司内</w:t>
      </w:r>
      <w:r>
        <w:rPr>
          <w:rFonts w:hint="eastAsia" w:ascii="仿宋_GB2312" w:hAnsi="仿宋_GB2312" w:eastAsia="仿宋_GB2312" w:cs="仿宋_GB2312"/>
          <w:lang w:eastAsia="zh-CN"/>
        </w:rPr>
        <w:t>无散状液体转运，</w:t>
      </w:r>
      <w:r>
        <w:rPr>
          <w:rFonts w:hint="eastAsia" w:ascii="仿宋_GB2312" w:hAnsi="仿宋_GB2312" w:eastAsia="仿宋_GB2312" w:cs="仿宋_GB2312"/>
          <w:lang w:val="en-US" w:eastAsia="zh-CN"/>
        </w:rPr>
        <w:t>进场垃圾卸货集中在卸料大厅，卸料大厅已做防渗漏处理，进出门有收集沟</w:t>
      </w:r>
      <w:r>
        <w:rPr>
          <w:rFonts w:hint="eastAsia" w:ascii="仿宋_GB2312" w:hAnsi="仿宋_GB2312" w:eastAsia="仿宋_GB2312" w:cs="仿宋_GB2312"/>
          <w:lang w:eastAsia="zh-CN"/>
        </w:rPr>
        <w:t>，不存在导致土壤污染的风险，因此该区域隐患等级为“可忽略”。</w:t>
      </w:r>
    </w:p>
    <w:p w14:paraId="18FD070B">
      <w:pPr>
        <w:pStyle w:val="27"/>
        <w:bidi w:val="0"/>
        <w:rPr>
          <w:rFonts w:hint="eastAsia"/>
          <w:lang w:eastAsia="zh-CN"/>
        </w:rPr>
      </w:pP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2</w:t>
      </w:r>
      <w:r>
        <w:rPr>
          <w:rFonts w:hint="eastAsia" w:ascii="仿宋_GB2312" w:hAnsi="仿宋_GB2312" w:eastAsia="仿宋_GB2312" w:cs="仿宋_GB2312"/>
          <w:lang w:eastAsia="zh-CN"/>
        </w:rPr>
        <w:t>）开口桶的输运</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790"/>
        <w:gridCol w:w="1286"/>
        <w:gridCol w:w="994"/>
        <w:gridCol w:w="1123"/>
        <w:gridCol w:w="1258"/>
        <w:gridCol w:w="1195"/>
        <w:gridCol w:w="1286"/>
      </w:tblGrid>
      <w:tr w14:paraId="5013F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27" w:hRule="exact"/>
          <w:jc w:val="center"/>
        </w:trPr>
        <w:tc>
          <w:tcPr>
            <w:gridSpan w:val="2"/>
            <w:shd w:val="clear" w:color="auto" w:fill="FFFFFF"/>
            <w:vAlign w:val="center"/>
          </w:tcPr>
          <w:p w14:paraId="44ECE48D">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系统设计</w:t>
            </w:r>
          </w:p>
        </w:tc>
        <w:tc>
          <w:tcPr>
            <w:gridSpan w:val="4"/>
            <w:shd w:val="clear" w:color="auto" w:fill="FFFFFF"/>
            <w:vAlign w:val="center"/>
          </w:tcPr>
          <w:p w14:paraId="7C006FC2">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日常运行管理</w:t>
            </w:r>
          </w:p>
        </w:tc>
        <w:tc>
          <w:tcPr>
            <w:vMerge w:val="restart"/>
            <w:shd w:val="clear" w:color="auto" w:fill="FFFFFF"/>
            <w:vAlign w:val="center"/>
          </w:tcPr>
          <w:p w14:paraId="465F409C">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本项目是否涉及</w:t>
            </w:r>
          </w:p>
        </w:tc>
      </w:tr>
      <w:tr w14:paraId="5F71B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5" w:hRule="exact"/>
          <w:jc w:val="center"/>
        </w:trPr>
        <w:tc>
          <w:tcPr>
            <w:shd w:val="clear" w:color="auto" w:fill="FFFFFF"/>
            <w:vAlign w:val="center"/>
          </w:tcPr>
          <w:p w14:paraId="4E498BD7">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施工/设计</w:t>
            </w:r>
          </w:p>
        </w:tc>
        <w:tc>
          <w:tcPr>
            <w:shd w:val="clear" w:color="auto" w:fill="FFFFFF"/>
            <w:vAlign w:val="center"/>
          </w:tcPr>
          <w:p w14:paraId="13C1E9AC">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重点</w:t>
            </w:r>
          </w:p>
        </w:tc>
        <w:tc>
          <w:tcPr>
            <w:shd w:val="clear" w:color="auto" w:fill="FFFFFF"/>
            <w:vAlign w:val="center"/>
          </w:tcPr>
          <w:p w14:paraId="7AE5F3D9">
            <w:pPr>
              <w:keepNext w:val="0"/>
              <w:keepLines w:val="0"/>
              <w:widowControl w:val="0"/>
              <w:shd w:val="clear" w:color="auto" w:fill="auto"/>
              <w:bidi w:val="0"/>
              <w:spacing w:before="0" w:after="0" w:line="250"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特殊运行维护</w:t>
            </w:r>
          </w:p>
        </w:tc>
        <w:tc>
          <w:tcPr>
            <w:shd w:val="clear" w:color="auto" w:fill="FFFFFF"/>
            <w:vAlign w:val="center"/>
          </w:tcPr>
          <w:p w14:paraId="322335F8">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监测</w:t>
            </w:r>
          </w:p>
        </w:tc>
        <w:tc>
          <w:tcPr>
            <w:shd w:val="clear" w:color="auto" w:fill="FFFFFF"/>
            <w:vAlign w:val="center"/>
          </w:tcPr>
          <w:p w14:paraId="1DB950A8">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事故管理</w:t>
            </w:r>
          </w:p>
        </w:tc>
        <w:tc>
          <w:tcPr>
            <w:shd w:val="clear" w:color="auto" w:fill="FFFFFF"/>
            <w:vAlign w:val="center"/>
          </w:tcPr>
          <w:p w14:paraId="35B1F4A6">
            <w:pPr>
              <w:keepNext w:val="0"/>
              <w:keepLines w:val="0"/>
              <w:widowControl w:val="0"/>
              <w:shd w:val="clear" w:color="auto" w:fill="auto"/>
              <w:bidi w:val="0"/>
              <w:spacing w:before="0" w:after="0" w:line="245"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土壤污染可能性</w:t>
            </w:r>
          </w:p>
        </w:tc>
        <w:tc>
          <w:tcPr>
            <w:vMerge w:val="continue"/>
            <w:shd w:val="clear" w:color="auto" w:fill="FFFFFF"/>
            <w:vAlign w:val="center"/>
          </w:tcPr>
          <w:p w14:paraId="7FFF9A2B">
            <w:pPr>
              <w:shd w:val="clear" w:color="auto" w:fill="auto"/>
              <w:jc w:val="center"/>
              <w:rPr>
                <w:rFonts w:hint="eastAsia" w:ascii="仿宋_GB2312" w:hAnsi="仿宋_GB2312" w:eastAsia="仿宋_GB2312" w:cs="仿宋_GB2312"/>
                <w:b w:val="0"/>
                <w:bCs w:val="0"/>
                <w:sz w:val="21"/>
                <w:szCs w:val="21"/>
              </w:rPr>
            </w:pPr>
          </w:p>
        </w:tc>
      </w:tr>
      <w:tr w14:paraId="194EB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5" w:hRule="exact"/>
          <w:jc w:val="center"/>
        </w:trPr>
        <w:tc>
          <w:tcPr>
            <w:shd w:val="clear" w:color="auto" w:fill="FFFFFF"/>
            <w:vAlign w:val="center"/>
          </w:tcPr>
          <w:p w14:paraId="1FECBFD9">
            <w:pPr>
              <w:keepNext w:val="0"/>
              <w:keepLines w:val="0"/>
              <w:widowControl w:val="0"/>
              <w:shd w:val="clear" w:color="auto" w:fill="auto"/>
              <w:bidi w:val="0"/>
              <w:spacing w:before="0" w:after="0" w:line="245"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无防渗措施开口桶运输</w:t>
            </w:r>
          </w:p>
        </w:tc>
        <w:tc>
          <w:tcPr>
            <w:shd w:val="clear" w:color="auto" w:fill="FFFFFF"/>
            <w:vAlign w:val="center"/>
          </w:tcPr>
          <w:p w14:paraId="5727F516">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溢流、撒落</w:t>
            </w:r>
          </w:p>
        </w:tc>
        <w:tc>
          <w:tcPr>
            <w:shd w:val="clear" w:color="auto" w:fill="FFFFFF"/>
            <w:vAlign w:val="center"/>
          </w:tcPr>
          <w:p w14:paraId="003F361C">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w:t>
            </w:r>
          </w:p>
        </w:tc>
        <w:tc>
          <w:tcPr>
            <w:shd w:val="clear" w:color="auto" w:fill="FFFFFF"/>
            <w:vAlign w:val="center"/>
          </w:tcPr>
          <w:p w14:paraId="13090442">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w:t>
            </w:r>
          </w:p>
        </w:tc>
        <w:tc>
          <w:tcPr>
            <w:shd w:val="clear" w:color="auto" w:fill="FFFFFF"/>
            <w:vAlign w:val="center"/>
          </w:tcPr>
          <w:p w14:paraId="41290EEC">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w:t>
            </w:r>
          </w:p>
        </w:tc>
        <w:tc>
          <w:tcPr>
            <w:shd w:val="clear" w:color="auto" w:fill="FFFFFF"/>
            <w:vAlign w:val="center"/>
          </w:tcPr>
          <w:p w14:paraId="013B70AF">
            <w:pPr>
              <w:keepNext w:val="0"/>
              <w:keepLines w:val="0"/>
              <w:widowControl w:val="0"/>
              <w:shd w:val="clear" w:color="auto" w:fill="auto"/>
              <w:bidi w:val="0"/>
              <w:spacing w:before="0" w:after="0" w:line="245"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极易造成污染</w:t>
            </w:r>
          </w:p>
        </w:tc>
        <w:tc>
          <w:tcPr>
            <w:shd w:val="clear" w:color="auto" w:fill="FFFFFF"/>
            <w:vAlign w:val="center"/>
          </w:tcPr>
          <w:p w14:paraId="3798D8BD">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否</w:t>
            </w:r>
          </w:p>
        </w:tc>
      </w:tr>
      <w:tr w14:paraId="32837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5" w:hRule="exact"/>
          <w:jc w:val="center"/>
        </w:trPr>
        <w:tc>
          <w:tcPr>
            <w:shd w:val="clear" w:color="auto" w:fill="FFFFFF"/>
            <w:vAlign w:val="center"/>
          </w:tcPr>
          <w:p w14:paraId="186EBF27">
            <w:pPr>
              <w:keepNext w:val="0"/>
              <w:keepLines w:val="0"/>
              <w:widowControl w:val="0"/>
              <w:shd w:val="clear" w:color="auto" w:fill="auto"/>
              <w:bidi w:val="0"/>
              <w:spacing w:before="0" w:after="0" w:line="226"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有防渗措施开口桶运输</w:t>
            </w:r>
          </w:p>
        </w:tc>
        <w:tc>
          <w:tcPr>
            <w:shd w:val="clear" w:color="auto" w:fill="FFFFFF"/>
            <w:vAlign w:val="center"/>
          </w:tcPr>
          <w:p w14:paraId="60CE75C1">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溢流、撒落</w:t>
            </w:r>
          </w:p>
        </w:tc>
        <w:tc>
          <w:tcPr>
            <w:shd w:val="clear" w:color="auto" w:fill="FFFFFF"/>
            <w:vAlign w:val="center"/>
          </w:tcPr>
          <w:p w14:paraId="18F03014">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shd w:val="clear" w:color="auto" w:fill="FFFFFF"/>
            <w:vAlign w:val="center"/>
          </w:tcPr>
          <w:p w14:paraId="05CB708B">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定期监测</w:t>
            </w:r>
          </w:p>
        </w:tc>
        <w:tc>
          <w:tcPr>
            <w:shd w:val="clear" w:color="auto" w:fill="FFFFFF"/>
            <w:vAlign w:val="center"/>
          </w:tcPr>
          <w:p w14:paraId="047E823E">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shd w:val="clear" w:color="auto" w:fill="FFFFFF"/>
            <w:vAlign w:val="center"/>
          </w:tcPr>
          <w:p w14:paraId="63464929">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易造成污染</w:t>
            </w:r>
          </w:p>
        </w:tc>
        <w:tc>
          <w:tcPr>
            <w:shd w:val="clear" w:color="auto" w:fill="FFFFFF"/>
            <w:vAlign w:val="center"/>
          </w:tcPr>
          <w:p w14:paraId="550950F7">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否</w:t>
            </w:r>
          </w:p>
        </w:tc>
      </w:tr>
      <w:tr w14:paraId="1223C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90" w:hRule="exact"/>
          <w:jc w:val="center"/>
        </w:trPr>
        <w:tc>
          <w:tcPr>
            <w:shd w:val="clear" w:color="auto" w:fill="FFFFFF"/>
            <w:vAlign w:val="center"/>
          </w:tcPr>
          <w:p w14:paraId="7EB79207">
            <w:pPr>
              <w:keepNext w:val="0"/>
              <w:keepLines w:val="0"/>
              <w:widowControl w:val="0"/>
              <w:shd w:val="clear" w:color="auto" w:fill="auto"/>
              <w:bidi w:val="0"/>
              <w:spacing w:before="0" w:after="0" w:line="245"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不渗漏密闭设施运输</w:t>
            </w:r>
          </w:p>
        </w:tc>
        <w:tc>
          <w:tcPr>
            <w:shd w:val="clear" w:color="auto" w:fill="FFFFFF"/>
            <w:vAlign w:val="center"/>
          </w:tcPr>
          <w:p w14:paraId="288AC655">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溢流、撒落</w:t>
            </w:r>
          </w:p>
        </w:tc>
        <w:tc>
          <w:tcPr>
            <w:shd w:val="clear" w:color="auto" w:fill="FFFFFF"/>
            <w:vAlign w:val="center"/>
          </w:tcPr>
          <w:p w14:paraId="2BC2F1F6">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shd w:val="clear" w:color="auto" w:fill="FFFFFF"/>
            <w:vAlign w:val="center"/>
          </w:tcPr>
          <w:p w14:paraId="4F50DF08">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定期监测</w:t>
            </w:r>
          </w:p>
        </w:tc>
        <w:tc>
          <w:tcPr>
            <w:shd w:val="clear" w:color="auto" w:fill="FFFFFF"/>
            <w:vAlign w:val="center"/>
          </w:tcPr>
          <w:p w14:paraId="3046F860">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shd w:val="clear" w:color="auto" w:fill="FFFFFF"/>
            <w:vAlign w:val="center"/>
          </w:tcPr>
          <w:p w14:paraId="521770FE">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可忽略</w:t>
            </w:r>
          </w:p>
        </w:tc>
        <w:tc>
          <w:tcPr>
            <w:shd w:val="clear" w:color="auto" w:fill="FFFFFF"/>
            <w:vAlign w:val="center"/>
          </w:tcPr>
          <w:p w14:paraId="1373D234">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否</w:t>
            </w:r>
          </w:p>
        </w:tc>
      </w:tr>
    </w:tbl>
    <w:p w14:paraId="777C4E65">
      <w:pPr>
        <w:pStyle w:val="27"/>
        <w:bidi w:val="0"/>
        <w:rPr>
          <w:rFonts w:hint="eastAsia" w:ascii="仿宋_GB2312" w:hAnsi="仿宋_GB2312" w:eastAsia="仿宋_GB2312" w:cs="仿宋_GB2312"/>
          <w:color w:val="000000"/>
          <w:spacing w:val="0"/>
          <w:w w:val="100"/>
          <w:position w:val="0"/>
          <w:lang w:eastAsia="zh-CN"/>
        </w:rPr>
      </w:pPr>
      <w:r>
        <w:rPr>
          <w:rFonts w:hint="eastAsia" w:ascii="仿宋_GB2312" w:hAnsi="仿宋_GB2312" w:eastAsia="仿宋_GB2312" w:cs="仿宋_GB2312"/>
          <w:lang w:eastAsia="zh-CN"/>
        </w:rPr>
        <w:t>经现场排查，厂区内不涉及开口桶的输运。</w:t>
      </w:r>
    </w:p>
    <w:p w14:paraId="7228BC7D">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3</w:t>
      </w:r>
      <w:r>
        <w:rPr>
          <w:rFonts w:hint="eastAsia" w:ascii="仿宋_GB2312" w:hAnsi="仿宋_GB2312" w:eastAsia="仿宋_GB2312" w:cs="仿宋_GB2312"/>
          <w:lang w:eastAsia="zh-CN"/>
        </w:rPr>
        <w:t>）泵传输</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829"/>
        <w:gridCol w:w="1315"/>
        <w:gridCol w:w="1008"/>
        <w:gridCol w:w="1142"/>
        <w:gridCol w:w="1286"/>
        <w:gridCol w:w="1224"/>
        <w:gridCol w:w="1306"/>
      </w:tblGrid>
      <w:tr w14:paraId="78E96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40" w:hRule="exact"/>
          <w:jc w:val="center"/>
        </w:trPr>
        <w:tc>
          <w:tcPr>
            <w:gridSpan w:val="2"/>
            <w:shd w:val="clear" w:color="auto" w:fill="FFFFFF"/>
            <w:vAlign w:val="center"/>
          </w:tcPr>
          <w:p w14:paraId="58ED20C0">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系统设计</w:t>
            </w:r>
          </w:p>
        </w:tc>
        <w:tc>
          <w:tcPr>
            <w:gridSpan w:val="4"/>
            <w:shd w:val="clear" w:color="auto" w:fill="FFFFFF"/>
            <w:vAlign w:val="center"/>
          </w:tcPr>
          <w:p w14:paraId="54898C8A">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日常运行管理</w:t>
            </w:r>
          </w:p>
        </w:tc>
        <w:tc>
          <w:tcPr>
            <w:vMerge w:val="restart"/>
            <w:shd w:val="clear" w:color="auto" w:fill="FFFFFF"/>
            <w:vAlign w:val="center"/>
          </w:tcPr>
          <w:p w14:paraId="386E8411">
            <w:pPr>
              <w:keepNext w:val="0"/>
              <w:keepLines w:val="0"/>
              <w:widowControl w:val="0"/>
              <w:shd w:val="clear" w:color="auto" w:fill="auto"/>
              <w:bidi w:val="0"/>
              <w:spacing w:before="0" w:after="0" w:line="245"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本项目是否涉及</w:t>
            </w:r>
          </w:p>
        </w:tc>
      </w:tr>
      <w:tr w14:paraId="5AE4A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52" w:hRule="exact"/>
          <w:jc w:val="center"/>
        </w:trPr>
        <w:tc>
          <w:tcPr>
            <w:shd w:val="clear" w:color="auto" w:fill="FFFFFF"/>
            <w:vAlign w:val="center"/>
          </w:tcPr>
          <w:p w14:paraId="4942856E">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施工/设计</w:t>
            </w:r>
          </w:p>
        </w:tc>
        <w:tc>
          <w:tcPr>
            <w:shd w:val="clear" w:color="auto" w:fill="FFFFFF"/>
            <w:vAlign w:val="center"/>
          </w:tcPr>
          <w:p w14:paraId="4670D627">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重点</w:t>
            </w:r>
          </w:p>
        </w:tc>
        <w:tc>
          <w:tcPr>
            <w:shd w:val="clear" w:color="auto" w:fill="FFFFFF"/>
            <w:vAlign w:val="center"/>
          </w:tcPr>
          <w:p w14:paraId="40EA72CB">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特殊运行维护</w:t>
            </w:r>
          </w:p>
        </w:tc>
        <w:tc>
          <w:tcPr>
            <w:shd w:val="clear" w:color="auto" w:fill="FFFFFF"/>
            <w:vAlign w:val="center"/>
          </w:tcPr>
          <w:p w14:paraId="3F1235B5">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监测</w:t>
            </w:r>
          </w:p>
        </w:tc>
        <w:tc>
          <w:tcPr>
            <w:shd w:val="clear" w:color="auto" w:fill="FFFFFF"/>
            <w:vAlign w:val="center"/>
          </w:tcPr>
          <w:p w14:paraId="5ACAAE52">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事故管理</w:t>
            </w:r>
          </w:p>
        </w:tc>
        <w:tc>
          <w:tcPr>
            <w:shd w:val="clear" w:color="auto" w:fill="FFFFFF"/>
            <w:vAlign w:val="center"/>
          </w:tcPr>
          <w:p w14:paraId="44F4ACC0">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土壤污染可能性</w:t>
            </w:r>
          </w:p>
        </w:tc>
        <w:tc>
          <w:tcPr>
            <w:vMerge w:val="continue"/>
            <w:shd w:val="clear" w:color="auto" w:fill="FFFFFF"/>
            <w:vAlign w:val="center"/>
          </w:tcPr>
          <w:p w14:paraId="3F10C4AB">
            <w:pPr>
              <w:shd w:val="clear" w:color="auto" w:fill="auto"/>
              <w:jc w:val="center"/>
              <w:rPr>
                <w:rFonts w:hint="eastAsia" w:ascii="仿宋_GB2312" w:hAnsi="仿宋_GB2312" w:eastAsia="仿宋_GB2312" w:cs="仿宋_GB2312"/>
                <w:b w:val="0"/>
                <w:bCs w:val="0"/>
                <w:sz w:val="21"/>
                <w:szCs w:val="21"/>
              </w:rPr>
            </w:pPr>
          </w:p>
        </w:tc>
      </w:tr>
      <w:tr w14:paraId="55A8C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57" w:hRule="exact"/>
          <w:jc w:val="center"/>
        </w:trPr>
        <w:tc>
          <w:tcPr>
            <w:shd w:val="clear" w:color="auto" w:fill="FFFFFF"/>
            <w:vAlign w:val="center"/>
          </w:tcPr>
          <w:p w14:paraId="0831CA68">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无防护设施泵</w:t>
            </w:r>
          </w:p>
        </w:tc>
        <w:tc>
          <w:tcPr>
            <w:shd w:val="clear" w:color="auto" w:fill="FFFFFF"/>
            <w:vAlign w:val="center"/>
          </w:tcPr>
          <w:p w14:paraId="7349DE01">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齿轮、轴承</w:t>
            </w:r>
          </w:p>
        </w:tc>
        <w:tc>
          <w:tcPr>
            <w:shd w:val="clear" w:color="auto" w:fill="FFFFFF"/>
            <w:vAlign w:val="center"/>
          </w:tcPr>
          <w:p w14:paraId="1EED6739">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shd w:val="clear" w:color="auto" w:fill="FFFFFF"/>
            <w:vAlign w:val="center"/>
          </w:tcPr>
          <w:p w14:paraId="6115F106">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泵观测</w:t>
            </w:r>
          </w:p>
        </w:tc>
        <w:tc>
          <w:tcPr>
            <w:shd w:val="clear" w:color="auto" w:fill="FFFFFF"/>
            <w:vAlign w:val="center"/>
          </w:tcPr>
          <w:p w14:paraId="111929A6">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w:t>
            </w:r>
          </w:p>
        </w:tc>
        <w:tc>
          <w:tcPr>
            <w:shd w:val="clear" w:color="auto" w:fill="FFFFFF"/>
            <w:vAlign w:val="center"/>
          </w:tcPr>
          <w:p w14:paraId="30DF4076">
            <w:pPr>
              <w:keepNext w:val="0"/>
              <w:keepLines w:val="0"/>
              <w:widowControl w:val="0"/>
              <w:shd w:val="clear" w:color="auto" w:fill="auto"/>
              <w:bidi w:val="0"/>
              <w:spacing w:before="0" w:after="0" w:line="259"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极易造成污染</w:t>
            </w:r>
          </w:p>
        </w:tc>
        <w:tc>
          <w:tcPr>
            <w:shd w:val="clear" w:color="auto" w:fill="FFFFFF"/>
            <w:vAlign w:val="center"/>
          </w:tcPr>
          <w:p w14:paraId="18959E51">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否</w:t>
            </w:r>
          </w:p>
        </w:tc>
      </w:tr>
      <w:tr w14:paraId="087AD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52" w:hRule="exact"/>
          <w:jc w:val="center"/>
        </w:trPr>
        <w:tc>
          <w:tcPr>
            <w:shd w:val="clear" w:color="auto" w:fill="FFFFFF"/>
            <w:vAlign w:val="center"/>
          </w:tcPr>
          <w:p w14:paraId="6FC3C9A0">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有防护设施的泵</w:t>
            </w:r>
          </w:p>
        </w:tc>
        <w:tc>
          <w:tcPr>
            <w:shd w:val="clear" w:color="auto" w:fill="FFFFFF"/>
            <w:vAlign w:val="center"/>
          </w:tcPr>
          <w:p w14:paraId="6500C989">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齿轮、轴承</w:t>
            </w:r>
          </w:p>
        </w:tc>
        <w:tc>
          <w:tcPr>
            <w:shd w:val="clear" w:color="auto" w:fill="FFFFFF"/>
            <w:vAlign w:val="center"/>
          </w:tcPr>
          <w:p w14:paraId="33247AA7">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w:t>
            </w:r>
          </w:p>
        </w:tc>
        <w:tc>
          <w:tcPr>
            <w:shd w:val="clear" w:color="auto" w:fill="FFFFFF"/>
            <w:vAlign w:val="center"/>
          </w:tcPr>
          <w:p w14:paraId="4BB9B9F1">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泵观测</w:t>
            </w:r>
          </w:p>
        </w:tc>
        <w:tc>
          <w:tcPr>
            <w:shd w:val="clear" w:color="auto" w:fill="FFFFFF"/>
            <w:vAlign w:val="center"/>
          </w:tcPr>
          <w:p w14:paraId="124605F6">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w:t>
            </w:r>
          </w:p>
        </w:tc>
        <w:tc>
          <w:tcPr>
            <w:shd w:val="clear" w:color="auto" w:fill="FFFFFF"/>
            <w:vAlign w:val="center"/>
          </w:tcPr>
          <w:p w14:paraId="07F191B2">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易造成污染</w:t>
            </w:r>
          </w:p>
        </w:tc>
        <w:tc>
          <w:tcPr>
            <w:shd w:val="clear" w:color="auto" w:fill="FFFFFF"/>
            <w:vAlign w:val="center"/>
          </w:tcPr>
          <w:p w14:paraId="282AF02C">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否</w:t>
            </w:r>
          </w:p>
        </w:tc>
      </w:tr>
      <w:tr w14:paraId="2DF7A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52" w:hRule="exact"/>
          <w:jc w:val="center"/>
        </w:trPr>
        <w:tc>
          <w:tcPr>
            <w:shd w:val="clear" w:color="auto" w:fill="FFFFFF"/>
            <w:vAlign w:val="center"/>
          </w:tcPr>
          <w:p w14:paraId="4D296A26">
            <w:pPr>
              <w:keepNext w:val="0"/>
              <w:keepLines w:val="0"/>
              <w:widowControl w:val="0"/>
              <w:shd w:val="clear" w:color="auto" w:fill="auto"/>
              <w:bidi w:val="0"/>
              <w:spacing w:before="0" w:after="0" w:line="245"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没有溢流收集设施的泵</w:t>
            </w:r>
          </w:p>
        </w:tc>
        <w:tc>
          <w:tcPr>
            <w:shd w:val="clear" w:color="auto" w:fill="FFFFFF"/>
            <w:vAlign w:val="center"/>
          </w:tcPr>
          <w:p w14:paraId="134AAD57">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齿轮、轴承</w:t>
            </w:r>
          </w:p>
        </w:tc>
        <w:tc>
          <w:tcPr>
            <w:shd w:val="clear" w:color="auto" w:fill="FFFFFF"/>
            <w:vAlign w:val="center"/>
          </w:tcPr>
          <w:p w14:paraId="6D1CA0D5">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shd w:val="clear" w:color="auto" w:fill="FFFFFF"/>
            <w:vAlign w:val="center"/>
          </w:tcPr>
          <w:p w14:paraId="14F55007">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泵观测</w:t>
            </w:r>
          </w:p>
        </w:tc>
        <w:tc>
          <w:tcPr>
            <w:shd w:val="clear" w:color="auto" w:fill="FFFFFF"/>
            <w:vAlign w:val="center"/>
          </w:tcPr>
          <w:p w14:paraId="1409AF81">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w:t>
            </w:r>
          </w:p>
        </w:tc>
        <w:tc>
          <w:tcPr>
            <w:shd w:val="clear" w:color="auto" w:fill="FFFFFF"/>
            <w:vAlign w:val="center"/>
          </w:tcPr>
          <w:p w14:paraId="0281FD54">
            <w:pPr>
              <w:keepNext w:val="0"/>
              <w:keepLines w:val="0"/>
              <w:widowControl w:val="0"/>
              <w:shd w:val="clear" w:color="auto" w:fill="auto"/>
              <w:bidi w:val="0"/>
              <w:spacing w:before="0" w:after="0" w:line="259"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极易造成污染</w:t>
            </w:r>
          </w:p>
        </w:tc>
        <w:tc>
          <w:tcPr>
            <w:shd w:val="clear" w:color="auto" w:fill="FFFFFF"/>
            <w:vAlign w:val="center"/>
          </w:tcPr>
          <w:p w14:paraId="0EEC002B">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否</w:t>
            </w:r>
          </w:p>
        </w:tc>
      </w:tr>
      <w:tr w14:paraId="09B31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57" w:hRule="exact"/>
          <w:jc w:val="center"/>
        </w:trPr>
        <w:tc>
          <w:tcPr>
            <w:shd w:val="clear" w:color="auto" w:fill="FFFFFF"/>
            <w:vAlign w:val="center"/>
          </w:tcPr>
          <w:p w14:paraId="26771B27">
            <w:pPr>
              <w:keepNext w:val="0"/>
              <w:keepLines w:val="0"/>
              <w:widowControl w:val="0"/>
              <w:shd w:val="clear" w:color="auto" w:fill="auto"/>
              <w:bidi w:val="0"/>
              <w:spacing w:before="0" w:after="0" w:line="245"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无防护设施的普通泵</w:t>
            </w:r>
          </w:p>
        </w:tc>
        <w:tc>
          <w:tcPr>
            <w:shd w:val="clear" w:color="auto" w:fill="FFFFFF"/>
            <w:vAlign w:val="center"/>
          </w:tcPr>
          <w:p w14:paraId="72C35AFE">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齿轮、轴承</w:t>
            </w:r>
          </w:p>
        </w:tc>
        <w:tc>
          <w:tcPr>
            <w:shd w:val="clear" w:color="auto" w:fill="FFFFFF"/>
            <w:vAlign w:val="center"/>
          </w:tcPr>
          <w:p w14:paraId="473D3E19">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w:t>
            </w:r>
          </w:p>
        </w:tc>
        <w:tc>
          <w:tcPr>
            <w:shd w:val="clear" w:color="auto" w:fill="FFFFFF"/>
            <w:vAlign w:val="center"/>
          </w:tcPr>
          <w:p w14:paraId="2728759F">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泵观测</w:t>
            </w:r>
          </w:p>
        </w:tc>
        <w:tc>
          <w:tcPr>
            <w:shd w:val="clear" w:color="auto" w:fill="FFFFFF"/>
            <w:vAlign w:val="center"/>
          </w:tcPr>
          <w:p w14:paraId="4D987F5A">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完善管理</w:t>
            </w:r>
          </w:p>
        </w:tc>
        <w:tc>
          <w:tcPr>
            <w:shd w:val="clear" w:color="auto" w:fill="FFFFFF"/>
            <w:vAlign w:val="center"/>
          </w:tcPr>
          <w:p w14:paraId="001EB926">
            <w:pPr>
              <w:keepNext w:val="0"/>
              <w:keepLines w:val="0"/>
              <w:widowControl w:val="0"/>
              <w:shd w:val="clear" w:color="auto" w:fill="auto"/>
              <w:bidi w:val="0"/>
              <w:spacing w:before="0" w:after="0" w:line="259" w:lineRule="exact"/>
              <w:ind w:left="500" w:right="0" w:hanging="50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极易造成污染</w:t>
            </w:r>
          </w:p>
        </w:tc>
        <w:tc>
          <w:tcPr>
            <w:shd w:val="clear" w:color="auto" w:fill="FFFFFF"/>
            <w:vAlign w:val="center"/>
          </w:tcPr>
          <w:p w14:paraId="7F0A0362">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否</w:t>
            </w:r>
          </w:p>
        </w:tc>
      </w:tr>
      <w:tr w14:paraId="47281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57" w:hRule="exact"/>
          <w:jc w:val="center"/>
        </w:trPr>
        <w:tc>
          <w:tcPr>
            <w:shd w:val="clear" w:color="auto" w:fill="FFFFFF"/>
            <w:vAlign w:val="center"/>
          </w:tcPr>
          <w:p w14:paraId="0ECC6C6D">
            <w:pPr>
              <w:keepNext w:val="0"/>
              <w:keepLines w:val="0"/>
              <w:widowControl w:val="0"/>
              <w:shd w:val="clear" w:color="auto" w:fill="auto"/>
              <w:bidi w:val="0"/>
              <w:spacing w:before="0" w:after="0" w:line="259"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有防护设施的普通泵</w:t>
            </w:r>
          </w:p>
        </w:tc>
        <w:tc>
          <w:tcPr>
            <w:shd w:val="clear" w:color="auto" w:fill="FFFFFF"/>
            <w:vAlign w:val="center"/>
          </w:tcPr>
          <w:p w14:paraId="05B672CD">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齿轮、轴承</w:t>
            </w:r>
          </w:p>
        </w:tc>
        <w:tc>
          <w:tcPr>
            <w:shd w:val="clear" w:color="auto" w:fill="FFFFFF"/>
            <w:vAlign w:val="center"/>
          </w:tcPr>
          <w:p w14:paraId="27512A5C">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w:t>
            </w:r>
          </w:p>
        </w:tc>
        <w:tc>
          <w:tcPr>
            <w:shd w:val="clear" w:color="auto" w:fill="FFFFFF"/>
            <w:vAlign w:val="center"/>
          </w:tcPr>
          <w:p w14:paraId="3C4D799A">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泵观测</w:t>
            </w:r>
          </w:p>
        </w:tc>
        <w:tc>
          <w:tcPr>
            <w:shd w:val="clear" w:color="auto" w:fill="FFFFFF"/>
            <w:vAlign w:val="center"/>
          </w:tcPr>
          <w:p w14:paraId="4BF7F4CC">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完善管理</w:t>
            </w:r>
          </w:p>
        </w:tc>
        <w:tc>
          <w:tcPr>
            <w:shd w:val="clear" w:color="auto" w:fill="FFFFFF"/>
            <w:vAlign w:val="center"/>
          </w:tcPr>
          <w:p w14:paraId="7C90E587">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可能产生</w:t>
            </w:r>
          </w:p>
        </w:tc>
        <w:tc>
          <w:tcPr>
            <w:shd w:val="clear" w:color="auto" w:fill="FFFFFF"/>
            <w:vAlign w:val="center"/>
          </w:tcPr>
          <w:p w14:paraId="5D309A4C">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否</w:t>
            </w:r>
          </w:p>
        </w:tc>
      </w:tr>
      <w:tr w14:paraId="58282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6" w:hRule="exact"/>
          <w:jc w:val="center"/>
        </w:trPr>
        <w:tc>
          <w:tcPr>
            <w:shd w:val="clear" w:color="auto" w:fill="FFFFFF"/>
            <w:vAlign w:val="center"/>
          </w:tcPr>
          <w:p w14:paraId="37AA65FA">
            <w:pPr>
              <w:keepNext w:val="0"/>
              <w:keepLines w:val="0"/>
              <w:widowControl w:val="0"/>
              <w:shd w:val="clear" w:color="auto" w:fill="auto"/>
              <w:bidi w:val="0"/>
              <w:spacing w:before="0" w:after="0" w:line="226"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有溢流收集和防渗设施的普通泵</w:t>
            </w:r>
          </w:p>
        </w:tc>
        <w:tc>
          <w:tcPr>
            <w:shd w:val="clear" w:color="auto" w:fill="FFFFFF"/>
            <w:vAlign w:val="center"/>
          </w:tcPr>
          <w:p w14:paraId="44599B1B">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溢流口</w:t>
            </w:r>
          </w:p>
        </w:tc>
        <w:tc>
          <w:tcPr>
            <w:shd w:val="clear" w:color="auto" w:fill="FFFFFF"/>
            <w:vAlign w:val="center"/>
          </w:tcPr>
          <w:p w14:paraId="27141F4B">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shd w:val="clear" w:color="auto" w:fill="FFFFFF"/>
            <w:vAlign w:val="center"/>
          </w:tcPr>
          <w:p w14:paraId="4C6C5A36">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泵观测</w:t>
            </w:r>
          </w:p>
        </w:tc>
        <w:tc>
          <w:tcPr>
            <w:shd w:val="clear" w:color="auto" w:fill="FFFFFF"/>
            <w:vAlign w:val="center"/>
          </w:tcPr>
          <w:p w14:paraId="57AADABE">
            <w:pPr>
              <w:keepNext w:val="0"/>
              <w:keepLines w:val="0"/>
              <w:widowControl w:val="0"/>
              <w:shd w:val="clear" w:color="auto" w:fill="auto"/>
              <w:bidi w:val="0"/>
              <w:spacing w:before="0" w:after="0" w:line="235"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专业人员和设施</w:t>
            </w:r>
          </w:p>
        </w:tc>
        <w:tc>
          <w:tcPr>
            <w:shd w:val="clear" w:color="auto" w:fill="FFFFFF"/>
            <w:vAlign w:val="center"/>
          </w:tcPr>
          <w:p w14:paraId="38CDB7BC">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可忽略</w:t>
            </w:r>
          </w:p>
        </w:tc>
        <w:tc>
          <w:tcPr>
            <w:shd w:val="clear" w:color="auto" w:fill="FFFFFF"/>
            <w:vAlign w:val="center"/>
          </w:tcPr>
          <w:p w14:paraId="29CFD510">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CN"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en-US" w:eastAsia="zh-CN" w:bidi="zh-TW"/>
              </w:rPr>
              <w:t>是</w:t>
            </w:r>
          </w:p>
        </w:tc>
      </w:tr>
    </w:tbl>
    <w:p w14:paraId="4BE58D05">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经现场排查，厂区内涉及泵传输主要为：</w:t>
      </w:r>
      <w:r>
        <w:rPr>
          <w:rFonts w:hint="eastAsia" w:ascii="仿宋_GB2312" w:hAnsi="仿宋_GB2312" w:eastAsia="仿宋_GB2312" w:cs="仿宋_GB2312"/>
          <w:lang w:val="en-US" w:eastAsia="zh-CN"/>
        </w:rPr>
        <w:t>渣浆泵、除盐水泵</w:t>
      </w:r>
      <w:r>
        <w:rPr>
          <w:rFonts w:hint="eastAsia" w:ascii="仿宋_GB2312" w:hAnsi="仿宋_GB2312" w:eastAsia="仿宋_GB2312" w:cs="仿宋_GB2312"/>
          <w:lang w:eastAsia="zh-CN"/>
        </w:rPr>
        <w:t>。均为有防护设施的普通泵，泵传输区域均采采取抗渗混凝土进行防渗处理。各个泵均有防范措施，因此该区域隐患等级为“可忽略”。</w:t>
      </w:r>
    </w:p>
    <w:p w14:paraId="2E100145">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4</w:t>
      </w:r>
      <w:r>
        <w:rPr>
          <w:rFonts w:hint="eastAsia" w:ascii="仿宋_GB2312" w:hAnsi="仿宋_GB2312" w:eastAsia="仿宋_GB2312" w:cs="仿宋_GB2312"/>
          <w:lang w:eastAsia="zh-CN"/>
        </w:rPr>
        <w:t>）管道运输</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795"/>
        <w:gridCol w:w="1291"/>
        <w:gridCol w:w="994"/>
        <w:gridCol w:w="1123"/>
        <w:gridCol w:w="1258"/>
        <w:gridCol w:w="1205"/>
        <w:gridCol w:w="1286"/>
      </w:tblGrid>
      <w:tr w14:paraId="662FD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37" w:hRule="exact"/>
          <w:jc w:val="center"/>
        </w:trPr>
        <w:tc>
          <w:tcPr>
            <w:gridSpan w:val="2"/>
            <w:shd w:val="clear" w:color="auto" w:fill="FFFFFF"/>
            <w:vAlign w:val="center"/>
          </w:tcPr>
          <w:p w14:paraId="77DC6777">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系统设计</w:t>
            </w:r>
          </w:p>
        </w:tc>
        <w:tc>
          <w:tcPr>
            <w:gridSpan w:val="4"/>
            <w:shd w:val="clear" w:color="auto" w:fill="FFFFFF"/>
            <w:vAlign w:val="center"/>
          </w:tcPr>
          <w:p w14:paraId="620992EC">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日常运行管理</w:t>
            </w:r>
          </w:p>
        </w:tc>
        <w:tc>
          <w:tcPr>
            <w:vMerge w:val="restart"/>
            <w:shd w:val="clear" w:color="auto" w:fill="FFFFFF"/>
            <w:vAlign w:val="center"/>
          </w:tcPr>
          <w:p w14:paraId="6CB42158">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本项目是否涉及</w:t>
            </w:r>
          </w:p>
        </w:tc>
      </w:tr>
      <w:tr w14:paraId="66390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52" w:hRule="exact"/>
          <w:jc w:val="center"/>
        </w:trPr>
        <w:tc>
          <w:tcPr>
            <w:shd w:val="clear" w:color="auto" w:fill="FFFFFF"/>
            <w:vAlign w:val="center"/>
          </w:tcPr>
          <w:p w14:paraId="0A369EF0">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施工/设计</w:t>
            </w:r>
          </w:p>
        </w:tc>
        <w:tc>
          <w:tcPr>
            <w:shd w:val="clear" w:color="auto" w:fill="FFFFFF"/>
            <w:vAlign w:val="center"/>
          </w:tcPr>
          <w:p w14:paraId="6765215E">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重点</w:t>
            </w:r>
          </w:p>
        </w:tc>
        <w:tc>
          <w:tcPr>
            <w:shd w:val="clear" w:color="auto" w:fill="FFFFFF"/>
            <w:vAlign w:val="center"/>
          </w:tcPr>
          <w:p w14:paraId="7CB7EFB0">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特殊运行维护</w:t>
            </w:r>
          </w:p>
        </w:tc>
        <w:tc>
          <w:tcPr>
            <w:shd w:val="clear" w:color="auto" w:fill="FFFFFF"/>
            <w:vAlign w:val="center"/>
          </w:tcPr>
          <w:p w14:paraId="1D69ABD0">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监测</w:t>
            </w:r>
          </w:p>
        </w:tc>
        <w:tc>
          <w:tcPr>
            <w:shd w:val="clear" w:color="auto" w:fill="FFFFFF"/>
            <w:vAlign w:val="center"/>
          </w:tcPr>
          <w:p w14:paraId="408A160E">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事故管理</w:t>
            </w:r>
          </w:p>
        </w:tc>
        <w:tc>
          <w:tcPr>
            <w:shd w:val="clear" w:color="auto" w:fill="FFFFFF"/>
            <w:vAlign w:val="center"/>
          </w:tcPr>
          <w:p w14:paraId="36CA42DA">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土壤污染可能性</w:t>
            </w:r>
          </w:p>
        </w:tc>
        <w:tc>
          <w:tcPr>
            <w:vMerge w:val="continue"/>
            <w:shd w:val="clear" w:color="auto" w:fill="FFFFFF"/>
            <w:vAlign w:val="center"/>
          </w:tcPr>
          <w:p w14:paraId="3760214D">
            <w:pPr>
              <w:shd w:val="clear" w:color="auto" w:fill="auto"/>
              <w:jc w:val="center"/>
              <w:rPr>
                <w:rFonts w:hint="eastAsia" w:ascii="仿宋_GB2312" w:hAnsi="仿宋_GB2312" w:eastAsia="仿宋_GB2312" w:cs="仿宋_GB2312"/>
                <w:sz w:val="21"/>
                <w:szCs w:val="21"/>
              </w:rPr>
            </w:pPr>
          </w:p>
        </w:tc>
      </w:tr>
      <w:tr w14:paraId="76E53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52" w:hRule="exact"/>
          <w:jc w:val="center"/>
        </w:trPr>
        <w:tc>
          <w:tcPr>
            <w:shd w:val="clear" w:color="auto" w:fill="FFFFFF"/>
            <w:vAlign w:val="center"/>
          </w:tcPr>
          <w:p w14:paraId="636A9D0B">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无防渗设计的地下或提升管道</w:t>
            </w:r>
          </w:p>
        </w:tc>
        <w:tc>
          <w:tcPr>
            <w:shd w:val="clear" w:color="auto" w:fill="FFFFFF"/>
            <w:vAlign w:val="center"/>
          </w:tcPr>
          <w:p w14:paraId="2DB30E70">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阀门、法兰</w:t>
            </w:r>
          </w:p>
        </w:tc>
        <w:tc>
          <w:tcPr>
            <w:shd w:val="clear" w:color="auto" w:fill="FFFFFF"/>
            <w:vAlign w:val="center"/>
          </w:tcPr>
          <w:p w14:paraId="24F91B1B">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w:t>
            </w:r>
          </w:p>
        </w:tc>
        <w:tc>
          <w:tcPr>
            <w:shd w:val="clear" w:color="auto" w:fill="FFFFFF"/>
            <w:vAlign w:val="center"/>
          </w:tcPr>
          <w:p w14:paraId="028A8CDA">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w:t>
            </w:r>
          </w:p>
        </w:tc>
        <w:tc>
          <w:tcPr>
            <w:shd w:val="clear" w:color="auto" w:fill="FFFFFF"/>
            <w:vAlign w:val="center"/>
          </w:tcPr>
          <w:p w14:paraId="26A744E8">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shd w:val="clear" w:color="auto" w:fill="FFFFFF"/>
            <w:vAlign w:val="center"/>
          </w:tcPr>
          <w:p w14:paraId="06CE5AF1">
            <w:pPr>
              <w:keepNext w:val="0"/>
              <w:keepLines w:val="0"/>
              <w:widowControl w:val="0"/>
              <w:shd w:val="clear" w:color="auto" w:fill="auto"/>
              <w:bidi w:val="0"/>
              <w:spacing w:before="0" w:after="0" w:line="259" w:lineRule="exact"/>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极易产生污染</w:t>
            </w:r>
          </w:p>
        </w:tc>
        <w:tc>
          <w:tcPr>
            <w:shd w:val="clear" w:color="auto" w:fill="FFFFFF"/>
            <w:vAlign w:val="center"/>
          </w:tcPr>
          <w:p w14:paraId="5B02D841">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否</w:t>
            </w:r>
          </w:p>
        </w:tc>
      </w:tr>
      <w:tr w14:paraId="78CDF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70" w:hRule="exact"/>
          <w:jc w:val="center"/>
        </w:trPr>
        <w:tc>
          <w:tcPr>
            <w:shd w:val="clear" w:color="auto" w:fill="FFFFFF"/>
            <w:vAlign w:val="center"/>
          </w:tcPr>
          <w:p w14:paraId="3AC90DAE">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无防渗设计</w:t>
            </w:r>
          </w:p>
        </w:tc>
        <w:tc>
          <w:tcPr>
            <w:shd w:val="clear" w:color="auto" w:fill="FFFFFF"/>
            <w:vAlign w:val="center"/>
          </w:tcPr>
          <w:p w14:paraId="6AEDF271">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阀门、法兰</w:t>
            </w:r>
          </w:p>
        </w:tc>
        <w:tc>
          <w:tcPr>
            <w:shd w:val="clear" w:color="auto" w:fill="FFFFFF"/>
            <w:vAlign w:val="center"/>
          </w:tcPr>
          <w:p w14:paraId="142B936D">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shd w:val="clear" w:color="auto" w:fill="FFFFFF"/>
            <w:vAlign w:val="center"/>
          </w:tcPr>
          <w:p w14:paraId="46DE7E78">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定期检测</w:t>
            </w:r>
          </w:p>
        </w:tc>
        <w:tc>
          <w:tcPr>
            <w:shd w:val="clear" w:color="auto" w:fill="FFFFFF"/>
            <w:vAlign w:val="center"/>
          </w:tcPr>
          <w:p w14:paraId="425953E6">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shd w:val="clear" w:color="auto" w:fill="FFFFFF"/>
            <w:vAlign w:val="center"/>
          </w:tcPr>
          <w:p w14:paraId="2FEE1D19">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可能产生</w:t>
            </w:r>
          </w:p>
        </w:tc>
        <w:tc>
          <w:tcPr>
            <w:shd w:val="clear" w:color="auto" w:fill="FFFFFF"/>
            <w:vAlign w:val="center"/>
          </w:tcPr>
          <w:p w14:paraId="0BBA3908">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否</w:t>
            </w:r>
          </w:p>
        </w:tc>
      </w:tr>
      <w:tr w14:paraId="00E28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57" w:hRule="exact"/>
          <w:jc w:val="center"/>
        </w:trPr>
        <w:tc>
          <w:tcPr>
            <w:shd w:val="clear" w:color="auto" w:fill="FFFFFF"/>
            <w:vAlign w:val="center"/>
          </w:tcPr>
          <w:p w14:paraId="5C814BF3">
            <w:pPr>
              <w:keepNext w:val="0"/>
              <w:keepLines w:val="0"/>
              <w:widowControl w:val="0"/>
              <w:shd w:val="clear" w:color="auto" w:fill="auto"/>
              <w:bidi w:val="0"/>
              <w:spacing w:before="0" w:after="0" w:line="226" w:lineRule="exact"/>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有防腐/阴极保护设计的管道</w:t>
            </w:r>
          </w:p>
        </w:tc>
        <w:tc>
          <w:tcPr>
            <w:shd w:val="clear" w:color="auto" w:fill="FFFFFF"/>
            <w:vAlign w:val="center"/>
          </w:tcPr>
          <w:p w14:paraId="7DBCCE32">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阀门、法兰</w:t>
            </w:r>
          </w:p>
        </w:tc>
        <w:tc>
          <w:tcPr>
            <w:shd w:val="clear" w:color="auto" w:fill="FFFFFF"/>
            <w:vAlign w:val="center"/>
          </w:tcPr>
          <w:p w14:paraId="7F14EE1F">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shd w:val="clear" w:color="auto" w:fill="FFFFFF"/>
            <w:vAlign w:val="center"/>
          </w:tcPr>
          <w:p w14:paraId="2516E5A1">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w:t>
            </w:r>
          </w:p>
        </w:tc>
        <w:tc>
          <w:tcPr>
            <w:shd w:val="clear" w:color="auto" w:fill="FFFFFF"/>
            <w:vAlign w:val="center"/>
          </w:tcPr>
          <w:p w14:paraId="0BA81A98">
            <w:pPr>
              <w:keepNext w:val="0"/>
              <w:keepLines w:val="0"/>
              <w:widowControl w:val="0"/>
              <w:shd w:val="clear" w:color="auto" w:fill="auto"/>
              <w:bidi w:val="0"/>
              <w:spacing w:before="0" w:after="0" w:line="254" w:lineRule="exact"/>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专业人员和设备</w:t>
            </w:r>
          </w:p>
        </w:tc>
        <w:tc>
          <w:tcPr>
            <w:shd w:val="clear" w:color="auto" w:fill="FFFFFF"/>
            <w:vAlign w:val="center"/>
          </w:tcPr>
          <w:p w14:paraId="78EF329C">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可能产生</w:t>
            </w:r>
          </w:p>
        </w:tc>
        <w:tc>
          <w:tcPr>
            <w:shd w:val="clear" w:color="auto" w:fill="FFFFFF"/>
            <w:vAlign w:val="center"/>
          </w:tcPr>
          <w:p w14:paraId="4B2DF4ED">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否</w:t>
            </w:r>
          </w:p>
        </w:tc>
      </w:tr>
      <w:tr w14:paraId="2CA07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2" w:hRule="exact"/>
          <w:jc w:val="center"/>
        </w:trPr>
        <w:tc>
          <w:tcPr>
            <w:shd w:val="clear" w:color="auto" w:fill="FFFFFF"/>
            <w:vAlign w:val="center"/>
          </w:tcPr>
          <w:p w14:paraId="007EE239">
            <w:pPr>
              <w:keepNext w:val="0"/>
              <w:keepLines w:val="0"/>
              <w:widowControl w:val="0"/>
              <w:shd w:val="clear" w:color="auto" w:fill="auto"/>
              <w:bidi w:val="0"/>
              <w:spacing w:before="0" w:after="0" w:line="245" w:lineRule="exact"/>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有泄漏检测的双层或提升管道</w:t>
            </w:r>
          </w:p>
        </w:tc>
        <w:tc>
          <w:tcPr>
            <w:shd w:val="clear" w:color="auto" w:fill="FFFFFF"/>
            <w:vAlign w:val="center"/>
          </w:tcPr>
          <w:p w14:paraId="7A0D9604">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阀门、法兰</w:t>
            </w:r>
          </w:p>
        </w:tc>
        <w:tc>
          <w:tcPr>
            <w:shd w:val="clear" w:color="auto" w:fill="FFFFFF"/>
            <w:vAlign w:val="center"/>
          </w:tcPr>
          <w:p w14:paraId="3EEEE4C7">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shd w:val="clear" w:color="auto" w:fill="FFFFFF"/>
            <w:vAlign w:val="center"/>
          </w:tcPr>
          <w:p w14:paraId="394A20A3">
            <w:pPr>
              <w:keepNext w:val="0"/>
              <w:keepLines w:val="0"/>
              <w:widowControl w:val="0"/>
              <w:shd w:val="clear" w:color="auto" w:fill="auto"/>
              <w:bidi w:val="0"/>
              <w:spacing w:before="0" w:after="0" w:line="221" w:lineRule="exact"/>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定期泄露监测</w:t>
            </w:r>
          </w:p>
        </w:tc>
        <w:tc>
          <w:tcPr>
            <w:shd w:val="clear" w:color="auto" w:fill="FFFFFF"/>
            <w:vAlign w:val="center"/>
          </w:tcPr>
          <w:p w14:paraId="44DD7C47">
            <w:pPr>
              <w:keepNext w:val="0"/>
              <w:keepLines w:val="0"/>
              <w:widowControl w:val="0"/>
              <w:shd w:val="clear" w:color="auto" w:fill="auto"/>
              <w:bidi w:val="0"/>
              <w:spacing w:before="0" w:after="0" w:line="254" w:lineRule="exact"/>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专业人员和设备</w:t>
            </w:r>
          </w:p>
        </w:tc>
        <w:tc>
          <w:tcPr>
            <w:shd w:val="clear" w:color="auto" w:fill="FFFFFF"/>
            <w:vAlign w:val="center"/>
          </w:tcPr>
          <w:p w14:paraId="01578B08">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可忽略</w:t>
            </w:r>
          </w:p>
        </w:tc>
        <w:tc>
          <w:tcPr>
            <w:shd w:val="clear" w:color="auto" w:fill="FFFFFF"/>
            <w:vAlign w:val="center"/>
          </w:tcPr>
          <w:p w14:paraId="4B3878EA">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CN"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en-US" w:eastAsia="zh-CN" w:bidi="zh-TW"/>
              </w:rPr>
              <w:t>是</w:t>
            </w:r>
          </w:p>
        </w:tc>
      </w:tr>
    </w:tbl>
    <w:p w14:paraId="3BB2F911">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经现场排查，厂区内涉及管道运输为：</w:t>
      </w:r>
      <w:r>
        <w:rPr>
          <w:rFonts w:hint="eastAsia" w:ascii="仿宋_GB2312" w:hAnsi="仿宋_GB2312" w:eastAsia="仿宋_GB2312" w:cs="仿宋_GB2312"/>
          <w:lang w:val="en-US" w:eastAsia="zh-CN"/>
        </w:rPr>
        <w:t>蒸汽</w:t>
      </w:r>
      <w:r>
        <w:rPr>
          <w:rFonts w:hint="eastAsia" w:ascii="仿宋_GB2312" w:hAnsi="仿宋_GB2312" w:eastAsia="仿宋_GB2312" w:cs="仿宋_GB2312"/>
          <w:lang w:eastAsia="zh-CN"/>
        </w:rPr>
        <w:t>管、</w:t>
      </w:r>
      <w:r>
        <w:rPr>
          <w:rFonts w:hint="eastAsia" w:ascii="仿宋_GB2312" w:hAnsi="仿宋_GB2312" w:eastAsia="仿宋_GB2312" w:cs="仿宋_GB2312"/>
          <w:lang w:val="en-US" w:eastAsia="zh-CN"/>
        </w:rPr>
        <w:t>渗滤液输送管</w:t>
      </w:r>
      <w:r>
        <w:rPr>
          <w:rFonts w:hint="eastAsia" w:ascii="仿宋_GB2312" w:hAnsi="仿宋_GB2312" w:eastAsia="仿宋_GB2312" w:cs="仿宋_GB2312"/>
          <w:lang w:eastAsia="zh-CN"/>
        </w:rPr>
        <w:t>。厂区内管</w:t>
      </w:r>
      <w:r>
        <w:rPr>
          <w:rFonts w:hint="eastAsia" w:ascii="仿宋_GB2312" w:hAnsi="仿宋_GB2312" w:eastAsia="仿宋_GB2312" w:cs="仿宋_GB2312"/>
          <w:lang w:val="en-US" w:eastAsia="zh-CN"/>
        </w:rPr>
        <w:t>道</w:t>
      </w:r>
      <w:r>
        <w:rPr>
          <w:rFonts w:hint="eastAsia" w:ascii="仿宋_GB2312" w:hAnsi="仿宋_GB2312" w:eastAsia="仿宋_GB2312" w:cs="仿宋_GB2312"/>
          <w:lang w:eastAsia="zh-CN"/>
        </w:rPr>
        <w:t>分为多段，管道统一设置有截流沟，管道阀门、法兰等处未发现有“跑、冒、滴、漏”现象。因此该区域隐患等级为“可忽略”。</w:t>
      </w:r>
    </w:p>
    <w:p w14:paraId="7600233D">
      <w:pPr>
        <w:pStyle w:val="29"/>
        <w:bidi w:val="0"/>
        <w:rPr>
          <w:rFonts w:hint="eastAsia" w:ascii="仿宋_GB2312" w:hAnsi="仿宋_GB2312" w:eastAsia="仿宋_GB2312" w:cs="仿宋_GB2312"/>
          <w:lang w:eastAsia="zh-CN"/>
        </w:rPr>
      </w:pPr>
      <w:bookmarkStart w:id="208" w:name="_Toc31164"/>
      <w:r>
        <w:rPr>
          <w:rFonts w:hint="eastAsia" w:ascii="仿宋_GB2312" w:hAnsi="仿宋_GB2312" w:eastAsia="仿宋_GB2312" w:cs="仿宋_GB2312"/>
          <w:lang w:eastAsia="zh-CN"/>
        </w:rPr>
        <w:t>4.1.3货物的储存和运输区</w:t>
      </w:r>
      <w:bookmarkEnd w:id="208"/>
    </w:p>
    <w:p w14:paraId="04BF1A82">
      <w:pPr>
        <w:pStyle w:val="27"/>
        <w:bidi w:val="0"/>
        <w:rPr>
          <w:rFonts w:hint="eastAsia"/>
          <w:lang w:eastAsia="zh-CN"/>
        </w:rPr>
      </w:pP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1</w:t>
      </w:r>
      <w:r>
        <w:rPr>
          <w:rFonts w:hint="eastAsia" w:ascii="仿宋_GB2312" w:hAnsi="仿宋_GB2312" w:eastAsia="仿宋_GB2312" w:cs="仿宋_GB2312"/>
          <w:lang w:eastAsia="zh-CN"/>
        </w:rPr>
        <w:t>）散装商品的存储和运输</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810"/>
        <w:gridCol w:w="1277"/>
        <w:gridCol w:w="979"/>
        <w:gridCol w:w="1114"/>
        <w:gridCol w:w="1248"/>
        <w:gridCol w:w="1186"/>
        <w:gridCol w:w="1272"/>
      </w:tblGrid>
      <w:tr w14:paraId="1C769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81" w:hRule="exact"/>
          <w:jc w:val="center"/>
        </w:trPr>
        <w:tc>
          <w:tcPr>
            <w:gridSpan w:val="2"/>
            <w:shd w:val="clear" w:color="auto" w:fill="FFFFFF"/>
            <w:vAlign w:val="center"/>
          </w:tcPr>
          <w:p w14:paraId="6BC95EC6">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系统设计</w:t>
            </w:r>
          </w:p>
        </w:tc>
        <w:tc>
          <w:tcPr>
            <w:gridSpan w:val="4"/>
            <w:shd w:val="clear" w:color="auto" w:fill="FFFFFF"/>
            <w:vAlign w:val="center"/>
          </w:tcPr>
          <w:p w14:paraId="77C2FC1B">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日常运行管理</w:t>
            </w:r>
          </w:p>
        </w:tc>
        <w:tc>
          <w:tcPr>
            <w:vMerge w:val="restart"/>
            <w:shd w:val="clear" w:color="auto" w:fill="FFFFFF"/>
            <w:vAlign w:val="center"/>
          </w:tcPr>
          <w:p w14:paraId="0581E31E">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本项目是否涉及</w:t>
            </w:r>
          </w:p>
        </w:tc>
      </w:tr>
      <w:tr w14:paraId="7B0B5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34" w:hRule="exact"/>
          <w:jc w:val="center"/>
        </w:trPr>
        <w:tc>
          <w:tcPr>
            <w:shd w:val="clear" w:color="auto" w:fill="FFFFFF"/>
            <w:vAlign w:val="center"/>
          </w:tcPr>
          <w:p w14:paraId="610334D6">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施工/设计</w:t>
            </w:r>
          </w:p>
        </w:tc>
        <w:tc>
          <w:tcPr>
            <w:shd w:val="clear" w:color="auto" w:fill="FFFFFF"/>
            <w:vAlign w:val="center"/>
          </w:tcPr>
          <w:p w14:paraId="123FA510">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重点</w:t>
            </w:r>
          </w:p>
        </w:tc>
        <w:tc>
          <w:tcPr>
            <w:shd w:val="clear" w:color="auto" w:fill="FFFFFF"/>
            <w:vAlign w:val="center"/>
          </w:tcPr>
          <w:p w14:paraId="4E32BD24">
            <w:pPr>
              <w:keepNext w:val="0"/>
              <w:keepLines w:val="0"/>
              <w:widowControl w:val="0"/>
              <w:shd w:val="clear" w:color="auto" w:fill="auto"/>
              <w:bidi w:val="0"/>
              <w:spacing w:before="0" w:after="0" w:line="250" w:lineRule="exact"/>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特殊运行维护</w:t>
            </w:r>
          </w:p>
        </w:tc>
        <w:tc>
          <w:tcPr>
            <w:shd w:val="clear" w:color="auto" w:fill="FFFFFF"/>
            <w:vAlign w:val="bottom"/>
          </w:tcPr>
          <w:p w14:paraId="67C7138B">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监测</w:t>
            </w:r>
          </w:p>
        </w:tc>
        <w:tc>
          <w:tcPr>
            <w:shd w:val="clear" w:color="auto" w:fill="FFFFFF"/>
            <w:vAlign w:val="bottom"/>
          </w:tcPr>
          <w:p w14:paraId="24C67E6F">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事故管理</w:t>
            </w:r>
          </w:p>
        </w:tc>
        <w:tc>
          <w:tcPr>
            <w:shd w:val="clear" w:color="auto" w:fill="FFFFFF"/>
            <w:vAlign w:val="center"/>
          </w:tcPr>
          <w:p w14:paraId="2E10E3BA">
            <w:pPr>
              <w:keepNext w:val="0"/>
              <w:keepLines w:val="0"/>
              <w:widowControl w:val="0"/>
              <w:shd w:val="clear" w:color="auto" w:fill="auto"/>
              <w:bidi w:val="0"/>
              <w:spacing w:before="0" w:after="0" w:line="245" w:lineRule="exact"/>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土壤污染可能性</w:t>
            </w:r>
          </w:p>
        </w:tc>
        <w:tc>
          <w:tcPr>
            <w:vMerge w:val="continue"/>
            <w:shd w:val="clear" w:color="auto" w:fill="FFFFFF"/>
            <w:vAlign w:val="center"/>
          </w:tcPr>
          <w:p w14:paraId="21CD36EB">
            <w:pPr>
              <w:shd w:val="clear" w:color="auto" w:fill="auto"/>
              <w:rPr>
                <w:rFonts w:hint="eastAsia" w:ascii="仿宋_GB2312" w:hAnsi="仿宋_GB2312" w:eastAsia="仿宋_GB2312" w:cs="仿宋_GB2312"/>
                <w:sz w:val="21"/>
                <w:szCs w:val="21"/>
              </w:rPr>
            </w:pPr>
          </w:p>
        </w:tc>
      </w:tr>
      <w:tr w14:paraId="7E19E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46" w:hRule="exact"/>
          <w:jc w:val="center"/>
        </w:trPr>
        <w:tc>
          <w:tcPr>
            <w:shd w:val="clear" w:color="auto" w:fill="FFFFFF"/>
            <w:vAlign w:val="center"/>
          </w:tcPr>
          <w:p w14:paraId="04988B4A">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w:t>
            </w: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CN" w:bidi="zh-TW"/>
              </w:rPr>
              <w:t>“</w:t>
            </w: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防雨水、防渗漏和防流失</w:t>
            </w: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CN" w:bidi="zh-TW"/>
              </w:rPr>
              <w:t>”</w:t>
            </w: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设备和措施</w:t>
            </w:r>
          </w:p>
        </w:tc>
        <w:tc>
          <w:tcPr>
            <w:shd w:val="clear" w:color="auto" w:fill="FFFFFF"/>
            <w:vAlign w:val="center"/>
          </w:tcPr>
          <w:p w14:paraId="721C12FB">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屋顶/覆盖物、地面、围挡</w:t>
            </w:r>
          </w:p>
        </w:tc>
        <w:tc>
          <w:tcPr>
            <w:shd w:val="clear" w:color="auto" w:fill="FFFFFF"/>
            <w:vAlign w:val="center"/>
          </w:tcPr>
          <w:p w14:paraId="2CFDCB00">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w:t>
            </w:r>
          </w:p>
        </w:tc>
        <w:tc>
          <w:tcPr>
            <w:shd w:val="clear" w:color="auto" w:fill="FFFFFF"/>
            <w:vAlign w:val="center"/>
          </w:tcPr>
          <w:p w14:paraId="3F73C0A0">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w:t>
            </w:r>
          </w:p>
        </w:tc>
        <w:tc>
          <w:tcPr>
            <w:shd w:val="clear" w:color="auto" w:fill="FFFFFF"/>
            <w:vAlign w:val="center"/>
          </w:tcPr>
          <w:p w14:paraId="7E969C18">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shd w:val="clear" w:color="auto" w:fill="FFFFFF"/>
            <w:vAlign w:val="bottom"/>
          </w:tcPr>
          <w:p w14:paraId="390D5FC4">
            <w:pPr>
              <w:keepNext w:val="0"/>
              <w:keepLines w:val="0"/>
              <w:widowControl w:val="0"/>
              <w:shd w:val="clear" w:color="auto" w:fill="auto"/>
              <w:bidi w:val="0"/>
              <w:spacing w:before="0" w:after="0" w:line="245" w:lineRule="exact"/>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极易造成污染</w:t>
            </w:r>
          </w:p>
        </w:tc>
        <w:tc>
          <w:tcPr>
            <w:shd w:val="clear" w:color="auto" w:fill="FFFFFF"/>
            <w:vAlign w:val="center"/>
          </w:tcPr>
          <w:p w14:paraId="0A3317A9">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否</w:t>
            </w:r>
          </w:p>
        </w:tc>
      </w:tr>
      <w:tr w14:paraId="1E804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41" w:hRule="exact"/>
          <w:jc w:val="center"/>
        </w:trPr>
        <w:tc>
          <w:tcPr>
            <w:shd w:val="clear" w:color="auto" w:fill="FFFFFF"/>
            <w:vAlign w:val="center"/>
          </w:tcPr>
          <w:p w14:paraId="7262814A">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CN" w:bidi="zh-TW"/>
              </w:rPr>
              <w:t>“</w:t>
            </w: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防雨水、防渗漏和防流失</w:t>
            </w: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CN" w:bidi="zh-TW"/>
              </w:rPr>
              <w:t>”</w:t>
            </w: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有漏项</w:t>
            </w:r>
          </w:p>
        </w:tc>
        <w:tc>
          <w:tcPr>
            <w:shd w:val="clear" w:color="auto" w:fill="FFFFFF"/>
            <w:vAlign w:val="center"/>
          </w:tcPr>
          <w:p w14:paraId="54B1177E">
            <w:pPr>
              <w:keepNext w:val="0"/>
              <w:keepLines w:val="0"/>
              <w:widowControl w:val="0"/>
              <w:shd w:val="clear" w:color="auto" w:fill="auto"/>
              <w:bidi w:val="0"/>
              <w:spacing w:before="0" w:after="0" w:line="230" w:lineRule="exact"/>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屋顶/覆盖物、地面、围挡</w:t>
            </w:r>
          </w:p>
        </w:tc>
        <w:tc>
          <w:tcPr>
            <w:shd w:val="clear" w:color="auto" w:fill="FFFFFF"/>
            <w:vAlign w:val="center"/>
          </w:tcPr>
          <w:p w14:paraId="6F508E51">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shd w:val="clear" w:color="auto" w:fill="FFFFFF"/>
            <w:vAlign w:val="center"/>
          </w:tcPr>
          <w:p w14:paraId="29ECEB3B">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shd w:val="clear" w:color="auto" w:fill="FFFFFF"/>
            <w:vAlign w:val="center"/>
          </w:tcPr>
          <w:p w14:paraId="391FE232">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shd w:val="clear" w:color="auto" w:fill="FFFFFF"/>
            <w:vAlign w:val="center"/>
          </w:tcPr>
          <w:p w14:paraId="15B751A1">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易造成污染</w:t>
            </w:r>
          </w:p>
        </w:tc>
        <w:tc>
          <w:tcPr>
            <w:shd w:val="clear" w:color="auto" w:fill="FFFFFF"/>
            <w:vAlign w:val="center"/>
          </w:tcPr>
          <w:p w14:paraId="72EE951B">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否</w:t>
            </w:r>
          </w:p>
        </w:tc>
      </w:tr>
      <w:tr w14:paraId="60C19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60" w:hRule="exact"/>
          <w:jc w:val="center"/>
        </w:trPr>
        <w:tc>
          <w:tcPr>
            <w:shd w:val="clear" w:color="auto" w:fill="FFFFFF"/>
            <w:vAlign w:val="center"/>
          </w:tcPr>
          <w:p w14:paraId="21791524">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CN" w:bidi="zh-TW"/>
              </w:rPr>
              <w:t>“</w:t>
            </w: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防雨水、防渗漏和防流失</w:t>
            </w: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CN" w:bidi="zh-TW"/>
              </w:rPr>
              <w:t>”</w:t>
            </w: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完善</w:t>
            </w:r>
          </w:p>
        </w:tc>
        <w:tc>
          <w:tcPr>
            <w:shd w:val="clear" w:color="auto" w:fill="FFFFFF"/>
            <w:vAlign w:val="center"/>
          </w:tcPr>
          <w:p w14:paraId="5FD37F8E">
            <w:pPr>
              <w:keepNext w:val="0"/>
              <w:keepLines w:val="0"/>
              <w:widowControl w:val="0"/>
              <w:shd w:val="clear" w:color="auto" w:fill="auto"/>
              <w:bidi w:val="0"/>
              <w:spacing w:before="0" w:after="0" w:line="230" w:lineRule="exact"/>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屋顶/覆盖物、地面、围挡</w:t>
            </w:r>
          </w:p>
        </w:tc>
        <w:tc>
          <w:tcPr>
            <w:shd w:val="clear" w:color="auto" w:fill="FFFFFF"/>
            <w:vAlign w:val="center"/>
          </w:tcPr>
          <w:p w14:paraId="3FC19D13">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完整维护</w:t>
            </w:r>
          </w:p>
        </w:tc>
        <w:tc>
          <w:tcPr>
            <w:shd w:val="clear" w:color="auto" w:fill="FFFFFF"/>
            <w:vAlign w:val="center"/>
          </w:tcPr>
          <w:p w14:paraId="312EC101">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shd w:val="clear" w:color="auto" w:fill="FFFFFF"/>
            <w:vAlign w:val="center"/>
          </w:tcPr>
          <w:p w14:paraId="61817A78">
            <w:pPr>
              <w:keepNext w:val="0"/>
              <w:keepLines w:val="0"/>
              <w:widowControl w:val="0"/>
              <w:shd w:val="clear" w:color="auto" w:fill="auto"/>
              <w:bidi w:val="0"/>
              <w:spacing w:before="0" w:after="0" w:line="235" w:lineRule="exact"/>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专业人员和设备</w:t>
            </w:r>
          </w:p>
        </w:tc>
        <w:tc>
          <w:tcPr>
            <w:shd w:val="clear" w:color="auto" w:fill="FFFFFF"/>
            <w:vAlign w:val="center"/>
          </w:tcPr>
          <w:p w14:paraId="64D9EE7C">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可忽略</w:t>
            </w:r>
          </w:p>
        </w:tc>
        <w:tc>
          <w:tcPr>
            <w:shd w:val="clear" w:color="auto" w:fill="FFFFFF"/>
            <w:vAlign w:val="center"/>
          </w:tcPr>
          <w:p w14:paraId="4C8CCC64">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否</w:t>
            </w:r>
          </w:p>
        </w:tc>
      </w:tr>
    </w:tbl>
    <w:p w14:paraId="54398C8B">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经现场排查，厂区内不涉及散装商品的存储和运输。</w:t>
      </w:r>
    </w:p>
    <w:p w14:paraId="54EE61A9">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2</w:t>
      </w:r>
      <w:r>
        <w:rPr>
          <w:rFonts w:hint="eastAsia" w:ascii="仿宋_GB2312" w:hAnsi="仿宋_GB2312" w:eastAsia="仿宋_GB2312" w:cs="仿宋_GB2312"/>
          <w:lang w:eastAsia="zh-CN"/>
        </w:rPr>
        <w:t>）固态物质的存储和运输</w:t>
      </w:r>
    </w:p>
    <w:tbl>
      <w:tblPr>
        <w:tblStyle w:val="9"/>
        <w:tblW w:w="0" w:type="auto"/>
        <w:jc w:val="center"/>
        <w:tblLayout w:type="fixed"/>
        <w:tblCellMar>
          <w:top w:w="0" w:type="dxa"/>
          <w:left w:w="10" w:type="dxa"/>
          <w:bottom w:w="0" w:type="dxa"/>
          <w:right w:w="10" w:type="dxa"/>
        </w:tblCellMar>
      </w:tblPr>
      <w:tblGrid>
        <w:gridCol w:w="1810"/>
        <w:gridCol w:w="1248"/>
        <w:gridCol w:w="984"/>
        <w:gridCol w:w="1118"/>
        <w:gridCol w:w="1248"/>
        <w:gridCol w:w="1190"/>
        <w:gridCol w:w="1282"/>
      </w:tblGrid>
      <w:tr w14:paraId="449B1D58">
        <w:tblPrEx>
          <w:tblCellMar>
            <w:top w:w="0" w:type="dxa"/>
            <w:left w:w="10" w:type="dxa"/>
            <w:bottom w:w="0" w:type="dxa"/>
            <w:right w:w="10" w:type="dxa"/>
          </w:tblCellMar>
        </w:tblPrEx>
        <w:trPr>
          <w:trHeight w:val="581" w:hRule="exact"/>
          <w:jc w:val="center"/>
        </w:trPr>
        <w:tc>
          <w:tcPr>
            <w:gridSpan w:val="2"/>
            <w:tcBorders>
              <w:top w:val="single" w:color="auto" w:sz="4" w:space="0"/>
              <w:left w:val="single" w:color="auto" w:sz="4" w:space="0"/>
            </w:tcBorders>
            <w:shd w:val="clear" w:color="auto" w:fill="FFFFFF"/>
            <w:vAlign w:val="center"/>
          </w:tcPr>
          <w:p w14:paraId="18B1D84C">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系统设计</w:t>
            </w:r>
          </w:p>
        </w:tc>
        <w:tc>
          <w:tcPr>
            <w:gridSpan w:val="4"/>
            <w:tcBorders>
              <w:top w:val="single" w:color="auto" w:sz="4" w:space="0"/>
              <w:left w:val="single" w:color="auto" w:sz="4" w:space="0"/>
            </w:tcBorders>
            <w:shd w:val="clear" w:color="auto" w:fill="FFFFFF"/>
            <w:vAlign w:val="center"/>
          </w:tcPr>
          <w:p w14:paraId="5FBEBA08">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日常运行管理</w:t>
            </w:r>
          </w:p>
        </w:tc>
        <w:tc>
          <w:tcPr>
            <w:vMerge w:val="restart"/>
            <w:tcBorders>
              <w:top w:val="single" w:color="auto" w:sz="4" w:space="0"/>
              <w:left w:val="single" w:color="auto" w:sz="4" w:space="0"/>
              <w:right w:val="single" w:color="auto" w:sz="4" w:space="0"/>
            </w:tcBorders>
            <w:shd w:val="clear" w:color="auto" w:fill="FFFFFF"/>
            <w:vAlign w:val="center"/>
          </w:tcPr>
          <w:p w14:paraId="686C8206">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本项目是否涉及</w:t>
            </w:r>
          </w:p>
        </w:tc>
      </w:tr>
      <w:tr w14:paraId="0220152F">
        <w:tblPrEx>
          <w:tblCellMar>
            <w:top w:w="0" w:type="dxa"/>
            <w:left w:w="10" w:type="dxa"/>
            <w:bottom w:w="0" w:type="dxa"/>
            <w:right w:w="10" w:type="dxa"/>
          </w:tblCellMar>
        </w:tblPrEx>
        <w:trPr>
          <w:trHeight w:val="634" w:hRule="exact"/>
          <w:jc w:val="center"/>
        </w:trPr>
        <w:tc>
          <w:tcPr>
            <w:tcBorders>
              <w:top w:val="single" w:color="auto" w:sz="4" w:space="0"/>
              <w:left w:val="single" w:color="auto" w:sz="4" w:space="0"/>
            </w:tcBorders>
            <w:shd w:val="clear" w:color="auto" w:fill="FFFFFF"/>
            <w:vAlign w:val="center"/>
          </w:tcPr>
          <w:p w14:paraId="242B0F69">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施工/设计</w:t>
            </w:r>
          </w:p>
        </w:tc>
        <w:tc>
          <w:tcPr>
            <w:tcBorders>
              <w:top w:val="single" w:color="auto" w:sz="4" w:space="0"/>
              <w:left w:val="single" w:color="auto" w:sz="4" w:space="0"/>
            </w:tcBorders>
            <w:shd w:val="clear" w:color="auto" w:fill="FFFFFF"/>
            <w:vAlign w:val="center"/>
          </w:tcPr>
          <w:p w14:paraId="26809D18">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重点</w:t>
            </w:r>
          </w:p>
        </w:tc>
        <w:tc>
          <w:tcPr>
            <w:tcBorders>
              <w:top w:val="single" w:color="auto" w:sz="4" w:space="0"/>
              <w:left w:val="single" w:color="auto" w:sz="4" w:space="0"/>
            </w:tcBorders>
            <w:shd w:val="clear" w:color="auto" w:fill="FFFFFF"/>
            <w:vAlign w:val="center"/>
          </w:tcPr>
          <w:p w14:paraId="10350CDD">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特殊运行维护</w:t>
            </w:r>
          </w:p>
        </w:tc>
        <w:tc>
          <w:tcPr>
            <w:tcBorders>
              <w:top w:val="single" w:color="auto" w:sz="4" w:space="0"/>
              <w:left w:val="single" w:color="auto" w:sz="4" w:space="0"/>
            </w:tcBorders>
            <w:shd w:val="clear" w:color="auto" w:fill="FFFFFF"/>
            <w:vAlign w:val="center"/>
          </w:tcPr>
          <w:p w14:paraId="4EFA77DB">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监测</w:t>
            </w:r>
          </w:p>
        </w:tc>
        <w:tc>
          <w:tcPr>
            <w:tcBorders>
              <w:top w:val="single" w:color="auto" w:sz="4" w:space="0"/>
              <w:left w:val="single" w:color="auto" w:sz="4" w:space="0"/>
            </w:tcBorders>
            <w:shd w:val="clear" w:color="auto" w:fill="FFFFFF"/>
            <w:vAlign w:val="center"/>
          </w:tcPr>
          <w:p w14:paraId="3C4D9593">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事故管理</w:t>
            </w:r>
          </w:p>
        </w:tc>
        <w:tc>
          <w:tcPr>
            <w:tcBorders>
              <w:top w:val="single" w:color="auto" w:sz="4" w:space="0"/>
              <w:left w:val="single" w:color="auto" w:sz="4" w:space="0"/>
            </w:tcBorders>
            <w:shd w:val="clear" w:color="auto" w:fill="FFFFFF"/>
            <w:vAlign w:val="center"/>
          </w:tcPr>
          <w:p w14:paraId="4B94A02C">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土壤污染可能性</w:t>
            </w:r>
          </w:p>
        </w:tc>
        <w:tc>
          <w:tcPr>
            <w:vMerge w:val="continue"/>
            <w:tcBorders>
              <w:left w:val="single" w:color="auto" w:sz="4" w:space="0"/>
              <w:right w:val="single" w:color="auto" w:sz="4" w:space="0"/>
            </w:tcBorders>
            <w:shd w:val="clear" w:color="auto" w:fill="FFFFFF"/>
            <w:vAlign w:val="center"/>
          </w:tcPr>
          <w:p w14:paraId="0FEAF119">
            <w:pPr>
              <w:shd w:val="clear" w:color="auto" w:fill="auto"/>
              <w:rPr>
                <w:rFonts w:hint="eastAsia" w:ascii="仿宋_GB2312" w:hAnsi="仿宋_GB2312" w:eastAsia="仿宋_GB2312" w:cs="仿宋_GB2312"/>
                <w:sz w:val="21"/>
                <w:szCs w:val="21"/>
              </w:rPr>
            </w:pPr>
          </w:p>
        </w:tc>
      </w:tr>
      <w:tr w14:paraId="213F2A85">
        <w:tblPrEx>
          <w:tblCellMar>
            <w:top w:w="0" w:type="dxa"/>
            <w:left w:w="10" w:type="dxa"/>
            <w:bottom w:w="0" w:type="dxa"/>
            <w:right w:w="10" w:type="dxa"/>
          </w:tblCellMar>
        </w:tblPrEx>
        <w:trPr>
          <w:trHeight w:val="634" w:hRule="exact"/>
          <w:jc w:val="center"/>
        </w:trPr>
        <w:tc>
          <w:tcPr>
            <w:tcBorders>
              <w:top w:val="single" w:color="auto" w:sz="4" w:space="0"/>
              <w:left w:val="single" w:color="auto" w:sz="4" w:space="0"/>
            </w:tcBorders>
            <w:shd w:val="clear" w:color="auto" w:fill="FFFFFF"/>
            <w:vAlign w:val="center"/>
          </w:tcPr>
          <w:p w14:paraId="6A83C844">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无包装或容器、或易碎包装</w:t>
            </w:r>
          </w:p>
        </w:tc>
        <w:tc>
          <w:tcPr>
            <w:tcBorders>
              <w:top w:val="single" w:color="auto" w:sz="4" w:space="0"/>
              <w:left w:val="single" w:color="auto" w:sz="4" w:space="0"/>
            </w:tcBorders>
            <w:shd w:val="clear" w:color="auto" w:fill="FFFFFF"/>
            <w:vAlign w:val="center"/>
          </w:tcPr>
          <w:p w14:paraId="04A46EF6">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包装材质</w:t>
            </w:r>
          </w:p>
        </w:tc>
        <w:tc>
          <w:tcPr>
            <w:tcBorders>
              <w:top w:val="single" w:color="auto" w:sz="4" w:space="0"/>
              <w:left w:val="single" w:color="auto" w:sz="4" w:space="0"/>
            </w:tcBorders>
            <w:shd w:val="clear" w:color="auto" w:fill="FFFFFF"/>
            <w:vAlign w:val="center"/>
          </w:tcPr>
          <w:p w14:paraId="55AE44D5">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w:t>
            </w:r>
          </w:p>
        </w:tc>
        <w:tc>
          <w:tcPr>
            <w:tcBorders>
              <w:top w:val="single" w:color="auto" w:sz="4" w:space="0"/>
              <w:left w:val="single" w:color="auto" w:sz="4" w:space="0"/>
            </w:tcBorders>
            <w:shd w:val="clear" w:color="auto" w:fill="FFFFFF"/>
            <w:vAlign w:val="center"/>
          </w:tcPr>
          <w:p w14:paraId="4EF0A96C">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tcBorders>
              <w:top w:val="single" w:color="auto" w:sz="4" w:space="0"/>
              <w:left w:val="single" w:color="auto" w:sz="4" w:space="0"/>
            </w:tcBorders>
            <w:shd w:val="clear" w:color="auto" w:fill="FFFFFF"/>
            <w:vAlign w:val="center"/>
          </w:tcPr>
          <w:p w14:paraId="1A6B1592">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w:t>
            </w:r>
          </w:p>
        </w:tc>
        <w:tc>
          <w:tcPr>
            <w:tcBorders>
              <w:top w:val="single" w:color="auto" w:sz="4" w:space="0"/>
              <w:left w:val="single" w:color="auto" w:sz="4" w:space="0"/>
            </w:tcBorders>
            <w:shd w:val="clear" w:color="auto" w:fill="FFFFFF"/>
            <w:vAlign w:val="center"/>
          </w:tcPr>
          <w:p w14:paraId="7D773310">
            <w:pPr>
              <w:keepNext w:val="0"/>
              <w:keepLines w:val="0"/>
              <w:widowControl w:val="0"/>
              <w:shd w:val="clear" w:color="auto" w:fill="auto"/>
              <w:bidi w:val="0"/>
              <w:spacing w:before="0" w:after="0" w:line="259" w:lineRule="exact"/>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极易造成污染</w:t>
            </w:r>
          </w:p>
        </w:tc>
        <w:tc>
          <w:tcPr>
            <w:tcBorders>
              <w:top w:val="single" w:color="auto" w:sz="4" w:space="0"/>
              <w:left w:val="single" w:color="auto" w:sz="4" w:space="0"/>
              <w:right w:val="single" w:color="auto" w:sz="4" w:space="0"/>
            </w:tcBorders>
            <w:shd w:val="clear" w:color="auto" w:fill="FFFFFF"/>
            <w:vAlign w:val="center"/>
          </w:tcPr>
          <w:p w14:paraId="75E48E01">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否</w:t>
            </w:r>
          </w:p>
        </w:tc>
      </w:tr>
      <w:tr w14:paraId="534FE299">
        <w:tblPrEx>
          <w:tblCellMar>
            <w:top w:w="0" w:type="dxa"/>
            <w:left w:w="10" w:type="dxa"/>
            <w:bottom w:w="0" w:type="dxa"/>
            <w:right w:w="10" w:type="dxa"/>
          </w:tblCellMar>
        </w:tblPrEx>
        <w:trPr>
          <w:trHeight w:val="634" w:hRule="exact"/>
          <w:jc w:val="center"/>
        </w:trPr>
        <w:tc>
          <w:tcPr>
            <w:tcBorders>
              <w:top w:val="single" w:color="auto" w:sz="4" w:space="0"/>
              <w:left w:val="single" w:color="auto" w:sz="4" w:space="0"/>
            </w:tcBorders>
            <w:shd w:val="clear" w:color="auto" w:fill="FFFFFF"/>
            <w:vAlign w:val="center"/>
          </w:tcPr>
          <w:p w14:paraId="2FFAA5E3">
            <w:pPr>
              <w:keepNext w:val="0"/>
              <w:keepLines w:val="0"/>
              <w:widowControl w:val="0"/>
              <w:shd w:val="clear" w:color="auto" w:fill="auto"/>
              <w:bidi w:val="0"/>
              <w:spacing w:before="0" w:after="0" w:line="235" w:lineRule="exact"/>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有包装，但无防护设施/容器</w:t>
            </w:r>
          </w:p>
        </w:tc>
        <w:tc>
          <w:tcPr>
            <w:tcBorders>
              <w:top w:val="single" w:color="auto" w:sz="4" w:space="0"/>
              <w:left w:val="single" w:color="auto" w:sz="4" w:space="0"/>
            </w:tcBorders>
            <w:shd w:val="clear" w:color="auto" w:fill="FFFFFF"/>
            <w:vAlign w:val="center"/>
          </w:tcPr>
          <w:p w14:paraId="63A18A22">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包装材质</w:t>
            </w:r>
          </w:p>
        </w:tc>
        <w:tc>
          <w:tcPr>
            <w:tcBorders>
              <w:top w:val="single" w:color="auto" w:sz="4" w:space="0"/>
              <w:left w:val="single" w:color="auto" w:sz="4" w:space="0"/>
            </w:tcBorders>
            <w:shd w:val="clear" w:color="auto" w:fill="FFFFFF"/>
            <w:vAlign w:val="center"/>
          </w:tcPr>
          <w:p w14:paraId="51CB390C">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tcBorders>
              <w:top w:val="single" w:color="auto" w:sz="4" w:space="0"/>
              <w:left w:val="single" w:color="auto" w:sz="4" w:space="0"/>
            </w:tcBorders>
            <w:shd w:val="clear" w:color="auto" w:fill="FFFFFF"/>
            <w:vAlign w:val="center"/>
          </w:tcPr>
          <w:p w14:paraId="06A523CD">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tcBorders>
              <w:top w:val="single" w:color="auto" w:sz="4" w:space="0"/>
              <w:left w:val="single" w:color="auto" w:sz="4" w:space="0"/>
            </w:tcBorders>
            <w:shd w:val="clear" w:color="auto" w:fill="FFFFFF"/>
            <w:vAlign w:val="center"/>
          </w:tcPr>
          <w:p w14:paraId="48E6321B">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完善管理</w:t>
            </w:r>
          </w:p>
        </w:tc>
        <w:tc>
          <w:tcPr>
            <w:tcBorders>
              <w:top w:val="single" w:color="auto" w:sz="4" w:space="0"/>
              <w:left w:val="single" w:color="auto" w:sz="4" w:space="0"/>
            </w:tcBorders>
            <w:shd w:val="clear" w:color="auto" w:fill="FFFFFF"/>
            <w:vAlign w:val="center"/>
          </w:tcPr>
          <w:p w14:paraId="326C5B33">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易造成污染</w:t>
            </w:r>
          </w:p>
        </w:tc>
        <w:tc>
          <w:tcPr>
            <w:tcBorders>
              <w:top w:val="single" w:color="auto" w:sz="4" w:space="0"/>
              <w:left w:val="single" w:color="auto" w:sz="4" w:space="0"/>
              <w:right w:val="single" w:color="auto" w:sz="4" w:space="0"/>
            </w:tcBorders>
            <w:shd w:val="clear" w:color="auto" w:fill="FFFFFF"/>
            <w:vAlign w:val="center"/>
          </w:tcPr>
          <w:p w14:paraId="72478042">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否</w:t>
            </w:r>
          </w:p>
        </w:tc>
      </w:tr>
      <w:tr w14:paraId="417CC173">
        <w:tblPrEx>
          <w:tblCellMar>
            <w:top w:w="0" w:type="dxa"/>
            <w:left w:w="10" w:type="dxa"/>
            <w:bottom w:w="0" w:type="dxa"/>
            <w:right w:w="10" w:type="dxa"/>
          </w:tblCellMar>
        </w:tblPrEx>
        <w:trPr>
          <w:trHeight w:val="643" w:hRule="exact"/>
          <w:jc w:val="center"/>
        </w:trPr>
        <w:tc>
          <w:tcPr>
            <w:tcBorders>
              <w:top w:val="single" w:color="auto" w:sz="4" w:space="0"/>
              <w:left w:val="single" w:color="auto" w:sz="4" w:space="0"/>
              <w:bottom w:val="single" w:color="auto" w:sz="4" w:space="0"/>
            </w:tcBorders>
            <w:shd w:val="clear" w:color="auto" w:fill="FFFFFF"/>
            <w:vAlign w:val="center"/>
          </w:tcPr>
          <w:p w14:paraId="29B5D7A2">
            <w:pPr>
              <w:keepNext w:val="0"/>
              <w:keepLines w:val="0"/>
              <w:widowControl w:val="0"/>
              <w:shd w:val="clear" w:color="auto" w:fill="auto"/>
              <w:bidi w:val="0"/>
              <w:spacing w:before="0" w:after="0" w:line="245" w:lineRule="exact"/>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包装规范，有防护设施/容器</w:t>
            </w:r>
          </w:p>
        </w:tc>
        <w:tc>
          <w:tcPr>
            <w:tcBorders>
              <w:top w:val="single" w:color="auto" w:sz="4" w:space="0"/>
              <w:left w:val="single" w:color="auto" w:sz="4" w:space="0"/>
              <w:bottom w:val="single" w:color="auto" w:sz="4" w:space="0"/>
            </w:tcBorders>
            <w:shd w:val="clear" w:color="auto" w:fill="FFFFFF"/>
            <w:vAlign w:val="center"/>
          </w:tcPr>
          <w:p w14:paraId="6F4A6CE7">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包装材质</w:t>
            </w:r>
          </w:p>
        </w:tc>
        <w:tc>
          <w:tcPr>
            <w:tcBorders>
              <w:top w:val="single" w:color="auto" w:sz="4" w:space="0"/>
              <w:left w:val="single" w:color="auto" w:sz="4" w:space="0"/>
              <w:bottom w:val="single" w:color="auto" w:sz="4" w:space="0"/>
            </w:tcBorders>
            <w:shd w:val="clear" w:color="auto" w:fill="FFFFFF"/>
            <w:vAlign w:val="center"/>
          </w:tcPr>
          <w:p w14:paraId="33F9C93D">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tcBorders>
              <w:top w:val="single" w:color="auto" w:sz="4" w:space="0"/>
              <w:left w:val="single" w:color="auto" w:sz="4" w:space="0"/>
              <w:bottom w:val="single" w:color="auto" w:sz="4" w:space="0"/>
            </w:tcBorders>
            <w:shd w:val="clear" w:color="auto" w:fill="FFFFFF"/>
            <w:vAlign w:val="center"/>
          </w:tcPr>
          <w:p w14:paraId="5525B496">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tcBorders>
              <w:top w:val="single" w:color="auto" w:sz="4" w:space="0"/>
              <w:left w:val="single" w:color="auto" w:sz="4" w:space="0"/>
              <w:bottom w:val="single" w:color="auto" w:sz="4" w:space="0"/>
            </w:tcBorders>
            <w:shd w:val="clear" w:color="auto" w:fill="FFFFFF"/>
            <w:vAlign w:val="center"/>
          </w:tcPr>
          <w:p w14:paraId="4638528F">
            <w:pPr>
              <w:keepNext w:val="0"/>
              <w:keepLines w:val="0"/>
              <w:widowControl w:val="0"/>
              <w:shd w:val="clear" w:color="auto" w:fill="auto"/>
              <w:bidi w:val="0"/>
              <w:spacing w:before="0" w:after="0" w:line="235" w:lineRule="exact"/>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专业人员和设备</w:t>
            </w:r>
          </w:p>
        </w:tc>
        <w:tc>
          <w:tcPr>
            <w:tcBorders>
              <w:top w:val="single" w:color="auto" w:sz="4" w:space="0"/>
              <w:left w:val="single" w:color="auto" w:sz="4" w:space="0"/>
              <w:bottom w:val="single" w:color="auto" w:sz="4" w:space="0"/>
            </w:tcBorders>
            <w:shd w:val="clear" w:color="auto" w:fill="FFFFFF"/>
            <w:vAlign w:val="center"/>
          </w:tcPr>
          <w:p w14:paraId="601385B1">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可忽略</w:t>
            </w:r>
          </w:p>
        </w:tc>
        <w:tc>
          <w:tcPr>
            <w:tcBorders>
              <w:top w:val="single" w:color="auto" w:sz="4" w:space="0"/>
              <w:left w:val="single" w:color="auto" w:sz="4" w:space="0"/>
              <w:bottom w:val="single" w:color="auto" w:sz="4" w:space="0"/>
              <w:right w:val="single" w:color="auto" w:sz="4" w:space="0"/>
            </w:tcBorders>
            <w:shd w:val="clear" w:color="auto" w:fill="FFFFFF"/>
            <w:vAlign w:val="center"/>
          </w:tcPr>
          <w:p w14:paraId="0895312D">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CN"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en-US" w:eastAsia="zh-CN" w:bidi="zh-TW"/>
              </w:rPr>
              <w:t>是</w:t>
            </w:r>
          </w:p>
        </w:tc>
      </w:tr>
    </w:tbl>
    <w:p w14:paraId="58CB9E4E">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经现场排查，厂区内涉及固态物质的存储和运输为：</w:t>
      </w:r>
      <w:r>
        <w:rPr>
          <w:rFonts w:hint="eastAsia" w:ascii="仿宋_GB2312" w:hAnsi="仿宋_GB2312" w:eastAsia="仿宋_GB2312" w:cs="仿宋_GB2312"/>
          <w:lang w:val="en-US" w:eastAsia="zh-CN"/>
        </w:rPr>
        <w:t>环保耗材</w:t>
      </w:r>
      <w:r>
        <w:rPr>
          <w:rFonts w:hint="eastAsia" w:ascii="仿宋_GB2312" w:hAnsi="仿宋_GB2312" w:eastAsia="仿宋_GB2312" w:cs="仿宋_GB2312"/>
          <w:lang w:eastAsia="zh-CN"/>
        </w:rPr>
        <w:t>的储存和运输。</w:t>
      </w:r>
      <w:r>
        <w:rPr>
          <w:rFonts w:hint="eastAsia" w:ascii="仿宋_GB2312" w:hAnsi="仿宋_GB2312" w:eastAsia="仿宋_GB2312" w:cs="仿宋_GB2312"/>
          <w:lang w:val="en-US" w:eastAsia="zh-CN"/>
        </w:rPr>
        <w:t>环保耗材</w:t>
      </w:r>
      <w:r>
        <w:rPr>
          <w:rFonts w:hint="eastAsia" w:ascii="仿宋_GB2312" w:hAnsi="仿宋_GB2312" w:eastAsia="仿宋_GB2312" w:cs="仿宋_GB2312"/>
          <w:lang w:eastAsia="zh-CN"/>
        </w:rPr>
        <w:t>均采用汽运的方式运入厂区，</w:t>
      </w:r>
      <w:r>
        <w:rPr>
          <w:rFonts w:hint="eastAsia" w:ascii="仿宋_GB2312" w:hAnsi="仿宋_GB2312" w:eastAsia="仿宋_GB2312" w:cs="仿宋_GB2312"/>
          <w:lang w:val="en-US" w:eastAsia="zh-CN"/>
        </w:rPr>
        <w:t>环保耗材</w:t>
      </w:r>
      <w:r>
        <w:rPr>
          <w:rFonts w:hint="eastAsia" w:ascii="仿宋_GB2312" w:hAnsi="仿宋_GB2312" w:eastAsia="仿宋_GB2312" w:cs="仿宋_GB2312"/>
          <w:lang w:eastAsia="zh-CN"/>
        </w:rPr>
        <w:t>仓库地面采用抗渗混凝土进行防渗，地面未见破损，现场未发现有“跑、冒、滴、漏”现象。各库均有专人负责巡查管理，防范措施到位，因此该区域隐患等级为“可忽略”。</w:t>
      </w:r>
    </w:p>
    <w:p w14:paraId="1D8DA08A">
      <w:pPr>
        <w:pStyle w:val="27"/>
        <w:bidi w:val="0"/>
        <w:rPr>
          <w:rFonts w:hint="eastAsia"/>
          <w:lang w:eastAsia="zh-CN"/>
        </w:rPr>
      </w:pPr>
      <w:r>
        <w:rPr>
          <w:rFonts w:hint="eastAsia" w:ascii="仿宋_GB2312" w:hAnsi="仿宋_GB2312" w:eastAsia="仿宋_GB2312" w:cs="仿宋_GB2312"/>
          <w:lang w:eastAsia="zh-CN"/>
        </w:rPr>
        <w:t>（3）液体的存储和运输（圆桶、集装箱等）</w:t>
      </w:r>
    </w:p>
    <w:tbl>
      <w:tblPr>
        <w:tblStyle w:val="9"/>
        <w:tblW w:w="8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810"/>
        <w:gridCol w:w="1277"/>
        <w:gridCol w:w="979"/>
        <w:gridCol w:w="1109"/>
        <w:gridCol w:w="1262"/>
        <w:gridCol w:w="1162"/>
        <w:gridCol w:w="1286"/>
      </w:tblGrid>
      <w:tr w14:paraId="060DE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01" w:hRule="exact"/>
          <w:jc w:val="center"/>
        </w:trPr>
        <w:tc>
          <w:tcPr>
            <w:gridSpan w:val="2"/>
            <w:shd w:val="clear" w:color="auto" w:fill="FFFFFF"/>
            <w:vAlign w:val="center"/>
          </w:tcPr>
          <w:p w14:paraId="6E6B5ED6">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系统设计</w:t>
            </w:r>
          </w:p>
        </w:tc>
        <w:tc>
          <w:tcPr>
            <w:gridSpan w:val="4"/>
            <w:shd w:val="clear" w:color="auto" w:fill="FFFFFF"/>
            <w:vAlign w:val="center"/>
          </w:tcPr>
          <w:p w14:paraId="315574A4">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日常运行管理</w:t>
            </w:r>
          </w:p>
        </w:tc>
        <w:tc>
          <w:tcPr>
            <w:vMerge w:val="restart"/>
            <w:shd w:val="clear" w:color="auto" w:fill="FFFFFF"/>
            <w:vAlign w:val="center"/>
          </w:tcPr>
          <w:p w14:paraId="3B50E9D2">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本项目是否涉及</w:t>
            </w:r>
          </w:p>
        </w:tc>
      </w:tr>
      <w:tr w14:paraId="6CB94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20" w:hRule="exact"/>
          <w:jc w:val="center"/>
        </w:trPr>
        <w:tc>
          <w:tcPr>
            <w:shd w:val="clear" w:color="auto" w:fill="FFFFFF"/>
            <w:vAlign w:val="center"/>
          </w:tcPr>
          <w:p w14:paraId="39099B02">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施工/设计</w:t>
            </w:r>
          </w:p>
        </w:tc>
        <w:tc>
          <w:tcPr>
            <w:shd w:val="clear" w:color="auto" w:fill="FFFFFF"/>
            <w:vAlign w:val="center"/>
          </w:tcPr>
          <w:p w14:paraId="0A4C6315">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重点</w:t>
            </w:r>
          </w:p>
        </w:tc>
        <w:tc>
          <w:tcPr>
            <w:shd w:val="clear" w:color="auto" w:fill="FFFFFF"/>
            <w:vAlign w:val="center"/>
          </w:tcPr>
          <w:p w14:paraId="494DA055">
            <w:pPr>
              <w:keepNext w:val="0"/>
              <w:keepLines w:val="0"/>
              <w:widowControl w:val="0"/>
              <w:shd w:val="clear" w:color="auto" w:fill="auto"/>
              <w:bidi w:val="0"/>
              <w:spacing w:before="0" w:after="0" w:line="250" w:lineRule="exact"/>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特殊运行维护</w:t>
            </w:r>
          </w:p>
        </w:tc>
        <w:tc>
          <w:tcPr>
            <w:shd w:val="clear" w:color="auto" w:fill="FFFFFF"/>
            <w:vAlign w:val="center"/>
          </w:tcPr>
          <w:p w14:paraId="3CD3C5C7">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监测</w:t>
            </w:r>
          </w:p>
        </w:tc>
        <w:tc>
          <w:tcPr>
            <w:shd w:val="clear" w:color="auto" w:fill="FFFFFF"/>
            <w:vAlign w:val="center"/>
          </w:tcPr>
          <w:p w14:paraId="4AED4016">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事故管理</w:t>
            </w:r>
          </w:p>
        </w:tc>
        <w:tc>
          <w:tcPr>
            <w:shd w:val="clear" w:color="auto" w:fill="FFFFFF"/>
            <w:vAlign w:val="center"/>
          </w:tcPr>
          <w:p w14:paraId="4FB04200">
            <w:pPr>
              <w:keepNext w:val="0"/>
              <w:keepLines w:val="0"/>
              <w:widowControl w:val="0"/>
              <w:shd w:val="clear" w:color="auto" w:fill="auto"/>
              <w:bidi w:val="0"/>
              <w:spacing w:before="0" w:after="0" w:line="245" w:lineRule="exact"/>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土壤污染可能性</w:t>
            </w:r>
          </w:p>
        </w:tc>
        <w:tc>
          <w:tcPr>
            <w:vMerge w:val="continue"/>
            <w:shd w:val="clear" w:color="auto" w:fill="FFFFFF"/>
            <w:vAlign w:val="center"/>
          </w:tcPr>
          <w:p w14:paraId="1E0DB145">
            <w:pPr>
              <w:shd w:val="clear" w:color="auto" w:fill="auto"/>
              <w:jc w:val="center"/>
              <w:rPr>
                <w:rFonts w:hint="eastAsia" w:ascii="仿宋_GB2312" w:hAnsi="仿宋_GB2312" w:eastAsia="仿宋_GB2312" w:cs="仿宋_GB2312"/>
                <w:sz w:val="21"/>
                <w:szCs w:val="21"/>
              </w:rPr>
            </w:pPr>
          </w:p>
        </w:tc>
      </w:tr>
      <w:tr w14:paraId="706D0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90" w:hRule="exact"/>
          <w:jc w:val="center"/>
        </w:trPr>
        <w:tc>
          <w:tcPr>
            <w:shd w:val="clear" w:color="auto" w:fill="FFFFFF"/>
            <w:vAlign w:val="center"/>
          </w:tcPr>
          <w:p w14:paraId="481B854F">
            <w:pPr>
              <w:keepNext w:val="0"/>
              <w:keepLines w:val="0"/>
              <w:widowControl w:val="0"/>
              <w:shd w:val="clear" w:color="auto" w:fill="auto"/>
              <w:bidi w:val="0"/>
              <w:spacing w:before="0" w:after="0" w:line="250" w:lineRule="exact"/>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开放容器、无防渗等措施</w:t>
            </w:r>
          </w:p>
        </w:tc>
        <w:tc>
          <w:tcPr>
            <w:shd w:val="clear" w:color="auto" w:fill="FFFFFF"/>
            <w:vAlign w:val="center"/>
          </w:tcPr>
          <w:p w14:paraId="47910A7B">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包装方式、转运方法</w:t>
            </w:r>
          </w:p>
        </w:tc>
        <w:tc>
          <w:tcPr>
            <w:shd w:val="clear" w:color="auto" w:fill="FFFFFF"/>
            <w:vAlign w:val="center"/>
          </w:tcPr>
          <w:p w14:paraId="3AFFD884">
            <w:pPr>
              <w:keepNext w:val="0"/>
              <w:keepLines w:val="0"/>
              <w:widowControl w:val="0"/>
              <w:shd w:val="clear" w:color="auto" w:fill="auto"/>
              <w:bidi w:val="0"/>
              <w:spacing w:before="0" w:after="0" w:line="240" w:lineRule="auto"/>
              <w:ind w:left="0" w:right="0" w:firstLine="38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w:t>
            </w:r>
          </w:p>
        </w:tc>
        <w:tc>
          <w:tcPr>
            <w:shd w:val="clear" w:color="auto" w:fill="FFFFFF"/>
            <w:vAlign w:val="center"/>
          </w:tcPr>
          <w:p w14:paraId="3864FCD1">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w:t>
            </w:r>
          </w:p>
        </w:tc>
        <w:tc>
          <w:tcPr>
            <w:shd w:val="clear" w:color="auto" w:fill="FFFFFF"/>
            <w:vAlign w:val="center"/>
          </w:tcPr>
          <w:p w14:paraId="5911AE17">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w:t>
            </w:r>
          </w:p>
        </w:tc>
        <w:tc>
          <w:tcPr>
            <w:shd w:val="clear" w:color="auto" w:fill="FFFFFF"/>
            <w:vAlign w:val="center"/>
          </w:tcPr>
          <w:p w14:paraId="4A19042E">
            <w:pPr>
              <w:keepNext w:val="0"/>
              <w:keepLines w:val="0"/>
              <w:widowControl w:val="0"/>
              <w:shd w:val="clear" w:color="auto" w:fill="auto"/>
              <w:bidi w:val="0"/>
              <w:spacing w:before="0" w:after="0" w:line="245" w:lineRule="exact"/>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极易造成污染</w:t>
            </w:r>
          </w:p>
        </w:tc>
        <w:tc>
          <w:tcPr>
            <w:shd w:val="clear" w:color="auto" w:fill="FFFFFF"/>
            <w:vAlign w:val="center"/>
          </w:tcPr>
          <w:p w14:paraId="1FF6D90C">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否</w:t>
            </w:r>
          </w:p>
        </w:tc>
      </w:tr>
      <w:tr w14:paraId="04D54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5" w:hRule="exact"/>
          <w:jc w:val="center"/>
        </w:trPr>
        <w:tc>
          <w:tcPr>
            <w:shd w:val="clear" w:color="auto" w:fill="FFFFFF"/>
            <w:vAlign w:val="center"/>
          </w:tcPr>
          <w:p w14:paraId="2E6926EE">
            <w:pPr>
              <w:keepNext w:val="0"/>
              <w:keepLines w:val="0"/>
              <w:widowControl w:val="0"/>
              <w:shd w:val="clear" w:color="auto" w:fill="auto"/>
              <w:bidi w:val="0"/>
              <w:spacing w:before="0" w:after="0" w:line="230" w:lineRule="exact"/>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开放容器，有防渗等措施</w:t>
            </w:r>
          </w:p>
        </w:tc>
        <w:tc>
          <w:tcPr>
            <w:shd w:val="clear" w:color="auto" w:fill="FFFFFF"/>
            <w:vAlign w:val="center"/>
          </w:tcPr>
          <w:p w14:paraId="5DE7F818">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包装方式、转运方法</w:t>
            </w:r>
          </w:p>
        </w:tc>
        <w:tc>
          <w:tcPr>
            <w:shd w:val="clear" w:color="auto" w:fill="FFFFFF"/>
            <w:vAlign w:val="center"/>
          </w:tcPr>
          <w:p w14:paraId="6DE6E85A">
            <w:pPr>
              <w:keepNext w:val="0"/>
              <w:keepLines w:val="0"/>
              <w:widowControl w:val="0"/>
              <w:shd w:val="clear" w:color="auto" w:fill="auto"/>
              <w:bidi w:val="0"/>
              <w:spacing w:before="0" w:after="0" w:line="240" w:lineRule="auto"/>
              <w:ind w:left="0" w:right="0" w:firstLine="38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shd w:val="clear" w:color="auto" w:fill="FFFFFF"/>
            <w:vAlign w:val="center"/>
          </w:tcPr>
          <w:p w14:paraId="6E824F70">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shd w:val="clear" w:color="auto" w:fill="FFFFFF"/>
            <w:vAlign w:val="center"/>
          </w:tcPr>
          <w:p w14:paraId="6A96CDAB">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完善</w:t>
            </w:r>
          </w:p>
        </w:tc>
        <w:tc>
          <w:tcPr>
            <w:shd w:val="clear" w:color="auto" w:fill="FFFFFF"/>
            <w:vAlign w:val="center"/>
          </w:tcPr>
          <w:p w14:paraId="11EE45FE">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易造成污染</w:t>
            </w:r>
          </w:p>
        </w:tc>
        <w:tc>
          <w:tcPr>
            <w:shd w:val="clear" w:color="auto" w:fill="FFFFFF"/>
            <w:vAlign w:val="center"/>
          </w:tcPr>
          <w:p w14:paraId="7D585024">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否</w:t>
            </w:r>
          </w:p>
        </w:tc>
      </w:tr>
      <w:tr w14:paraId="48A9F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5" w:hRule="exact"/>
          <w:jc w:val="center"/>
        </w:trPr>
        <w:tc>
          <w:tcPr>
            <w:shd w:val="clear" w:color="auto" w:fill="FFFFFF"/>
            <w:vAlign w:val="center"/>
          </w:tcPr>
          <w:p w14:paraId="0EC84EA6">
            <w:pPr>
              <w:keepNext w:val="0"/>
              <w:keepLines w:val="0"/>
              <w:widowControl w:val="0"/>
              <w:shd w:val="clear" w:color="auto" w:fill="auto"/>
              <w:bidi w:val="0"/>
              <w:spacing w:before="0" w:after="0" w:line="230" w:lineRule="exact"/>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密闭容器、有防渗等措施</w:t>
            </w:r>
          </w:p>
        </w:tc>
        <w:tc>
          <w:tcPr>
            <w:shd w:val="clear" w:color="auto" w:fill="FFFFFF"/>
            <w:vAlign w:val="center"/>
          </w:tcPr>
          <w:p w14:paraId="73614360">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包装方式、转运方法</w:t>
            </w:r>
          </w:p>
        </w:tc>
        <w:tc>
          <w:tcPr>
            <w:shd w:val="clear" w:color="auto" w:fill="FFFFFF"/>
            <w:vAlign w:val="center"/>
          </w:tcPr>
          <w:p w14:paraId="6E71340F">
            <w:pPr>
              <w:keepNext w:val="0"/>
              <w:keepLines w:val="0"/>
              <w:widowControl w:val="0"/>
              <w:shd w:val="clear" w:color="auto" w:fill="auto"/>
              <w:bidi w:val="0"/>
              <w:spacing w:before="0" w:after="0" w:line="240" w:lineRule="auto"/>
              <w:ind w:left="0" w:right="0" w:firstLine="38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shd w:val="clear" w:color="auto" w:fill="FFFFFF"/>
            <w:vAlign w:val="center"/>
          </w:tcPr>
          <w:p w14:paraId="52B1155A">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shd w:val="clear" w:color="auto" w:fill="FFFFFF"/>
            <w:vAlign w:val="center"/>
          </w:tcPr>
          <w:p w14:paraId="39849EF1">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完善</w:t>
            </w:r>
          </w:p>
        </w:tc>
        <w:tc>
          <w:tcPr>
            <w:shd w:val="clear" w:color="auto" w:fill="FFFFFF"/>
            <w:vAlign w:val="center"/>
          </w:tcPr>
          <w:p w14:paraId="4F13C18C">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可能产生</w:t>
            </w:r>
          </w:p>
        </w:tc>
        <w:tc>
          <w:tcPr>
            <w:shd w:val="clear" w:color="auto" w:fill="FFFFFF"/>
            <w:vAlign w:val="center"/>
          </w:tcPr>
          <w:p w14:paraId="3155E6F0">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否</w:t>
            </w:r>
          </w:p>
        </w:tc>
      </w:tr>
      <w:tr w14:paraId="36F00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5" w:hRule="exact"/>
          <w:jc w:val="center"/>
        </w:trPr>
        <w:tc>
          <w:tcPr>
            <w:shd w:val="clear" w:color="auto" w:fill="FFFFFF"/>
            <w:vAlign w:val="center"/>
          </w:tcPr>
          <w:p w14:paraId="3FF99F2B">
            <w:pPr>
              <w:keepNext w:val="0"/>
              <w:keepLines w:val="0"/>
              <w:widowControl w:val="0"/>
              <w:shd w:val="clear" w:color="auto" w:fill="auto"/>
              <w:bidi w:val="0"/>
              <w:spacing w:before="0" w:after="0" w:line="226" w:lineRule="exact"/>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有防护且不渗的密闭容器</w:t>
            </w:r>
          </w:p>
        </w:tc>
        <w:tc>
          <w:tcPr>
            <w:shd w:val="clear" w:color="auto" w:fill="FFFFFF"/>
            <w:vAlign w:val="center"/>
          </w:tcPr>
          <w:p w14:paraId="50E81794">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包装方式、转运方法</w:t>
            </w:r>
          </w:p>
        </w:tc>
        <w:tc>
          <w:tcPr>
            <w:shd w:val="clear" w:color="auto" w:fill="FFFFFF"/>
            <w:vAlign w:val="center"/>
          </w:tcPr>
          <w:p w14:paraId="76C2CBE8">
            <w:pPr>
              <w:keepNext w:val="0"/>
              <w:keepLines w:val="0"/>
              <w:widowControl w:val="0"/>
              <w:shd w:val="clear" w:color="auto" w:fill="auto"/>
              <w:bidi w:val="0"/>
              <w:spacing w:before="0" w:after="0" w:line="240" w:lineRule="auto"/>
              <w:ind w:left="0" w:right="0" w:firstLine="38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shd w:val="clear" w:color="auto" w:fill="FFFFFF"/>
            <w:vAlign w:val="center"/>
          </w:tcPr>
          <w:p w14:paraId="17CF407E">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定期监测</w:t>
            </w:r>
          </w:p>
        </w:tc>
        <w:tc>
          <w:tcPr>
            <w:shd w:val="clear" w:color="auto" w:fill="FFFFFF"/>
            <w:vAlign w:val="center"/>
          </w:tcPr>
          <w:p w14:paraId="5ADDDC29">
            <w:pPr>
              <w:keepNext w:val="0"/>
              <w:keepLines w:val="0"/>
              <w:widowControl w:val="0"/>
              <w:shd w:val="clear" w:color="auto" w:fill="auto"/>
              <w:bidi w:val="0"/>
              <w:spacing w:before="0" w:after="0" w:line="254" w:lineRule="exact"/>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专业人员和设备</w:t>
            </w:r>
          </w:p>
        </w:tc>
        <w:tc>
          <w:tcPr>
            <w:shd w:val="clear" w:color="auto" w:fill="FFFFFF"/>
            <w:vAlign w:val="center"/>
          </w:tcPr>
          <w:p w14:paraId="57EA8E20">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可忽略</w:t>
            </w:r>
          </w:p>
        </w:tc>
        <w:tc>
          <w:tcPr>
            <w:shd w:val="clear" w:color="auto" w:fill="FFFFFF"/>
            <w:vAlign w:val="center"/>
          </w:tcPr>
          <w:p w14:paraId="09A0F138">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否</w:t>
            </w:r>
          </w:p>
        </w:tc>
      </w:tr>
    </w:tbl>
    <w:p w14:paraId="0350FF2C">
      <w:pPr>
        <w:pStyle w:val="27"/>
        <w:bidi w:val="0"/>
        <w:rPr>
          <w:rFonts w:hint="eastAsia" w:ascii="仿宋_GB2312" w:hAnsi="仿宋_GB2312" w:eastAsia="仿宋_GB2312" w:cs="仿宋_GB2312"/>
          <w:lang w:val="en-US" w:eastAsia="zh-CN"/>
        </w:rPr>
      </w:pPr>
      <w:bookmarkStart w:id="209" w:name="_Toc8467"/>
      <w:r>
        <w:rPr>
          <w:rFonts w:hint="eastAsia" w:ascii="仿宋_GB2312" w:hAnsi="仿宋_GB2312" w:eastAsia="仿宋_GB2312" w:cs="仿宋_GB2312"/>
          <w:lang w:eastAsia="zh-CN"/>
        </w:rPr>
        <w:t>经现场排查，厂区内不涉及液体的存储和运</w:t>
      </w:r>
      <w:r>
        <w:rPr>
          <w:rFonts w:hint="eastAsia" w:ascii="仿宋_GB2312" w:hAnsi="仿宋_GB2312" w:eastAsia="仿宋_GB2312" w:cs="仿宋_GB2312"/>
          <w:lang w:val="en-US" w:eastAsia="zh-CN"/>
        </w:rPr>
        <w:t>输。</w:t>
      </w:r>
    </w:p>
    <w:p w14:paraId="352DEE5A">
      <w:pPr>
        <w:pStyle w:val="29"/>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4.1.4生产区</w:t>
      </w:r>
      <w:bookmarkEnd w:id="209"/>
    </w:p>
    <w:p w14:paraId="465CA6E4">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生产加工装置一般包括密闭和开放、半开放类型等，重点检查其防护设施、车间内传输泵、地面防渗阻隔系统等。</w:t>
      </w:r>
    </w:p>
    <w:p w14:paraId="2E181F64">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经现场排查，厂区内涉及生产区为：生产车间。各生产设备均布置于生产车间内，车间地面采用抗渗混凝土进行防渗处理，车间四周设置有地沟。过滤机等均架空离地，均为密闭设备。现场未发现存在有轻微“跑、冒、滴、漏”现象。车间有专人负责巡查管理，防范措施到位，管理制度完善，因此该区域隐患等级为“可忽略”。</w:t>
      </w:r>
    </w:p>
    <w:p w14:paraId="2D86A7DD">
      <w:pPr>
        <w:pStyle w:val="29"/>
        <w:bidi w:val="0"/>
        <w:rPr>
          <w:rFonts w:hint="eastAsia" w:ascii="仿宋_GB2312" w:hAnsi="仿宋_GB2312" w:eastAsia="仿宋_GB2312" w:cs="仿宋_GB2312"/>
          <w:lang w:eastAsia="zh-CN"/>
        </w:rPr>
      </w:pPr>
      <w:bookmarkStart w:id="210" w:name="_Toc10395"/>
      <w:r>
        <w:rPr>
          <w:rFonts w:hint="eastAsia" w:ascii="仿宋_GB2312" w:hAnsi="仿宋_GB2312" w:eastAsia="仿宋_GB2312" w:cs="仿宋_GB2312"/>
          <w:lang w:eastAsia="zh-CN"/>
        </w:rPr>
        <w:t>4.1.5其他活动区</w:t>
      </w:r>
      <w:bookmarkEnd w:id="210"/>
    </w:p>
    <w:p w14:paraId="2E472A56">
      <w:pPr>
        <w:pStyle w:val="27"/>
        <w:bidi w:val="0"/>
        <w:rPr>
          <w:rFonts w:hint="eastAsia"/>
          <w:lang w:eastAsia="zh-CN"/>
        </w:rPr>
      </w:pP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2</w:t>
      </w:r>
      <w:r>
        <w:rPr>
          <w:rFonts w:hint="eastAsia" w:ascii="仿宋_GB2312" w:hAnsi="仿宋_GB2312" w:eastAsia="仿宋_GB2312" w:cs="仿宋_GB2312"/>
          <w:lang w:eastAsia="zh-CN"/>
        </w:rPr>
        <w:t>）公司污水处理与排放</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814"/>
        <w:gridCol w:w="1272"/>
        <w:gridCol w:w="979"/>
        <w:gridCol w:w="1109"/>
        <w:gridCol w:w="1248"/>
        <w:gridCol w:w="1190"/>
        <w:gridCol w:w="1267"/>
      </w:tblGrid>
      <w:tr w14:paraId="43400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81" w:hRule="exact"/>
          <w:jc w:val="center"/>
        </w:trPr>
        <w:tc>
          <w:tcPr>
            <w:gridSpan w:val="2"/>
            <w:shd w:val="clear" w:color="auto" w:fill="FFFFFF"/>
            <w:vAlign w:val="center"/>
          </w:tcPr>
          <w:p w14:paraId="15B02080">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系统设计</w:t>
            </w:r>
          </w:p>
        </w:tc>
        <w:tc>
          <w:tcPr>
            <w:gridSpan w:val="4"/>
            <w:shd w:val="clear" w:color="auto" w:fill="FFFFFF"/>
            <w:vAlign w:val="center"/>
          </w:tcPr>
          <w:p w14:paraId="35E2D612">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日常运行管理</w:t>
            </w:r>
          </w:p>
        </w:tc>
        <w:tc>
          <w:tcPr>
            <w:vMerge w:val="restart"/>
            <w:shd w:val="clear" w:color="auto" w:fill="FFFFFF"/>
            <w:vAlign w:val="center"/>
          </w:tcPr>
          <w:p w14:paraId="6BF9364F">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本项目是否涉及</w:t>
            </w:r>
          </w:p>
        </w:tc>
      </w:tr>
      <w:tr w14:paraId="026A7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76" w:hRule="exact"/>
          <w:jc w:val="center"/>
        </w:trPr>
        <w:tc>
          <w:tcPr>
            <w:shd w:val="clear" w:color="auto" w:fill="FFFFFF"/>
            <w:vAlign w:val="center"/>
          </w:tcPr>
          <w:p w14:paraId="42BB5A22">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施工/设计</w:t>
            </w:r>
          </w:p>
        </w:tc>
        <w:tc>
          <w:tcPr>
            <w:shd w:val="clear" w:color="auto" w:fill="FFFFFF"/>
            <w:vAlign w:val="center"/>
          </w:tcPr>
          <w:p w14:paraId="763BDC75">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重点</w:t>
            </w:r>
          </w:p>
        </w:tc>
        <w:tc>
          <w:tcPr>
            <w:shd w:val="clear" w:color="auto" w:fill="FFFFFF"/>
            <w:vAlign w:val="center"/>
          </w:tcPr>
          <w:p w14:paraId="3912E308">
            <w:pPr>
              <w:keepNext w:val="0"/>
              <w:keepLines w:val="0"/>
              <w:widowControl w:val="0"/>
              <w:shd w:val="clear" w:color="auto" w:fill="auto"/>
              <w:bidi w:val="0"/>
              <w:spacing w:before="0" w:after="0" w:line="250"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特殊运行维护</w:t>
            </w:r>
          </w:p>
        </w:tc>
        <w:tc>
          <w:tcPr>
            <w:shd w:val="clear" w:color="auto" w:fill="FFFFFF"/>
            <w:vAlign w:val="center"/>
          </w:tcPr>
          <w:p w14:paraId="7481DA1E">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监测</w:t>
            </w:r>
          </w:p>
        </w:tc>
        <w:tc>
          <w:tcPr>
            <w:shd w:val="clear" w:color="auto" w:fill="FFFFFF"/>
            <w:vAlign w:val="center"/>
          </w:tcPr>
          <w:p w14:paraId="0E060A12">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事故管理</w:t>
            </w:r>
          </w:p>
        </w:tc>
        <w:tc>
          <w:tcPr>
            <w:shd w:val="clear" w:color="auto" w:fill="FFFFFF"/>
            <w:vAlign w:val="center"/>
          </w:tcPr>
          <w:p w14:paraId="60E70C43">
            <w:pPr>
              <w:keepNext w:val="0"/>
              <w:keepLines w:val="0"/>
              <w:widowControl w:val="0"/>
              <w:shd w:val="clear" w:color="auto" w:fill="auto"/>
              <w:bidi w:val="0"/>
              <w:spacing w:before="0" w:after="0" w:line="245"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土壤污染可能性</w:t>
            </w:r>
          </w:p>
        </w:tc>
        <w:tc>
          <w:tcPr>
            <w:vMerge w:val="continue"/>
            <w:shd w:val="clear" w:color="auto" w:fill="FFFFFF"/>
            <w:vAlign w:val="center"/>
          </w:tcPr>
          <w:p w14:paraId="562B9636">
            <w:pPr>
              <w:shd w:val="clear" w:color="auto" w:fill="auto"/>
              <w:jc w:val="center"/>
              <w:rPr>
                <w:rFonts w:hint="eastAsia" w:ascii="仿宋_GB2312" w:hAnsi="仿宋_GB2312" w:eastAsia="仿宋_GB2312" w:cs="仿宋_GB2312"/>
                <w:b w:val="0"/>
                <w:bCs w:val="0"/>
                <w:sz w:val="21"/>
                <w:szCs w:val="21"/>
              </w:rPr>
            </w:pPr>
          </w:p>
        </w:tc>
      </w:tr>
      <w:tr w14:paraId="07DC8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81" w:hRule="exact"/>
          <w:jc w:val="center"/>
        </w:trPr>
        <w:tc>
          <w:tcPr>
            <w:shd w:val="clear" w:color="auto" w:fill="FFFFFF"/>
            <w:vAlign w:val="center"/>
          </w:tcPr>
          <w:p w14:paraId="298DB6B2">
            <w:pPr>
              <w:keepNext w:val="0"/>
              <w:keepLines w:val="0"/>
              <w:widowControl w:val="0"/>
              <w:shd w:val="clear" w:color="auto" w:fill="auto"/>
              <w:bidi w:val="0"/>
              <w:spacing w:before="0" w:after="0" w:line="245"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无防渗措施的地水道</w:t>
            </w:r>
          </w:p>
        </w:tc>
        <w:tc>
          <w:tcPr>
            <w:shd w:val="clear" w:color="auto" w:fill="FFFFFF"/>
            <w:vAlign w:val="center"/>
          </w:tcPr>
          <w:p w14:paraId="1FA74A19">
            <w:pPr>
              <w:keepNext w:val="0"/>
              <w:keepLines w:val="0"/>
              <w:widowControl w:val="0"/>
              <w:shd w:val="clear" w:color="auto" w:fill="auto"/>
              <w:bidi w:val="0"/>
              <w:spacing w:before="0" w:after="0" w:line="245"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管道材料、连接口</w:t>
            </w:r>
          </w:p>
        </w:tc>
        <w:tc>
          <w:tcPr>
            <w:shd w:val="clear" w:color="auto" w:fill="FFFFFF"/>
            <w:vAlign w:val="center"/>
          </w:tcPr>
          <w:p w14:paraId="54C877D2">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w:t>
            </w:r>
          </w:p>
        </w:tc>
        <w:tc>
          <w:tcPr>
            <w:shd w:val="clear" w:color="auto" w:fill="FFFFFF"/>
            <w:vAlign w:val="center"/>
          </w:tcPr>
          <w:p w14:paraId="0F9ED03F">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w:t>
            </w:r>
          </w:p>
        </w:tc>
        <w:tc>
          <w:tcPr>
            <w:shd w:val="clear" w:color="auto" w:fill="FFFFFF"/>
            <w:vAlign w:val="center"/>
          </w:tcPr>
          <w:p w14:paraId="0A258052">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w:t>
            </w:r>
          </w:p>
        </w:tc>
        <w:tc>
          <w:tcPr>
            <w:shd w:val="clear" w:color="auto" w:fill="FFFFFF"/>
            <w:vAlign w:val="center"/>
          </w:tcPr>
          <w:p w14:paraId="5746D470">
            <w:pPr>
              <w:keepNext w:val="0"/>
              <w:keepLines w:val="0"/>
              <w:widowControl w:val="0"/>
              <w:shd w:val="clear" w:color="auto" w:fill="auto"/>
              <w:bidi w:val="0"/>
              <w:spacing w:before="0" w:after="0" w:line="245"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极易造成污染</w:t>
            </w:r>
          </w:p>
        </w:tc>
        <w:tc>
          <w:tcPr>
            <w:shd w:val="clear" w:color="auto" w:fill="FFFFFF"/>
            <w:vAlign w:val="center"/>
          </w:tcPr>
          <w:p w14:paraId="3C34845D">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否</w:t>
            </w:r>
          </w:p>
        </w:tc>
      </w:tr>
      <w:tr w14:paraId="5428D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76" w:hRule="exact"/>
          <w:jc w:val="center"/>
        </w:trPr>
        <w:tc>
          <w:tcPr>
            <w:shd w:val="clear" w:color="auto" w:fill="FFFFFF"/>
            <w:vAlign w:val="center"/>
          </w:tcPr>
          <w:p w14:paraId="15A202B1">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有防渗措施的地下水道</w:t>
            </w:r>
          </w:p>
        </w:tc>
        <w:tc>
          <w:tcPr>
            <w:shd w:val="clear" w:color="auto" w:fill="FFFFFF"/>
            <w:vAlign w:val="center"/>
          </w:tcPr>
          <w:p w14:paraId="00256509">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管道材料、连接口</w:t>
            </w:r>
          </w:p>
        </w:tc>
        <w:tc>
          <w:tcPr>
            <w:shd w:val="clear" w:color="auto" w:fill="FFFFFF"/>
            <w:vAlign w:val="center"/>
          </w:tcPr>
          <w:p w14:paraId="514607BF">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w:t>
            </w:r>
          </w:p>
        </w:tc>
        <w:tc>
          <w:tcPr>
            <w:shd w:val="clear" w:color="auto" w:fill="FFFFFF"/>
            <w:vAlign w:val="center"/>
          </w:tcPr>
          <w:p w14:paraId="357D7DBF">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w:t>
            </w:r>
          </w:p>
        </w:tc>
        <w:tc>
          <w:tcPr>
            <w:shd w:val="clear" w:color="auto" w:fill="FFFFFF"/>
            <w:vAlign w:val="center"/>
          </w:tcPr>
          <w:p w14:paraId="429CE73E">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shd w:val="clear" w:color="auto" w:fill="FFFFFF"/>
            <w:vAlign w:val="center"/>
          </w:tcPr>
          <w:p w14:paraId="20D1406D">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易造成污染</w:t>
            </w:r>
          </w:p>
        </w:tc>
        <w:tc>
          <w:tcPr>
            <w:shd w:val="clear" w:color="auto" w:fill="FFFFFF"/>
            <w:vAlign w:val="center"/>
          </w:tcPr>
          <w:p w14:paraId="7FC64FC5">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否</w:t>
            </w:r>
          </w:p>
        </w:tc>
      </w:tr>
      <w:tr w14:paraId="368F1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26" w:hRule="exact"/>
          <w:jc w:val="center"/>
        </w:trPr>
        <w:tc>
          <w:tcPr>
            <w:shd w:val="clear" w:color="auto" w:fill="FFFFFF"/>
            <w:vAlign w:val="center"/>
          </w:tcPr>
          <w:p w14:paraId="593EA123">
            <w:pPr>
              <w:keepNext w:val="0"/>
              <w:keepLines w:val="0"/>
              <w:widowControl w:val="0"/>
              <w:shd w:val="clear" w:color="auto" w:fill="auto"/>
              <w:bidi w:val="0"/>
              <w:spacing w:before="0" w:after="0" w:line="235"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防渗及其它防护措施齐全的地下水道</w:t>
            </w:r>
          </w:p>
        </w:tc>
        <w:tc>
          <w:tcPr>
            <w:shd w:val="clear" w:color="auto" w:fill="FFFFFF"/>
            <w:vAlign w:val="center"/>
          </w:tcPr>
          <w:p w14:paraId="288A4FD5">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管道材料、连接口</w:t>
            </w:r>
          </w:p>
        </w:tc>
        <w:tc>
          <w:tcPr>
            <w:shd w:val="clear" w:color="auto" w:fill="FFFFFF"/>
            <w:vAlign w:val="center"/>
          </w:tcPr>
          <w:p w14:paraId="15707A00">
            <w:pPr>
              <w:keepNext w:val="0"/>
              <w:keepLines w:val="0"/>
              <w:widowControl w:val="0"/>
              <w:shd w:val="clear" w:color="auto" w:fill="auto"/>
              <w:bidi w:val="0"/>
              <w:spacing w:before="0" w:after="0" w:line="240" w:lineRule="auto"/>
              <w:ind w:left="0" w:right="0" w:firstLine="26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规范</w:t>
            </w:r>
          </w:p>
        </w:tc>
        <w:tc>
          <w:tcPr>
            <w:shd w:val="clear" w:color="auto" w:fill="FFFFFF"/>
            <w:vAlign w:val="center"/>
          </w:tcPr>
          <w:p w14:paraId="104508C8">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定期检测</w:t>
            </w:r>
          </w:p>
        </w:tc>
        <w:tc>
          <w:tcPr>
            <w:shd w:val="clear" w:color="auto" w:fill="FFFFFF"/>
            <w:vAlign w:val="center"/>
          </w:tcPr>
          <w:p w14:paraId="7AFD457E">
            <w:pPr>
              <w:keepNext w:val="0"/>
              <w:keepLines w:val="0"/>
              <w:widowControl w:val="0"/>
              <w:shd w:val="clear" w:color="auto" w:fill="auto"/>
              <w:bidi w:val="0"/>
              <w:spacing w:before="0" w:after="0" w:line="250"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专业人员和设施</w:t>
            </w:r>
          </w:p>
        </w:tc>
        <w:tc>
          <w:tcPr>
            <w:shd w:val="clear" w:color="auto" w:fill="FFFFFF"/>
            <w:vAlign w:val="center"/>
          </w:tcPr>
          <w:p w14:paraId="31756DDD">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可忽略</w:t>
            </w:r>
          </w:p>
        </w:tc>
        <w:tc>
          <w:tcPr>
            <w:shd w:val="clear" w:color="auto" w:fill="FFFFFF"/>
            <w:vAlign w:val="center"/>
          </w:tcPr>
          <w:p w14:paraId="7DAAD322">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否</w:t>
            </w:r>
          </w:p>
        </w:tc>
      </w:tr>
      <w:tr w14:paraId="2FD69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76" w:hRule="exact"/>
          <w:jc w:val="center"/>
        </w:trPr>
        <w:tc>
          <w:tcPr>
            <w:shd w:val="clear" w:color="auto" w:fill="FFFFFF"/>
            <w:vAlign w:val="center"/>
          </w:tcPr>
          <w:p w14:paraId="3C6208C3">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无防渗措施的地上管道</w:t>
            </w:r>
          </w:p>
        </w:tc>
        <w:tc>
          <w:tcPr>
            <w:shd w:val="clear" w:color="auto" w:fill="FFFFFF"/>
            <w:vAlign w:val="center"/>
          </w:tcPr>
          <w:p w14:paraId="77EF67BC">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管道材料、连接口</w:t>
            </w:r>
          </w:p>
        </w:tc>
        <w:tc>
          <w:tcPr>
            <w:shd w:val="clear" w:color="auto" w:fill="FFFFFF"/>
            <w:vAlign w:val="center"/>
          </w:tcPr>
          <w:p w14:paraId="52B02959">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shd w:val="clear" w:color="auto" w:fill="FFFFFF"/>
            <w:vAlign w:val="center"/>
          </w:tcPr>
          <w:p w14:paraId="307C41D6">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w:t>
            </w:r>
          </w:p>
        </w:tc>
        <w:tc>
          <w:tcPr>
            <w:shd w:val="clear" w:color="auto" w:fill="FFFFFF"/>
            <w:vAlign w:val="center"/>
          </w:tcPr>
          <w:p w14:paraId="7C2C6F89">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shd w:val="clear" w:color="auto" w:fill="FFFFFF"/>
            <w:vAlign w:val="center"/>
          </w:tcPr>
          <w:p w14:paraId="48C78EBD">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易造成污染</w:t>
            </w:r>
          </w:p>
        </w:tc>
        <w:tc>
          <w:tcPr>
            <w:shd w:val="clear" w:color="auto" w:fill="FFFFFF"/>
            <w:vAlign w:val="center"/>
          </w:tcPr>
          <w:p w14:paraId="3DAB6B54">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否</w:t>
            </w:r>
          </w:p>
        </w:tc>
      </w:tr>
      <w:tr w14:paraId="5A1ED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71" w:hRule="exact"/>
          <w:jc w:val="center"/>
        </w:trPr>
        <w:tc>
          <w:tcPr>
            <w:shd w:val="clear" w:color="auto" w:fill="FFFFFF"/>
            <w:vAlign w:val="center"/>
          </w:tcPr>
          <w:p w14:paraId="7B78DF8C">
            <w:pPr>
              <w:keepNext w:val="0"/>
              <w:keepLines w:val="0"/>
              <w:widowControl w:val="0"/>
              <w:shd w:val="clear" w:color="auto" w:fill="auto"/>
              <w:bidi w:val="0"/>
              <w:spacing w:before="0" w:after="0" w:line="235"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有防渗及其它措施的地上管道</w:t>
            </w:r>
          </w:p>
        </w:tc>
        <w:tc>
          <w:tcPr>
            <w:shd w:val="clear" w:color="auto" w:fill="FFFFFF"/>
            <w:vAlign w:val="center"/>
          </w:tcPr>
          <w:p w14:paraId="4528B97C">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材料、接头</w:t>
            </w:r>
          </w:p>
        </w:tc>
        <w:tc>
          <w:tcPr>
            <w:shd w:val="clear" w:color="auto" w:fill="FFFFFF"/>
            <w:vAlign w:val="center"/>
          </w:tcPr>
          <w:p w14:paraId="3E519FAD">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shd w:val="clear" w:color="auto" w:fill="FFFFFF"/>
            <w:vAlign w:val="center"/>
          </w:tcPr>
          <w:p w14:paraId="76CACE5C">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定期检测</w:t>
            </w:r>
          </w:p>
        </w:tc>
        <w:tc>
          <w:tcPr>
            <w:shd w:val="clear" w:color="auto" w:fill="FFFFFF"/>
            <w:vAlign w:val="center"/>
          </w:tcPr>
          <w:p w14:paraId="0E2AB84F">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专业人员和设施</w:t>
            </w:r>
          </w:p>
        </w:tc>
        <w:tc>
          <w:tcPr>
            <w:shd w:val="clear" w:color="auto" w:fill="FFFFFF"/>
            <w:vAlign w:val="center"/>
          </w:tcPr>
          <w:p w14:paraId="3CB4AA26">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可忽略</w:t>
            </w:r>
          </w:p>
        </w:tc>
        <w:tc>
          <w:tcPr>
            <w:shd w:val="clear" w:color="auto" w:fill="FFFFFF"/>
            <w:vAlign w:val="center"/>
          </w:tcPr>
          <w:p w14:paraId="74C00FC6">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是</w:t>
            </w:r>
          </w:p>
        </w:tc>
      </w:tr>
      <w:tr w14:paraId="6D425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81" w:hRule="exact"/>
          <w:jc w:val="center"/>
        </w:trPr>
        <w:tc>
          <w:tcPr>
            <w:shd w:val="clear" w:color="auto" w:fill="FFFFFF"/>
            <w:vAlign w:val="center"/>
          </w:tcPr>
          <w:p w14:paraId="1D8A5DF4">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对污泥无防渗、收集和处置措施</w:t>
            </w:r>
          </w:p>
        </w:tc>
        <w:tc>
          <w:tcPr>
            <w:shd w:val="clear" w:color="auto" w:fill="FFFFFF"/>
            <w:vAlign w:val="center"/>
          </w:tcPr>
          <w:p w14:paraId="3520C538">
            <w:pPr>
              <w:keepNext w:val="0"/>
              <w:keepLines w:val="0"/>
              <w:widowControl w:val="0"/>
              <w:shd w:val="clear" w:color="auto" w:fill="auto"/>
              <w:bidi w:val="0"/>
              <w:spacing w:before="0" w:after="0" w:line="245"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污泥集合器、堆存</w:t>
            </w:r>
          </w:p>
        </w:tc>
        <w:tc>
          <w:tcPr>
            <w:shd w:val="clear" w:color="auto" w:fill="FFFFFF"/>
            <w:vAlign w:val="center"/>
          </w:tcPr>
          <w:p w14:paraId="7151CAD9">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w:t>
            </w:r>
          </w:p>
        </w:tc>
        <w:tc>
          <w:tcPr>
            <w:shd w:val="clear" w:color="auto" w:fill="FFFFFF"/>
            <w:vAlign w:val="center"/>
          </w:tcPr>
          <w:p w14:paraId="115C6377">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w:t>
            </w:r>
          </w:p>
        </w:tc>
        <w:tc>
          <w:tcPr>
            <w:shd w:val="clear" w:color="auto" w:fill="FFFFFF"/>
            <w:vAlign w:val="center"/>
          </w:tcPr>
          <w:p w14:paraId="3FCF9159">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w:t>
            </w:r>
          </w:p>
        </w:tc>
        <w:tc>
          <w:tcPr>
            <w:shd w:val="clear" w:color="auto" w:fill="FFFFFF"/>
            <w:vAlign w:val="center"/>
          </w:tcPr>
          <w:p w14:paraId="2C9727EA">
            <w:pPr>
              <w:keepNext w:val="0"/>
              <w:keepLines w:val="0"/>
              <w:widowControl w:val="0"/>
              <w:shd w:val="clear" w:color="auto" w:fill="auto"/>
              <w:bidi w:val="0"/>
              <w:spacing w:before="0" w:after="0" w:line="259"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极易造成污染</w:t>
            </w:r>
          </w:p>
        </w:tc>
        <w:tc>
          <w:tcPr>
            <w:shd w:val="clear" w:color="auto" w:fill="FFFFFF"/>
            <w:vAlign w:val="center"/>
          </w:tcPr>
          <w:p w14:paraId="7A8CA7D9">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否</w:t>
            </w:r>
          </w:p>
        </w:tc>
      </w:tr>
      <w:tr w14:paraId="01024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26" w:hRule="exact"/>
          <w:jc w:val="center"/>
        </w:trPr>
        <w:tc>
          <w:tcPr>
            <w:shd w:val="clear" w:color="auto" w:fill="FFFFFF"/>
            <w:vAlign w:val="center"/>
          </w:tcPr>
          <w:p w14:paraId="3675812C">
            <w:pPr>
              <w:keepNext w:val="0"/>
              <w:keepLines w:val="0"/>
              <w:widowControl w:val="0"/>
              <w:shd w:val="clear" w:color="auto" w:fill="auto"/>
              <w:bidi w:val="0"/>
              <w:spacing w:before="0" w:after="0" w:line="240" w:lineRule="exact"/>
              <w:ind w:left="260" w:right="0" w:hanging="26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对污泥有防渗收集,但无处置措施</w:t>
            </w:r>
          </w:p>
        </w:tc>
        <w:tc>
          <w:tcPr>
            <w:shd w:val="clear" w:color="auto" w:fill="FFFFFF"/>
            <w:vAlign w:val="center"/>
          </w:tcPr>
          <w:p w14:paraId="02EE03BF">
            <w:pPr>
              <w:keepNext w:val="0"/>
              <w:keepLines w:val="0"/>
              <w:widowControl w:val="0"/>
              <w:shd w:val="clear" w:color="auto" w:fill="auto"/>
              <w:bidi w:val="0"/>
              <w:spacing w:before="0" w:after="0" w:line="245"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污泥处置与去向</w:t>
            </w:r>
          </w:p>
        </w:tc>
        <w:tc>
          <w:tcPr>
            <w:shd w:val="clear" w:color="auto" w:fill="FFFFFF"/>
            <w:vAlign w:val="center"/>
          </w:tcPr>
          <w:p w14:paraId="07357868">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shd w:val="clear" w:color="auto" w:fill="FFFFFF"/>
            <w:vAlign w:val="center"/>
          </w:tcPr>
          <w:p w14:paraId="377C0C59">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shd w:val="clear" w:color="auto" w:fill="FFFFFF"/>
            <w:vAlign w:val="center"/>
          </w:tcPr>
          <w:p w14:paraId="1C66438E">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shd w:val="clear" w:color="auto" w:fill="FFFFFF"/>
            <w:vAlign w:val="center"/>
          </w:tcPr>
          <w:p w14:paraId="513A73C9">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易造成污染</w:t>
            </w:r>
          </w:p>
        </w:tc>
        <w:tc>
          <w:tcPr>
            <w:shd w:val="clear" w:color="auto" w:fill="FFFFFF"/>
            <w:vAlign w:val="center"/>
          </w:tcPr>
          <w:p w14:paraId="4EABD792">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否</w:t>
            </w:r>
          </w:p>
        </w:tc>
      </w:tr>
      <w:tr w14:paraId="64B9D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40" w:hRule="exact"/>
          <w:jc w:val="center"/>
        </w:trPr>
        <w:tc>
          <w:tcPr>
            <w:shd w:val="clear" w:color="auto" w:fill="FFFFFF"/>
            <w:vAlign w:val="center"/>
          </w:tcPr>
          <w:p w14:paraId="065D6DB4">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对污泥有防渗、收集和处置措施</w:t>
            </w:r>
          </w:p>
        </w:tc>
        <w:tc>
          <w:tcPr>
            <w:shd w:val="clear" w:color="auto" w:fill="FFFFFF"/>
            <w:vAlign w:val="center"/>
          </w:tcPr>
          <w:p w14:paraId="2467DD66">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污泥收集、处置与去向</w:t>
            </w:r>
          </w:p>
        </w:tc>
        <w:tc>
          <w:tcPr>
            <w:shd w:val="clear" w:color="auto" w:fill="FFFFFF"/>
            <w:vAlign w:val="center"/>
          </w:tcPr>
          <w:p w14:paraId="5B7854AD">
            <w:pPr>
              <w:keepNext w:val="0"/>
              <w:keepLines w:val="0"/>
              <w:widowControl w:val="0"/>
              <w:shd w:val="clear" w:color="auto" w:fill="auto"/>
              <w:bidi w:val="0"/>
              <w:spacing w:before="0" w:after="0" w:line="240" w:lineRule="auto"/>
              <w:ind w:left="0" w:right="0" w:firstLine="26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规范</w:t>
            </w:r>
          </w:p>
        </w:tc>
        <w:tc>
          <w:tcPr>
            <w:shd w:val="clear" w:color="auto" w:fill="FFFFFF"/>
            <w:vAlign w:val="center"/>
          </w:tcPr>
          <w:p w14:paraId="327AF6B9">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定期检测</w:t>
            </w:r>
          </w:p>
        </w:tc>
        <w:tc>
          <w:tcPr>
            <w:shd w:val="clear" w:color="auto" w:fill="FFFFFF"/>
            <w:vAlign w:val="center"/>
          </w:tcPr>
          <w:p w14:paraId="5699CEC7">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专业人员与设施</w:t>
            </w:r>
          </w:p>
        </w:tc>
        <w:tc>
          <w:tcPr>
            <w:shd w:val="clear" w:color="auto" w:fill="FFFFFF"/>
            <w:vAlign w:val="center"/>
          </w:tcPr>
          <w:p w14:paraId="7E8D9F2B">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可忽略</w:t>
            </w:r>
          </w:p>
        </w:tc>
        <w:tc>
          <w:tcPr>
            <w:shd w:val="clear" w:color="auto" w:fill="FFFFFF"/>
            <w:vAlign w:val="center"/>
          </w:tcPr>
          <w:p w14:paraId="78F93B63">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否</w:t>
            </w:r>
          </w:p>
        </w:tc>
      </w:tr>
    </w:tbl>
    <w:p w14:paraId="5D0D4893">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经现场排查，厂区内涉及公司污水处理与排放为：废水排放及污泥处置。采用镀锌钢管或PVC材质管道配合抗渗混凝土防渗处理后的管渠进行污水的收集。污泥压滤系统设置有围堰，地面及围堰均采取抗渗混凝土进行防渗处理，现场未发现有“跑、冒、滴、漏”现象。有专人负责巡查管理，防范措施到位，管理制度完善，因此该区域隐患等级为“可忽略”。</w:t>
      </w:r>
    </w:p>
    <w:p w14:paraId="738AD3F3">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2</w:t>
      </w:r>
      <w:r>
        <w:rPr>
          <w:rFonts w:hint="eastAsia" w:ascii="仿宋_GB2312" w:hAnsi="仿宋_GB2312" w:eastAsia="仿宋_GB2312" w:cs="仿宋_GB2312"/>
          <w:lang w:eastAsia="zh-CN"/>
        </w:rPr>
        <w:t>）应急收集设施</w:t>
      </w:r>
    </w:p>
    <w:tbl>
      <w:tblPr>
        <w:tblStyle w:val="9"/>
        <w:tblW w:w="9015" w:type="dxa"/>
        <w:jc w:val="center"/>
        <w:tblLayout w:type="fixed"/>
        <w:tblCellMar>
          <w:top w:w="0" w:type="dxa"/>
          <w:left w:w="10" w:type="dxa"/>
          <w:bottom w:w="0" w:type="dxa"/>
          <w:right w:w="10" w:type="dxa"/>
        </w:tblCellMar>
      </w:tblPr>
      <w:tblGrid>
        <w:gridCol w:w="2059"/>
        <w:gridCol w:w="1253"/>
        <w:gridCol w:w="960"/>
        <w:gridCol w:w="1085"/>
        <w:gridCol w:w="1219"/>
        <w:gridCol w:w="1157"/>
        <w:gridCol w:w="1282"/>
      </w:tblGrid>
      <w:tr w14:paraId="513C2DE9">
        <w:tblPrEx>
          <w:tblCellMar>
            <w:top w:w="0" w:type="dxa"/>
            <w:left w:w="10" w:type="dxa"/>
            <w:bottom w:w="0" w:type="dxa"/>
            <w:right w:w="10" w:type="dxa"/>
          </w:tblCellMar>
        </w:tblPrEx>
        <w:trPr>
          <w:trHeight w:val="335" w:hRule="exact"/>
          <w:jc w:val="center"/>
        </w:trPr>
        <w:tc>
          <w:tcPr>
            <w:gridSpan w:val="2"/>
            <w:tcBorders>
              <w:top w:val="single" w:color="auto" w:sz="4" w:space="0"/>
              <w:left w:val="single" w:color="auto" w:sz="4" w:space="0"/>
            </w:tcBorders>
            <w:shd w:val="clear" w:color="auto" w:fill="FFFFFF"/>
            <w:vAlign w:val="center"/>
          </w:tcPr>
          <w:p w14:paraId="643E2671">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系统设计</w:t>
            </w:r>
          </w:p>
        </w:tc>
        <w:tc>
          <w:tcPr>
            <w:gridSpan w:val="4"/>
            <w:tcBorders>
              <w:top w:val="single" w:color="auto" w:sz="4" w:space="0"/>
              <w:left w:val="single" w:color="auto" w:sz="4" w:space="0"/>
            </w:tcBorders>
            <w:shd w:val="clear" w:color="auto" w:fill="FFFFFF"/>
            <w:vAlign w:val="center"/>
          </w:tcPr>
          <w:p w14:paraId="068C49A6">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日常运行管理</w:t>
            </w:r>
          </w:p>
        </w:tc>
        <w:tc>
          <w:tcPr>
            <w:vMerge w:val="restart"/>
            <w:tcBorders>
              <w:top w:val="single" w:color="auto" w:sz="4" w:space="0"/>
              <w:left w:val="single" w:color="auto" w:sz="4" w:space="0"/>
            </w:tcBorders>
            <w:shd w:val="clear" w:color="auto" w:fill="FFFFFF"/>
            <w:vAlign w:val="center"/>
          </w:tcPr>
          <w:p w14:paraId="3B3EB7C4">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本项目是否涉及</w:t>
            </w:r>
          </w:p>
        </w:tc>
      </w:tr>
      <w:tr w14:paraId="54B1B35E">
        <w:tblPrEx>
          <w:tblCellMar>
            <w:top w:w="0" w:type="dxa"/>
            <w:left w:w="10" w:type="dxa"/>
            <w:bottom w:w="0" w:type="dxa"/>
            <w:right w:w="10" w:type="dxa"/>
          </w:tblCellMar>
        </w:tblPrEx>
        <w:trPr>
          <w:trHeight w:val="485" w:hRule="exact"/>
          <w:jc w:val="center"/>
        </w:trPr>
        <w:tc>
          <w:tcPr>
            <w:tcBorders>
              <w:top w:val="single" w:color="auto" w:sz="4" w:space="0"/>
              <w:left w:val="single" w:color="auto" w:sz="4" w:space="0"/>
            </w:tcBorders>
            <w:shd w:val="clear" w:color="auto" w:fill="FFFFFF"/>
            <w:vAlign w:val="center"/>
          </w:tcPr>
          <w:p w14:paraId="787320B7">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施工/设计</w:t>
            </w:r>
          </w:p>
        </w:tc>
        <w:tc>
          <w:tcPr>
            <w:tcBorders>
              <w:top w:val="single" w:color="auto" w:sz="4" w:space="0"/>
              <w:left w:val="single" w:color="auto" w:sz="4" w:space="0"/>
            </w:tcBorders>
            <w:shd w:val="clear" w:color="auto" w:fill="FFFFFF"/>
            <w:vAlign w:val="center"/>
          </w:tcPr>
          <w:p w14:paraId="3B9F90D5">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重点</w:t>
            </w:r>
          </w:p>
        </w:tc>
        <w:tc>
          <w:tcPr>
            <w:tcBorders>
              <w:top w:val="single" w:color="auto" w:sz="4" w:space="0"/>
              <w:left w:val="single" w:color="auto" w:sz="4" w:space="0"/>
            </w:tcBorders>
            <w:shd w:val="clear" w:color="auto" w:fill="FFFFFF"/>
            <w:vAlign w:val="center"/>
          </w:tcPr>
          <w:p w14:paraId="13E5AF9A">
            <w:pPr>
              <w:keepNext w:val="0"/>
              <w:keepLines w:val="0"/>
              <w:widowControl w:val="0"/>
              <w:shd w:val="clear" w:color="auto" w:fill="auto"/>
              <w:bidi w:val="0"/>
              <w:spacing w:before="0" w:after="0" w:line="245"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特殊运行维护</w:t>
            </w:r>
          </w:p>
        </w:tc>
        <w:tc>
          <w:tcPr>
            <w:tcBorders>
              <w:top w:val="single" w:color="auto" w:sz="4" w:space="0"/>
              <w:left w:val="single" w:color="auto" w:sz="4" w:space="0"/>
            </w:tcBorders>
            <w:shd w:val="clear" w:color="auto" w:fill="FFFFFF"/>
            <w:vAlign w:val="center"/>
          </w:tcPr>
          <w:p w14:paraId="525AD971">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监测</w:t>
            </w:r>
          </w:p>
        </w:tc>
        <w:tc>
          <w:tcPr>
            <w:tcBorders>
              <w:top w:val="single" w:color="auto" w:sz="4" w:space="0"/>
              <w:left w:val="single" w:color="auto" w:sz="4" w:space="0"/>
            </w:tcBorders>
            <w:shd w:val="clear" w:color="auto" w:fill="FFFFFF"/>
            <w:vAlign w:val="center"/>
          </w:tcPr>
          <w:p w14:paraId="49DADED2">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事故管理</w:t>
            </w:r>
          </w:p>
        </w:tc>
        <w:tc>
          <w:tcPr>
            <w:tcBorders>
              <w:top w:val="single" w:color="auto" w:sz="4" w:space="0"/>
              <w:left w:val="single" w:color="auto" w:sz="4" w:space="0"/>
            </w:tcBorders>
            <w:shd w:val="clear" w:color="auto" w:fill="FFFFFF"/>
            <w:vAlign w:val="center"/>
          </w:tcPr>
          <w:p w14:paraId="36A8864C">
            <w:pPr>
              <w:keepNext w:val="0"/>
              <w:keepLines w:val="0"/>
              <w:widowControl w:val="0"/>
              <w:shd w:val="clear" w:color="auto" w:fill="auto"/>
              <w:bidi w:val="0"/>
              <w:spacing w:before="0" w:after="0" w:line="245"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土壤污染可能性</w:t>
            </w:r>
          </w:p>
        </w:tc>
        <w:tc>
          <w:tcPr>
            <w:vMerge w:val="continue"/>
            <w:tcBorders>
              <w:left w:val="single" w:color="auto" w:sz="4" w:space="0"/>
            </w:tcBorders>
            <w:shd w:val="clear" w:color="auto" w:fill="FFFFFF"/>
            <w:vAlign w:val="center"/>
          </w:tcPr>
          <w:p w14:paraId="66D92477">
            <w:pPr>
              <w:shd w:val="clear" w:color="auto" w:fill="auto"/>
              <w:jc w:val="center"/>
              <w:rPr>
                <w:rFonts w:hint="eastAsia" w:ascii="仿宋_GB2312" w:hAnsi="仿宋_GB2312" w:eastAsia="仿宋_GB2312" w:cs="仿宋_GB2312"/>
                <w:b w:val="0"/>
                <w:bCs w:val="0"/>
                <w:sz w:val="21"/>
                <w:szCs w:val="21"/>
              </w:rPr>
            </w:pPr>
          </w:p>
        </w:tc>
      </w:tr>
      <w:tr w14:paraId="53C354F9">
        <w:tblPrEx>
          <w:tblCellMar>
            <w:top w:w="0" w:type="dxa"/>
            <w:left w:w="10" w:type="dxa"/>
            <w:bottom w:w="0" w:type="dxa"/>
            <w:right w:w="10" w:type="dxa"/>
          </w:tblCellMar>
        </w:tblPrEx>
        <w:trPr>
          <w:trHeight w:val="490" w:hRule="exact"/>
          <w:jc w:val="center"/>
        </w:trPr>
        <w:tc>
          <w:tcPr>
            <w:tcBorders>
              <w:top w:val="single" w:color="auto" w:sz="4" w:space="0"/>
              <w:left w:val="single" w:color="auto" w:sz="4" w:space="0"/>
            </w:tcBorders>
            <w:shd w:val="clear" w:color="auto" w:fill="FFFFFF"/>
            <w:vAlign w:val="center"/>
          </w:tcPr>
          <w:p w14:paraId="2EB8D03F">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防护措施不全的地下收集装置</w:t>
            </w:r>
          </w:p>
        </w:tc>
        <w:tc>
          <w:tcPr>
            <w:tcBorders>
              <w:top w:val="single" w:color="auto" w:sz="4" w:space="0"/>
              <w:left w:val="single" w:color="auto" w:sz="4" w:space="0"/>
            </w:tcBorders>
            <w:shd w:val="clear" w:color="auto" w:fill="FFFFFF"/>
            <w:vAlign w:val="center"/>
          </w:tcPr>
          <w:p w14:paraId="723B68C5">
            <w:pPr>
              <w:keepNext w:val="0"/>
              <w:keepLines w:val="0"/>
              <w:widowControl w:val="0"/>
              <w:shd w:val="clear" w:color="auto" w:fill="auto"/>
              <w:bidi w:val="0"/>
              <w:spacing w:before="0" w:after="0" w:line="230"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基槽、进料口和出料口</w:t>
            </w:r>
          </w:p>
        </w:tc>
        <w:tc>
          <w:tcPr>
            <w:tcBorders>
              <w:top w:val="single" w:color="auto" w:sz="4" w:space="0"/>
              <w:left w:val="single" w:color="auto" w:sz="4" w:space="0"/>
            </w:tcBorders>
            <w:shd w:val="clear" w:color="auto" w:fill="FFFFFF"/>
            <w:vAlign w:val="center"/>
          </w:tcPr>
          <w:p w14:paraId="02F01BFB">
            <w:pPr>
              <w:keepNext w:val="0"/>
              <w:keepLines w:val="0"/>
              <w:widowControl w:val="0"/>
              <w:shd w:val="clear" w:color="auto" w:fill="auto"/>
              <w:bidi w:val="0"/>
              <w:spacing w:before="0" w:after="0" w:line="240" w:lineRule="auto"/>
              <w:ind w:left="0" w:right="0" w:firstLine="38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tcBorders>
              <w:top w:val="single" w:color="auto" w:sz="4" w:space="0"/>
              <w:left w:val="single" w:color="auto" w:sz="4" w:space="0"/>
            </w:tcBorders>
            <w:shd w:val="clear" w:color="auto" w:fill="FFFFFF"/>
            <w:vAlign w:val="center"/>
          </w:tcPr>
          <w:p w14:paraId="1ECFF80B">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tcBorders>
              <w:top w:val="single" w:color="auto" w:sz="4" w:space="0"/>
              <w:left w:val="single" w:color="auto" w:sz="4" w:space="0"/>
            </w:tcBorders>
            <w:shd w:val="clear" w:color="auto" w:fill="FFFFFF"/>
            <w:vAlign w:val="center"/>
          </w:tcPr>
          <w:p w14:paraId="14DE921C">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tcBorders>
              <w:top w:val="single" w:color="auto" w:sz="4" w:space="0"/>
              <w:left w:val="single" w:color="auto" w:sz="4" w:space="0"/>
            </w:tcBorders>
            <w:shd w:val="clear" w:color="auto" w:fill="FFFFFF"/>
            <w:vAlign w:val="center"/>
          </w:tcPr>
          <w:p w14:paraId="44EBDE52">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易造成污染</w:t>
            </w:r>
          </w:p>
        </w:tc>
        <w:tc>
          <w:tcPr>
            <w:tcBorders>
              <w:top w:val="single" w:color="auto" w:sz="4" w:space="0"/>
              <w:left w:val="single" w:color="auto" w:sz="4" w:space="0"/>
              <w:right w:val="single" w:color="auto" w:sz="4" w:space="0"/>
            </w:tcBorders>
            <w:shd w:val="clear" w:color="auto" w:fill="FFFFFF"/>
            <w:vAlign w:val="center"/>
          </w:tcPr>
          <w:p w14:paraId="5E5AE0B9">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否</w:t>
            </w:r>
          </w:p>
        </w:tc>
      </w:tr>
      <w:tr w14:paraId="68D61DAE">
        <w:tblPrEx>
          <w:tblCellMar>
            <w:top w:w="0" w:type="dxa"/>
            <w:left w:w="10" w:type="dxa"/>
            <w:bottom w:w="0" w:type="dxa"/>
            <w:right w:w="10" w:type="dxa"/>
          </w:tblCellMar>
        </w:tblPrEx>
        <w:trPr>
          <w:trHeight w:val="485" w:hRule="exact"/>
          <w:jc w:val="center"/>
        </w:trPr>
        <w:tc>
          <w:tcPr>
            <w:tcBorders>
              <w:top w:val="single" w:color="auto" w:sz="4" w:space="0"/>
              <w:left w:val="single" w:color="auto" w:sz="4" w:space="0"/>
            </w:tcBorders>
            <w:shd w:val="clear" w:color="auto" w:fill="FFFFFF"/>
            <w:vAlign w:val="center"/>
          </w:tcPr>
          <w:p w14:paraId="0E126BF6">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有防腐/阴极保护的地下水收集装置</w:t>
            </w:r>
          </w:p>
        </w:tc>
        <w:tc>
          <w:tcPr>
            <w:tcBorders>
              <w:top w:val="single" w:color="auto" w:sz="4" w:space="0"/>
              <w:left w:val="single" w:color="auto" w:sz="4" w:space="0"/>
            </w:tcBorders>
            <w:shd w:val="clear" w:color="auto" w:fill="FFFFFF"/>
            <w:vAlign w:val="center"/>
          </w:tcPr>
          <w:p w14:paraId="651645B2">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基槽、进料口和出料口</w:t>
            </w:r>
          </w:p>
        </w:tc>
        <w:tc>
          <w:tcPr>
            <w:tcBorders>
              <w:top w:val="single" w:color="auto" w:sz="4" w:space="0"/>
              <w:left w:val="single" w:color="auto" w:sz="4" w:space="0"/>
            </w:tcBorders>
            <w:shd w:val="clear" w:color="auto" w:fill="FFFFFF"/>
            <w:vAlign w:val="center"/>
          </w:tcPr>
          <w:p w14:paraId="5C4C80E1">
            <w:pPr>
              <w:keepNext w:val="0"/>
              <w:keepLines w:val="0"/>
              <w:widowControl w:val="0"/>
              <w:shd w:val="clear" w:color="auto" w:fill="auto"/>
              <w:bidi w:val="0"/>
              <w:spacing w:before="0" w:after="0" w:line="240" w:lineRule="auto"/>
              <w:ind w:left="0" w:right="0" w:firstLine="38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tcBorders>
              <w:top w:val="single" w:color="auto" w:sz="4" w:space="0"/>
              <w:left w:val="single" w:color="auto" w:sz="4" w:space="0"/>
            </w:tcBorders>
            <w:shd w:val="clear" w:color="auto" w:fill="FFFFFF"/>
            <w:vAlign w:val="center"/>
          </w:tcPr>
          <w:p w14:paraId="77CA8D57">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w:t>
            </w:r>
          </w:p>
        </w:tc>
        <w:tc>
          <w:tcPr>
            <w:tcBorders>
              <w:top w:val="single" w:color="auto" w:sz="4" w:space="0"/>
              <w:left w:val="single" w:color="auto" w:sz="4" w:space="0"/>
            </w:tcBorders>
            <w:shd w:val="clear" w:color="auto" w:fill="FFFFFF"/>
            <w:vAlign w:val="center"/>
          </w:tcPr>
          <w:p w14:paraId="3A16563D">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tcBorders>
              <w:top w:val="single" w:color="auto" w:sz="4" w:space="0"/>
              <w:left w:val="single" w:color="auto" w:sz="4" w:space="0"/>
            </w:tcBorders>
            <w:shd w:val="clear" w:color="auto" w:fill="FFFFFF"/>
            <w:vAlign w:val="center"/>
          </w:tcPr>
          <w:p w14:paraId="73579089">
            <w:pPr>
              <w:keepNext w:val="0"/>
              <w:keepLines w:val="0"/>
              <w:widowControl w:val="0"/>
              <w:shd w:val="clear" w:color="auto" w:fill="auto"/>
              <w:bidi w:val="0"/>
              <w:spacing w:before="0" w:after="0" w:line="240" w:lineRule="auto"/>
              <w:ind w:left="0" w:right="0" w:firstLine="18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可能产生</w:t>
            </w:r>
          </w:p>
        </w:tc>
        <w:tc>
          <w:tcPr>
            <w:tcBorders>
              <w:top w:val="single" w:color="auto" w:sz="4" w:space="0"/>
              <w:left w:val="single" w:color="auto" w:sz="4" w:space="0"/>
              <w:right w:val="single" w:color="auto" w:sz="4" w:space="0"/>
            </w:tcBorders>
            <w:shd w:val="clear" w:color="auto" w:fill="FFFFFF"/>
            <w:vAlign w:val="center"/>
          </w:tcPr>
          <w:p w14:paraId="1C78293D">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否</w:t>
            </w:r>
          </w:p>
        </w:tc>
      </w:tr>
      <w:tr w14:paraId="49174B71">
        <w:tblPrEx>
          <w:tblCellMar>
            <w:top w:w="0" w:type="dxa"/>
            <w:left w:w="10" w:type="dxa"/>
            <w:bottom w:w="0" w:type="dxa"/>
            <w:right w:w="10" w:type="dxa"/>
          </w:tblCellMar>
        </w:tblPrEx>
        <w:trPr>
          <w:trHeight w:val="490" w:hRule="exact"/>
          <w:jc w:val="center"/>
        </w:trPr>
        <w:tc>
          <w:tcPr>
            <w:tcBorders>
              <w:top w:val="single" w:color="auto" w:sz="4" w:space="0"/>
              <w:left w:val="single" w:color="auto" w:sz="4" w:space="0"/>
              <w:bottom w:val="single" w:color="auto" w:sz="4" w:space="0"/>
            </w:tcBorders>
            <w:shd w:val="clear" w:color="auto" w:fill="FFFFFF"/>
            <w:vAlign w:val="center"/>
          </w:tcPr>
          <w:p w14:paraId="6C7F9FD1">
            <w:pPr>
              <w:keepNext w:val="0"/>
              <w:keepLines w:val="0"/>
              <w:widowControl w:val="0"/>
              <w:shd w:val="clear" w:color="auto" w:fill="auto"/>
              <w:bidi w:val="0"/>
              <w:spacing w:before="0" w:after="0" w:line="226"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有防腐/阴极保护的地下水收集装置</w:t>
            </w:r>
          </w:p>
        </w:tc>
        <w:tc>
          <w:tcPr>
            <w:tcBorders>
              <w:top w:val="single" w:color="auto" w:sz="4" w:space="0"/>
              <w:left w:val="single" w:color="auto" w:sz="4" w:space="0"/>
              <w:bottom w:val="single" w:color="auto" w:sz="4" w:space="0"/>
            </w:tcBorders>
            <w:shd w:val="clear" w:color="auto" w:fill="FFFFFF"/>
            <w:vAlign w:val="center"/>
          </w:tcPr>
          <w:p w14:paraId="4A9E2912">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基槽、进料口和出料口</w:t>
            </w:r>
          </w:p>
        </w:tc>
        <w:tc>
          <w:tcPr>
            <w:tcBorders>
              <w:top w:val="single" w:color="auto" w:sz="4" w:space="0"/>
              <w:left w:val="single" w:color="auto" w:sz="4" w:space="0"/>
              <w:bottom w:val="single" w:color="auto" w:sz="4" w:space="0"/>
            </w:tcBorders>
            <w:shd w:val="clear" w:color="auto" w:fill="FFFFFF"/>
            <w:vAlign w:val="center"/>
          </w:tcPr>
          <w:p w14:paraId="29A90106">
            <w:pPr>
              <w:keepNext w:val="0"/>
              <w:keepLines w:val="0"/>
              <w:widowControl w:val="0"/>
              <w:shd w:val="clear" w:color="auto" w:fill="auto"/>
              <w:bidi w:val="0"/>
              <w:spacing w:before="0" w:after="0" w:line="240" w:lineRule="auto"/>
              <w:ind w:left="0" w:right="0" w:firstLine="38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tcBorders>
              <w:top w:val="single" w:color="auto" w:sz="4" w:space="0"/>
              <w:left w:val="single" w:color="auto" w:sz="4" w:space="0"/>
              <w:bottom w:val="single" w:color="auto" w:sz="4" w:space="0"/>
            </w:tcBorders>
            <w:shd w:val="clear" w:color="auto" w:fill="FFFFFF"/>
            <w:vAlign w:val="center"/>
          </w:tcPr>
          <w:p w14:paraId="6A3F8E2C">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定期监测</w:t>
            </w:r>
          </w:p>
        </w:tc>
        <w:tc>
          <w:tcPr>
            <w:tcBorders>
              <w:top w:val="single" w:color="auto" w:sz="4" w:space="0"/>
              <w:left w:val="single" w:color="auto" w:sz="4" w:space="0"/>
              <w:bottom w:val="single" w:color="auto" w:sz="4" w:space="0"/>
            </w:tcBorders>
            <w:shd w:val="clear" w:color="auto" w:fill="FFFFFF"/>
            <w:vAlign w:val="center"/>
          </w:tcPr>
          <w:p w14:paraId="1B333FDA">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专业人员和设施</w:t>
            </w:r>
          </w:p>
        </w:tc>
        <w:tc>
          <w:tcPr>
            <w:tcBorders>
              <w:top w:val="single" w:color="auto" w:sz="4" w:space="0"/>
              <w:left w:val="single" w:color="auto" w:sz="4" w:space="0"/>
              <w:bottom w:val="single" w:color="auto" w:sz="4" w:space="0"/>
            </w:tcBorders>
            <w:shd w:val="clear" w:color="auto" w:fill="FFFFFF"/>
            <w:vAlign w:val="center"/>
          </w:tcPr>
          <w:p w14:paraId="48C910F3">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可忽略</w:t>
            </w:r>
          </w:p>
        </w:tc>
        <w:tc>
          <w:tcPr>
            <w:tcBorders>
              <w:top w:val="single" w:color="auto" w:sz="4" w:space="0"/>
              <w:left w:val="single" w:color="auto" w:sz="4" w:space="0"/>
              <w:bottom w:val="single" w:color="auto" w:sz="4" w:space="0"/>
              <w:right w:val="single" w:color="auto" w:sz="4" w:space="0"/>
            </w:tcBorders>
            <w:shd w:val="clear" w:color="auto" w:fill="FFFFFF"/>
            <w:vAlign w:val="center"/>
          </w:tcPr>
          <w:p w14:paraId="139321DC">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CN"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en-US" w:eastAsia="zh-CN" w:bidi="zh-TW"/>
              </w:rPr>
              <w:t>是</w:t>
            </w:r>
          </w:p>
        </w:tc>
      </w:tr>
      <w:tr w14:paraId="1AF7955A">
        <w:tblPrEx>
          <w:tblCellMar>
            <w:top w:w="0" w:type="dxa"/>
            <w:left w:w="10" w:type="dxa"/>
            <w:bottom w:w="0" w:type="dxa"/>
            <w:right w:w="10" w:type="dxa"/>
          </w:tblCellMar>
        </w:tblPrEx>
        <w:trPr>
          <w:trHeight w:val="485" w:hRule="exact"/>
          <w:jc w:val="center"/>
        </w:trPr>
        <w:tc>
          <w:tcPr>
            <w:tcW w:w="2059" w:type="dxa"/>
            <w:tcBorders>
              <w:top w:val="single" w:color="auto" w:sz="4" w:space="0"/>
              <w:left w:val="single" w:color="auto" w:sz="4" w:space="0"/>
            </w:tcBorders>
            <w:shd w:val="clear" w:color="auto" w:fill="FFFFFF"/>
            <w:vAlign w:val="center"/>
          </w:tcPr>
          <w:p w14:paraId="763CBE91">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有防护措施地上收集装置</w:t>
            </w:r>
          </w:p>
        </w:tc>
        <w:tc>
          <w:tcPr>
            <w:tcW w:w="1253" w:type="dxa"/>
            <w:tcBorders>
              <w:top w:val="single" w:color="auto" w:sz="4" w:space="0"/>
              <w:left w:val="single" w:color="auto" w:sz="4" w:space="0"/>
            </w:tcBorders>
            <w:shd w:val="clear" w:color="auto" w:fill="FFFFFF"/>
            <w:vAlign w:val="center"/>
          </w:tcPr>
          <w:p w14:paraId="298DA467">
            <w:pPr>
              <w:keepNext w:val="0"/>
              <w:keepLines w:val="0"/>
              <w:widowControl w:val="0"/>
              <w:shd w:val="clear" w:color="auto" w:fill="auto"/>
              <w:bidi w:val="0"/>
              <w:spacing w:before="0" w:after="0" w:line="230"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基槽、进料口和出料口</w:t>
            </w:r>
          </w:p>
        </w:tc>
        <w:tc>
          <w:tcPr>
            <w:tcW w:w="960" w:type="dxa"/>
            <w:tcBorders>
              <w:top w:val="single" w:color="auto" w:sz="4" w:space="0"/>
              <w:left w:val="single" w:color="auto" w:sz="4" w:space="0"/>
            </w:tcBorders>
            <w:shd w:val="clear" w:color="auto" w:fill="FFFFFF"/>
            <w:vAlign w:val="center"/>
          </w:tcPr>
          <w:p w14:paraId="4AF7512C">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tcW w:w="1085" w:type="dxa"/>
            <w:tcBorders>
              <w:top w:val="single" w:color="auto" w:sz="4" w:space="0"/>
              <w:left w:val="single" w:color="auto" w:sz="4" w:space="0"/>
            </w:tcBorders>
            <w:shd w:val="clear" w:color="auto" w:fill="FFFFFF"/>
            <w:vAlign w:val="center"/>
          </w:tcPr>
          <w:p w14:paraId="38896D45">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w:t>
            </w:r>
          </w:p>
        </w:tc>
        <w:tc>
          <w:tcPr>
            <w:tcW w:w="1219" w:type="dxa"/>
            <w:tcBorders>
              <w:top w:val="single" w:color="auto" w:sz="4" w:space="0"/>
              <w:left w:val="single" w:color="auto" w:sz="4" w:space="0"/>
            </w:tcBorders>
            <w:shd w:val="clear" w:color="auto" w:fill="FFFFFF"/>
            <w:vAlign w:val="center"/>
          </w:tcPr>
          <w:p w14:paraId="130BF389">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tcW w:w="1157" w:type="dxa"/>
            <w:tcBorders>
              <w:top w:val="single" w:color="auto" w:sz="4" w:space="0"/>
              <w:left w:val="single" w:color="auto" w:sz="4" w:space="0"/>
            </w:tcBorders>
            <w:shd w:val="clear" w:color="auto" w:fill="FFFFFF"/>
            <w:vAlign w:val="center"/>
          </w:tcPr>
          <w:p w14:paraId="43D87FC4">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可能产生</w:t>
            </w:r>
          </w:p>
        </w:tc>
        <w:tc>
          <w:tcPr>
            <w:tcW w:w="1282" w:type="dxa"/>
            <w:tcBorders>
              <w:top w:val="single" w:color="auto" w:sz="4" w:space="0"/>
              <w:left w:val="single" w:color="auto" w:sz="4" w:space="0"/>
              <w:right w:val="single" w:color="auto" w:sz="4" w:space="0"/>
            </w:tcBorders>
            <w:shd w:val="clear" w:color="auto" w:fill="FFFFFF"/>
            <w:vAlign w:val="center"/>
          </w:tcPr>
          <w:p w14:paraId="5E26DE3E">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否</w:t>
            </w:r>
          </w:p>
        </w:tc>
      </w:tr>
      <w:tr w14:paraId="549A495A">
        <w:tblPrEx>
          <w:tblCellMar>
            <w:top w:w="0" w:type="dxa"/>
            <w:left w:w="10" w:type="dxa"/>
            <w:bottom w:w="0" w:type="dxa"/>
            <w:right w:w="10" w:type="dxa"/>
          </w:tblCellMar>
        </w:tblPrEx>
        <w:trPr>
          <w:trHeight w:val="490" w:hRule="exact"/>
          <w:jc w:val="center"/>
        </w:trPr>
        <w:tc>
          <w:tcPr>
            <w:tcW w:w="2059" w:type="dxa"/>
            <w:tcBorders>
              <w:top w:val="single" w:color="auto" w:sz="4" w:space="0"/>
              <w:left w:val="single" w:color="auto" w:sz="4" w:space="0"/>
              <w:bottom w:val="single" w:color="auto" w:sz="4" w:space="0"/>
            </w:tcBorders>
            <w:shd w:val="clear" w:color="auto" w:fill="FFFFFF"/>
            <w:vAlign w:val="center"/>
          </w:tcPr>
          <w:p w14:paraId="151618DE">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不渗漏的地上收集装置</w:t>
            </w:r>
          </w:p>
        </w:tc>
        <w:tc>
          <w:tcPr>
            <w:tcW w:w="1253" w:type="dxa"/>
            <w:tcBorders>
              <w:top w:val="single" w:color="auto" w:sz="4" w:space="0"/>
              <w:left w:val="single" w:color="auto" w:sz="4" w:space="0"/>
              <w:bottom w:val="single" w:color="auto" w:sz="4" w:space="0"/>
            </w:tcBorders>
            <w:shd w:val="clear" w:color="auto" w:fill="FFFFFF"/>
            <w:vAlign w:val="center"/>
          </w:tcPr>
          <w:p w14:paraId="7B39CF8E">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基槽、进料口和出料口</w:t>
            </w:r>
          </w:p>
        </w:tc>
        <w:tc>
          <w:tcPr>
            <w:tcW w:w="960" w:type="dxa"/>
            <w:tcBorders>
              <w:top w:val="single" w:color="auto" w:sz="4" w:space="0"/>
              <w:left w:val="single" w:color="auto" w:sz="4" w:space="0"/>
              <w:bottom w:val="single" w:color="auto" w:sz="4" w:space="0"/>
            </w:tcBorders>
            <w:shd w:val="clear" w:color="auto" w:fill="FFFFFF"/>
            <w:vAlign w:val="center"/>
          </w:tcPr>
          <w:p w14:paraId="19FF78C3">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tcW w:w="1085" w:type="dxa"/>
            <w:tcBorders>
              <w:top w:val="single" w:color="auto" w:sz="4" w:space="0"/>
              <w:left w:val="single" w:color="auto" w:sz="4" w:space="0"/>
              <w:bottom w:val="single" w:color="auto" w:sz="4" w:space="0"/>
            </w:tcBorders>
            <w:shd w:val="clear" w:color="auto" w:fill="FFFFFF"/>
            <w:vAlign w:val="center"/>
          </w:tcPr>
          <w:p w14:paraId="7353D657">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定期检查</w:t>
            </w:r>
          </w:p>
        </w:tc>
        <w:tc>
          <w:tcPr>
            <w:tcW w:w="1219" w:type="dxa"/>
            <w:tcBorders>
              <w:top w:val="single" w:color="auto" w:sz="4" w:space="0"/>
              <w:left w:val="single" w:color="auto" w:sz="4" w:space="0"/>
              <w:bottom w:val="single" w:color="auto" w:sz="4" w:space="0"/>
            </w:tcBorders>
            <w:shd w:val="clear" w:color="auto" w:fill="FFFFFF"/>
            <w:vAlign w:val="center"/>
          </w:tcPr>
          <w:p w14:paraId="725CBED4">
            <w:pPr>
              <w:keepNext w:val="0"/>
              <w:keepLines w:val="0"/>
              <w:widowControl w:val="0"/>
              <w:shd w:val="clear" w:color="auto" w:fill="auto"/>
              <w:bidi w:val="0"/>
              <w:spacing w:before="0" w:after="0" w:line="250"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专业人员和设施</w:t>
            </w:r>
          </w:p>
        </w:tc>
        <w:tc>
          <w:tcPr>
            <w:tcW w:w="1157" w:type="dxa"/>
            <w:tcBorders>
              <w:top w:val="single" w:color="auto" w:sz="4" w:space="0"/>
              <w:left w:val="single" w:color="auto" w:sz="4" w:space="0"/>
              <w:bottom w:val="single" w:color="auto" w:sz="4" w:space="0"/>
            </w:tcBorders>
            <w:shd w:val="clear" w:color="auto" w:fill="FFFFFF"/>
            <w:vAlign w:val="center"/>
          </w:tcPr>
          <w:p w14:paraId="0290A0D5">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可忽略</w:t>
            </w:r>
          </w:p>
        </w:tc>
        <w:tc>
          <w:tcPr>
            <w:tcW w:w="1282" w:type="dxa"/>
            <w:tcBorders>
              <w:top w:val="single" w:color="auto" w:sz="4" w:space="0"/>
              <w:left w:val="single" w:color="auto" w:sz="4" w:space="0"/>
              <w:bottom w:val="single" w:color="auto" w:sz="4" w:space="0"/>
              <w:right w:val="single" w:color="auto" w:sz="4" w:space="0"/>
            </w:tcBorders>
            <w:shd w:val="clear" w:color="auto" w:fill="FFFFFF"/>
            <w:vAlign w:val="center"/>
          </w:tcPr>
          <w:p w14:paraId="084B108C">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否</w:t>
            </w:r>
          </w:p>
        </w:tc>
      </w:tr>
    </w:tbl>
    <w:p w14:paraId="3895743A">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经现场排查，厂区内涉及应急收集设施为：事故应急池。采用抗渗混凝土+环氧树脂漆进行防渗处理，现场未发现池体及防渗层破损，未发现“跑、冒、滴、漏”现象。池体处于地</w:t>
      </w:r>
      <w:r>
        <w:rPr>
          <w:rFonts w:hint="eastAsia" w:ascii="仿宋_GB2312" w:hAnsi="仿宋_GB2312" w:eastAsia="仿宋_GB2312" w:cs="仿宋_GB2312"/>
          <w:lang w:val="en-US" w:eastAsia="zh-CN"/>
        </w:rPr>
        <w:t>下密闭</w:t>
      </w:r>
      <w:r>
        <w:rPr>
          <w:rFonts w:hint="eastAsia" w:ascii="仿宋_GB2312" w:hAnsi="仿宋_GB2312" w:eastAsia="仿宋_GB2312" w:cs="仿宋_GB2312"/>
          <w:lang w:eastAsia="zh-CN"/>
        </w:rPr>
        <w:t>式，无泄露收集措施，有专人负责巡查管理，防范措施基本到位，管理制度完善，因此该区域隐患等级为“可忽略”。</w:t>
      </w:r>
    </w:p>
    <w:p w14:paraId="51E392F6">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3</w:t>
      </w:r>
      <w:r>
        <w:rPr>
          <w:rFonts w:hint="eastAsia" w:ascii="仿宋_GB2312" w:hAnsi="仿宋_GB2312" w:eastAsia="仿宋_GB2312" w:cs="仿宋_GB2312"/>
          <w:lang w:eastAsia="zh-CN"/>
        </w:rPr>
        <w:t>）其他活动区</w:t>
      </w:r>
    </w:p>
    <w:p w14:paraId="53EFE039">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包括有危险废物贮存库、车间操作活动区等，需重点关注重点部位是否设置有防滴漏设施、防渗阻隔系统等。经现场排查，厂区内涉及其他活动区为：一般工业固体废物暂存库及危险废物</w:t>
      </w:r>
      <w:r>
        <w:rPr>
          <w:rFonts w:hint="eastAsia" w:ascii="仿宋_GB2312" w:hAnsi="仿宋_GB2312" w:eastAsia="仿宋_GB2312" w:cs="仿宋_GB2312"/>
          <w:lang w:val="en-US" w:eastAsia="zh-CN"/>
        </w:rPr>
        <w:t>暂</w:t>
      </w:r>
      <w:r>
        <w:rPr>
          <w:rFonts w:hint="eastAsia" w:ascii="仿宋_GB2312" w:hAnsi="仿宋_GB2312" w:eastAsia="仿宋_GB2312" w:cs="仿宋_GB2312"/>
          <w:lang w:eastAsia="zh-CN"/>
        </w:rPr>
        <w:t>存库。有专人负责巡查管理，防范措施到位，管理制度完善，现场未发现存在破损、裂纹等，因此该区域隐患等级为“可忽略”。</w:t>
      </w:r>
    </w:p>
    <w:p w14:paraId="747861CE">
      <w:pPr>
        <w:pStyle w:val="25"/>
        <w:bidi w:val="0"/>
        <w:rPr>
          <w:rFonts w:hint="eastAsia" w:ascii="仿宋_GB2312" w:hAnsi="仿宋_GB2312" w:eastAsia="仿宋_GB2312" w:cs="仿宋_GB2312"/>
          <w:lang w:eastAsia="zh-CN"/>
        </w:rPr>
      </w:pPr>
      <w:bookmarkStart w:id="211" w:name="_Toc9479"/>
      <w:r>
        <w:rPr>
          <w:rFonts w:hint="eastAsia" w:ascii="仿宋_GB2312" w:hAnsi="仿宋_GB2312" w:eastAsia="仿宋_GB2312" w:cs="仿宋_GB2312"/>
          <w:lang w:eastAsia="zh-CN"/>
        </w:rPr>
        <w:t>4.2隐患排査台账</w:t>
      </w:r>
      <w:bookmarkEnd w:id="211"/>
    </w:p>
    <w:tbl>
      <w:tblPr>
        <w:tblStyle w:val="9"/>
        <w:tblW w:w="90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457"/>
        <w:gridCol w:w="725"/>
        <w:gridCol w:w="1177"/>
        <w:gridCol w:w="2768"/>
        <w:gridCol w:w="1552"/>
        <w:gridCol w:w="1279"/>
        <w:gridCol w:w="1129"/>
      </w:tblGrid>
      <w:tr w14:paraId="5A766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23" w:hRule="exact"/>
          <w:jc w:val="center"/>
        </w:trPr>
        <w:tc>
          <w:tcPr>
            <w:gridSpan w:val="3"/>
            <w:shd w:val="clear" w:color="auto" w:fill="FFFFFF"/>
            <w:vAlign w:val="center"/>
          </w:tcPr>
          <w:p w14:paraId="17B4A4AA">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企业名称</w:t>
            </w:r>
          </w:p>
        </w:tc>
        <w:tc>
          <w:tcPr>
            <w:shd w:val="clear" w:color="auto" w:fill="FFFFFF"/>
            <w:vAlign w:val="center"/>
          </w:tcPr>
          <w:p w14:paraId="66FDA22F">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en-US" w:eastAsia="zh-CN"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石柱</w:t>
            </w:r>
            <w:r>
              <w:rPr>
                <w:rFonts w:hint="eastAsia" w:ascii="仿宋_GB2312" w:hAnsi="仿宋_GB2312" w:eastAsia="仿宋_GB2312" w:cs="仿宋_GB2312"/>
                <w:b w:val="0"/>
                <w:bCs w:val="0"/>
                <w:color w:val="000000"/>
                <w:spacing w:val="0"/>
                <w:w w:val="100"/>
                <w:position w:val="0"/>
                <w:sz w:val="21"/>
                <w:szCs w:val="21"/>
                <w:u w:val="none"/>
                <w:shd w:val="clear" w:color="auto" w:fill="auto"/>
                <w:lang w:val="en-US" w:eastAsia="zh-CN" w:bidi="zh-TW"/>
              </w:rPr>
              <w:t>县海创环保科技有限责任公司</w:t>
            </w:r>
          </w:p>
        </w:tc>
        <w:tc>
          <w:tcPr>
            <w:gridSpan w:val="2"/>
            <w:shd w:val="clear" w:color="auto" w:fill="FFFFFF"/>
            <w:vAlign w:val="center"/>
          </w:tcPr>
          <w:p w14:paraId="60CCCCA0">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所属行业</w:t>
            </w:r>
          </w:p>
        </w:tc>
        <w:tc>
          <w:tcPr>
            <w:shd w:val="clear" w:color="auto" w:fill="FFFFFF"/>
            <w:vAlign w:val="center"/>
          </w:tcPr>
          <w:p w14:paraId="3DF58C8B">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en-US" w:eastAsia="zh-CN"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en-US" w:eastAsia="zh-CN" w:bidi="zh-TW"/>
              </w:rPr>
              <w:t>垃圾发电</w:t>
            </w:r>
          </w:p>
        </w:tc>
      </w:tr>
      <w:tr w14:paraId="7D4F3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exact"/>
          <w:jc w:val="center"/>
        </w:trPr>
        <w:tc>
          <w:tcPr>
            <w:gridSpan w:val="3"/>
            <w:shd w:val="clear" w:color="auto" w:fill="FFFFFF"/>
            <w:vAlign w:val="center"/>
          </w:tcPr>
          <w:p w14:paraId="70504238">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现场排查负责人</w:t>
            </w:r>
          </w:p>
        </w:tc>
        <w:tc>
          <w:tcPr>
            <w:shd w:val="clear" w:color="auto" w:fill="FFFFFF"/>
            <w:vAlign w:val="center"/>
          </w:tcPr>
          <w:p w14:paraId="3E28E1AC">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CN"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en-US" w:eastAsia="zh-CN" w:bidi="zh-TW"/>
              </w:rPr>
              <w:t>江令</w:t>
            </w:r>
          </w:p>
        </w:tc>
        <w:tc>
          <w:tcPr>
            <w:gridSpan w:val="2"/>
            <w:shd w:val="clear" w:color="auto" w:fill="FFFFFF"/>
            <w:vAlign w:val="center"/>
          </w:tcPr>
          <w:p w14:paraId="2EDA3FEC">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排查时间</w:t>
            </w:r>
          </w:p>
        </w:tc>
        <w:tc>
          <w:tcPr>
            <w:shd w:val="clear" w:color="auto" w:fill="FFFFFF"/>
            <w:vAlign w:val="center"/>
          </w:tcPr>
          <w:p w14:paraId="556DB700">
            <w:pPr>
              <w:keepNext w:val="0"/>
              <w:keepLines w:val="0"/>
              <w:widowControl w:val="0"/>
              <w:shd w:val="clear" w:color="auto" w:fill="auto"/>
              <w:bidi w:val="0"/>
              <w:spacing w:before="0" w:after="0" w:line="240" w:lineRule="auto"/>
              <w:ind w:left="0" w:right="0" w:firstLine="0"/>
              <w:jc w:val="center"/>
              <w:rPr>
                <w:rFonts w:hint="default" w:ascii="仿宋_GB2312" w:hAnsi="仿宋_GB2312" w:eastAsia="仿宋_GB2312" w:cs="仿宋_GB2312"/>
                <w:b/>
                <w:bCs/>
                <w:color w:val="000000"/>
                <w:spacing w:val="0"/>
                <w:w w:val="100"/>
                <w:position w:val="0"/>
                <w:sz w:val="21"/>
                <w:szCs w:val="21"/>
                <w:u w:val="none"/>
                <w:shd w:val="clear" w:color="auto" w:fill="auto"/>
                <w:lang w:val="en-US" w:eastAsia="zh-CN"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en-US" w:eastAsia="en-US" w:bidi="en-US"/>
              </w:rPr>
              <w:t>202</w:t>
            </w:r>
            <w:r>
              <w:rPr>
                <w:rFonts w:hint="eastAsia" w:ascii="仿宋_GB2312" w:hAnsi="仿宋_GB2312" w:eastAsia="仿宋_GB2312" w:cs="仿宋_GB2312"/>
                <w:b w:val="0"/>
                <w:bCs w:val="0"/>
                <w:color w:val="000000"/>
                <w:spacing w:val="0"/>
                <w:w w:val="100"/>
                <w:position w:val="0"/>
                <w:sz w:val="21"/>
                <w:szCs w:val="21"/>
                <w:u w:val="none"/>
                <w:shd w:val="clear" w:color="auto" w:fill="auto"/>
                <w:lang w:val="en-US" w:eastAsia="zh-CN" w:bidi="en-US"/>
              </w:rPr>
              <w:t>2</w:t>
            </w:r>
            <w:r>
              <w:rPr>
                <w:rFonts w:hint="eastAsia" w:ascii="仿宋_GB2312" w:hAnsi="仿宋_GB2312" w:eastAsia="仿宋_GB2312" w:cs="仿宋_GB2312"/>
                <w:b w:val="0"/>
                <w:bCs w:val="0"/>
                <w:color w:val="000000"/>
                <w:spacing w:val="0"/>
                <w:w w:val="100"/>
                <w:position w:val="0"/>
                <w:sz w:val="21"/>
                <w:szCs w:val="21"/>
                <w:u w:val="none"/>
                <w:shd w:val="clear" w:color="auto" w:fill="auto"/>
                <w:lang w:val="en-US" w:eastAsia="en-US" w:bidi="en-US"/>
              </w:rPr>
              <w:t>.</w:t>
            </w:r>
            <w:r>
              <w:rPr>
                <w:rFonts w:hint="eastAsia" w:ascii="仿宋_GB2312" w:hAnsi="仿宋_GB2312" w:eastAsia="仿宋_GB2312" w:cs="仿宋_GB2312"/>
                <w:b w:val="0"/>
                <w:bCs w:val="0"/>
                <w:color w:val="000000"/>
                <w:spacing w:val="0"/>
                <w:w w:val="100"/>
                <w:position w:val="0"/>
                <w:sz w:val="21"/>
                <w:szCs w:val="21"/>
                <w:u w:val="none"/>
                <w:shd w:val="clear" w:color="auto" w:fill="auto"/>
                <w:lang w:val="en-US" w:eastAsia="zh-CN" w:bidi="en-US"/>
              </w:rPr>
              <w:t>7</w:t>
            </w:r>
            <w:r>
              <w:rPr>
                <w:rFonts w:hint="eastAsia" w:ascii="仿宋_GB2312" w:hAnsi="仿宋_GB2312" w:eastAsia="仿宋_GB2312" w:cs="仿宋_GB2312"/>
                <w:b w:val="0"/>
                <w:bCs w:val="0"/>
                <w:color w:val="000000"/>
                <w:spacing w:val="0"/>
                <w:w w:val="100"/>
                <w:position w:val="0"/>
                <w:sz w:val="21"/>
                <w:szCs w:val="21"/>
                <w:u w:val="none"/>
                <w:shd w:val="clear" w:color="auto" w:fill="auto"/>
                <w:lang w:val="en-US" w:eastAsia="en-US" w:bidi="en-US"/>
              </w:rPr>
              <w:t>.</w:t>
            </w:r>
            <w:r>
              <w:rPr>
                <w:rFonts w:hint="eastAsia" w:ascii="仿宋_GB2312" w:hAnsi="仿宋_GB2312" w:eastAsia="仿宋_GB2312" w:cs="仿宋_GB2312"/>
                <w:b w:val="0"/>
                <w:bCs w:val="0"/>
                <w:color w:val="000000"/>
                <w:spacing w:val="0"/>
                <w:w w:val="100"/>
                <w:position w:val="0"/>
                <w:sz w:val="21"/>
                <w:szCs w:val="21"/>
                <w:u w:val="none"/>
                <w:shd w:val="clear" w:color="auto" w:fill="auto"/>
                <w:lang w:val="en-US" w:eastAsia="zh-CN" w:bidi="en-US"/>
              </w:rPr>
              <w:t>20</w:t>
            </w:r>
          </w:p>
        </w:tc>
      </w:tr>
      <w:tr w14:paraId="2D056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211" w:hRule="exact"/>
          <w:jc w:val="center"/>
        </w:trPr>
        <w:tc>
          <w:tcPr>
            <w:shd w:val="clear" w:color="auto" w:fill="FFFFFF"/>
            <w:vAlign w:val="center"/>
          </w:tcPr>
          <w:p w14:paraId="5A301843">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序号</w:t>
            </w:r>
          </w:p>
        </w:tc>
        <w:tc>
          <w:tcPr>
            <w:shd w:val="clear" w:color="auto" w:fill="FFFFFF"/>
            <w:vAlign w:val="center"/>
          </w:tcPr>
          <w:p w14:paraId="28F6887F">
            <w:pPr>
              <w:keepNext w:val="0"/>
              <w:keepLines w:val="0"/>
              <w:widowControl w:val="0"/>
              <w:shd w:val="clear" w:color="auto" w:fill="auto"/>
              <w:bidi w:val="0"/>
              <w:spacing w:before="0" w:after="0" w:line="241" w:lineRule="exact"/>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涉及工业活动</w:t>
            </w:r>
          </w:p>
        </w:tc>
        <w:tc>
          <w:tcPr>
            <w:shd w:val="clear" w:color="auto" w:fill="FFFFFF"/>
            <w:vAlign w:val="center"/>
          </w:tcPr>
          <w:p w14:paraId="3B893E90">
            <w:pPr>
              <w:keepNext w:val="0"/>
              <w:keepLines w:val="0"/>
              <w:widowControl w:val="0"/>
              <w:shd w:val="clear" w:color="auto" w:fill="auto"/>
              <w:bidi w:val="0"/>
              <w:spacing w:before="0" w:after="0" w:line="241" w:lineRule="exact"/>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重点场所或者重点设施设备</w:t>
            </w:r>
          </w:p>
        </w:tc>
        <w:tc>
          <w:tcPr>
            <w:shd w:val="clear" w:color="auto" w:fill="FFFFFF"/>
            <w:vAlign w:val="center"/>
          </w:tcPr>
          <w:p w14:paraId="25E4603F">
            <w:pPr>
              <w:keepNext w:val="0"/>
              <w:keepLines w:val="0"/>
              <w:widowControl w:val="0"/>
              <w:shd w:val="clear" w:color="auto" w:fill="auto"/>
              <w:bidi w:val="0"/>
              <w:spacing w:before="0" w:after="0" w:line="253" w:lineRule="exact"/>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位置信息</w:t>
            </w:r>
          </w:p>
          <w:p w14:paraId="2CB5A2E6">
            <w:pPr>
              <w:keepNext w:val="0"/>
              <w:keepLines w:val="0"/>
              <w:widowControl w:val="0"/>
              <w:shd w:val="clear" w:color="auto" w:fill="auto"/>
              <w:bidi w:val="0"/>
              <w:spacing w:before="0" w:after="0" w:line="253" w:lineRule="exact"/>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（如经纬度坐标，或者</w:t>
            </w:r>
          </w:p>
          <w:p w14:paraId="7B8B8D3C">
            <w:pPr>
              <w:keepNext w:val="0"/>
              <w:keepLines w:val="0"/>
              <w:widowControl w:val="0"/>
              <w:shd w:val="clear" w:color="auto" w:fill="auto"/>
              <w:bidi w:val="0"/>
              <w:spacing w:before="0" w:after="0" w:line="240" w:lineRule="auto"/>
              <w:ind w:left="0" w:right="0" w:firstLine="0"/>
              <w:jc w:val="both"/>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位置描述等）</w:t>
            </w:r>
          </w:p>
        </w:tc>
        <w:tc>
          <w:tcPr>
            <w:shd w:val="clear" w:color="auto" w:fill="FFFFFF"/>
            <w:vAlign w:val="center"/>
          </w:tcPr>
          <w:p w14:paraId="23812AAD">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隐患点</w:t>
            </w:r>
          </w:p>
        </w:tc>
        <w:tc>
          <w:tcPr>
            <w:shd w:val="clear" w:color="auto" w:fill="FFFFFF"/>
            <w:vAlign w:val="center"/>
          </w:tcPr>
          <w:p w14:paraId="564AE63A">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整改建议</w:t>
            </w:r>
          </w:p>
        </w:tc>
        <w:tc>
          <w:tcPr>
            <w:shd w:val="clear" w:color="auto" w:fill="FFFFFF"/>
            <w:textDirection w:val="tbRlV"/>
            <w:vAlign w:val="center"/>
          </w:tcPr>
          <w:p w14:paraId="43836673">
            <w:pPr>
              <w:pStyle w:val="39"/>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备注</w:t>
            </w:r>
          </w:p>
        </w:tc>
      </w:tr>
      <w:tr w14:paraId="4652F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211" w:hRule="exact"/>
          <w:jc w:val="center"/>
        </w:trPr>
        <w:tc>
          <w:tcPr>
            <w:shd w:val="clear" w:color="auto" w:fill="FFFFFF"/>
            <w:vAlign w:val="center"/>
          </w:tcPr>
          <w:p w14:paraId="61B61678">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1</w:t>
            </w:r>
          </w:p>
        </w:tc>
        <w:tc>
          <w:tcPr>
            <w:shd w:val="clear" w:color="auto" w:fill="FFFFFF"/>
            <w:vAlign w:val="center"/>
          </w:tcPr>
          <w:p w14:paraId="0842F8F2">
            <w:pPr>
              <w:keepNext w:val="0"/>
              <w:keepLines w:val="0"/>
              <w:widowControl w:val="0"/>
              <w:shd w:val="clear" w:color="auto" w:fill="auto"/>
              <w:bidi w:val="0"/>
              <w:spacing w:before="0" w:after="0" w:line="240" w:lineRule="auto"/>
              <w:ind w:right="0"/>
              <w:jc w:val="center"/>
              <w:rPr>
                <w:rFonts w:hint="eastAsia" w:ascii="仿宋_GB2312" w:hAnsi="仿宋_GB2312" w:eastAsia="仿宋_GB2312" w:cs="仿宋_GB2312"/>
                <w:b/>
                <w:bCs/>
                <w:color w:val="000000"/>
                <w:spacing w:val="0"/>
                <w:w w:val="100"/>
                <w:position w:val="0"/>
                <w:sz w:val="21"/>
                <w:szCs w:val="21"/>
                <w:u w:val="none"/>
                <w:shd w:val="clear" w:color="auto" w:fill="auto"/>
                <w:lang w:val="en-US" w:eastAsia="zh-CN"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en-US" w:eastAsia="zh-CN" w:bidi="zh-TW"/>
              </w:rPr>
              <w:t>消石灰卸货</w:t>
            </w:r>
          </w:p>
        </w:tc>
        <w:tc>
          <w:tcPr>
            <w:shd w:val="clear" w:color="auto" w:fill="FFFFFF"/>
            <w:vAlign w:val="center"/>
          </w:tcPr>
          <w:p w14:paraId="2182EC23">
            <w:pPr>
              <w:keepNext w:val="0"/>
              <w:keepLines w:val="0"/>
              <w:widowControl w:val="0"/>
              <w:shd w:val="clear" w:color="auto" w:fill="auto"/>
              <w:bidi w:val="0"/>
              <w:spacing w:before="0" w:after="0" w:line="238" w:lineRule="exact"/>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en-US" w:eastAsia="zh-CN"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en-US" w:eastAsia="zh-CN" w:bidi="zh-TW"/>
              </w:rPr>
              <w:t>消石灰间</w:t>
            </w:r>
          </w:p>
        </w:tc>
        <w:tc>
          <w:tcPr>
            <w:shd w:val="clear" w:color="auto" w:fill="FFFFFF"/>
            <w:vAlign w:val="center"/>
          </w:tcPr>
          <w:p w14:paraId="54FD0140">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en-US" w:eastAsia="zh-CN"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en-US" w:eastAsia="zh-CN" w:bidi="zh-TW"/>
              </w:rPr>
              <w:t>主厂房西南侧</w:t>
            </w:r>
          </w:p>
        </w:tc>
        <w:tc>
          <w:tcPr>
            <w:shd w:val="clear" w:color="auto" w:fill="FFFFFF"/>
            <w:vAlign w:val="center"/>
          </w:tcPr>
          <w:p w14:paraId="645A22A5">
            <w:pPr>
              <w:keepNext w:val="0"/>
              <w:keepLines w:val="0"/>
              <w:widowControl w:val="0"/>
              <w:shd w:val="clear" w:color="auto" w:fill="auto"/>
              <w:bidi w:val="0"/>
              <w:spacing w:before="0" w:after="0" w:line="238" w:lineRule="exact"/>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场内不密闭易造成扬尘。</w:t>
            </w:r>
          </w:p>
        </w:tc>
        <w:tc>
          <w:tcPr>
            <w:shd w:val="clear" w:color="auto" w:fill="FFFFFF"/>
            <w:vAlign w:val="center"/>
          </w:tcPr>
          <w:p w14:paraId="5B976867">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en-US" w:eastAsia="zh-CN" w:bidi="zh-TW"/>
              </w:rPr>
              <w:t>采用密闭管道卸货</w:t>
            </w: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w:t>
            </w:r>
          </w:p>
        </w:tc>
        <w:tc>
          <w:tcPr>
            <w:shd w:val="clear" w:color="auto" w:fill="FFFFFF"/>
            <w:vAlign w:val="center"/>
          </w:tcPr>
          <w:p w14:paraId="5A55F924">
            <w:pPr>
              <w:keepNext w:val="0"/>
              <w:keepLines w:val="0"/>
              <w:widowControl w:val="0"/>
              <w:shd w:val="clear" w:color="auto" w:fill="auto"/>
              <w:bidi w:val="0"/>
              <w:spacing w:before="0" w:after="0" w:line="253" w:lineRule="exact"/>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已完成</w:t>
            </w:r>
          </w:p>
        </w:tc>
      </w:tr>
      <w:tr w14:paraId="12C71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28" w:hRule="exact"/>
          <w:jc w:val="center"/>
        </w:trPr>
        <w:tc>
          <w:tcPr>
            <w:shd w:val="clear" w:color="auto" w:fill="FFFFFF"/>
            <w:vAlign w:val="center"/>
          </w:tcPr>
          <w:p w14:paraId="020168BA">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2</w:t>
            </w:r>
          </w:p>
        </w:tc>
        <w:tc>
          <w:tcPr>
            <w:shd w:val="clear" w:color="auto" w:fill="FFFFFF"/>
            <w:vAlign w:val="center"/>
          </w:tcPr>
          <w:p w14:paraId="7DA02FA5">
            <w:pPr>
              <w:widowControl w:val="0"/>
              <w:shd w:val="clear" w:color="auto" w:fill="auto"/>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en-US" w:eastAsia="zh-CN" w:bidi="zh-TW"/>
              </w:rPr>
              <w:t>危废转运</w:t>
            </w:r>
          </w:p>
        </w:tc>
        <w:tc>
          <w:tcPr>
            <w:shd w:val="clear" w:color="auto" w:fill="FFFFFF"/>
            <w:vAlign w:val="center"/>
          </w:tcPr>
          <w:p w14:paraId="34BC9202">
            <w:pPr>
              <w:widowControl w:val="0"/>
              <w:shd w:val="clear" w:color="auto" w:fill="auto"/>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en-US" w:eastAsia="zh-CN"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en-US" w:eastAsia="zh-CN" w:bidi="zh-TW"/>
              </w:rPr>
              <w:t>危废暂存间</w:t>
            </w:r>
          </w:p>
        </w:tc>
        <w:tc>
          <w:tcPr>
            <w:shd w:val="clear" w:color="auto" w:fill="FFFFFF"/>
            <w:vAlign w:val="center"/>
          </w:tcPr>
          <w:p w14:paraId="586A63D2">
            <w:pPr>
              <w:widowControl w:val="0"/>
              <w:shd w:val="clear" w:color="auto" w:fill="auto"/>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en-US" w:eastAsia="zh-CN"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en-US" w:eastAsia="zh-CN" w:bidi="zh-TW"/>
              </w:rPr>
              <w:t>厂区2#门旁</w:t>
            </w:r>
          </w:p>
        </w:tc>
        <w:tc>
          <w:tcPr>
            <w:shd w:val="clear" w:color="auto" w:fill="FFFFFF"/>
            <w:vAlign w:val="center"/>
          </w:tcPr>
          <w:p w14:paraId="22B6F62B">
            <w:pPr>
              <w:widowControl w:val="0"/>
              <w:shd w:val="clear" w:color="auto" w:fill="auto"/>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en-US" w:eastAsia="zh-CN"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en-US" w:eastAsia="zh-CN" w:bidi="zh-TW"/>
              </w:rPr>
              <w:t>危废洒落</w:t>
            </w:r>
          </w:p>
        </w:tc>
        <w:tc>
          <w:tcPr>
            <w:shd w:val="clear" w:color="auto" w:fill="FFFFFF"/>
            <w:vAlign w:val="center"/>
          </w:tcPr>
          <w:p w14:paraId="0D336C66">
            <w:pPr>
              <w:widowControl w:val="0"/>
              <w:shd w:val="clear" w:color="auto" w:fill="auto"/>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en-US" w:eastAsia="zh-CN"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en-US" w:eastAsia="zh-CN" w:bidi="zh-TW"/>
              </w:rPr>
              <w:t>采用袋装，转运人员持证上岗。</w:t>
            </w:r>
          </w:p>
        </w:tc>
        <w:tc>
          <w:tcPr>
            <w:shd w:val="clear" w:color="auto" w:fill="FFFFFF"/>
            <w:vAlign w:val="center"/>
          </w:tcPr>
          <w:p w14:paraId="358BC2B7">
            <w:pPr>
              <w:widowControl w:val="0"/>
              <w:shd w:val="clear" w:color="auto" w:fill="auto"/>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en-US" w:eastAsia="zh-CN"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en-US" w:eastAsia="zh-CN" w:bidi="zh-TW"/>
              </w:rPr>
              <w:t>已完成</w:t>
            </w:r>
          </w:p>
        </w:tc>
      </w:tr>
      <w:tr w14:paraId="1ECC5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14" w:hRule="exact"/>
          <w:jc w:val="center"/>
        </w:trPr>
        <w:tc>
          <w:tcPr>
            <w:shd w:val="clear" w:color="auto" w:fill="FFFFFF"/>
            <w:vAlign w:val="center"/>
          </w:tcPr>
          <w:p w14:paraId="1724364F">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3</w:t>
            </w:r>
          </w:p>
        </w:tc>
        <w:tc>
          <w:tcPr>
            <w:shd w:val="clear" w:color="auto" w:fill="FFFFFF"/>
            <w:vAlign w:val="center"/>
          </w:tcPr>
          <w:p w14:paraId="01DF0F69">
            <w:pPr>
              <w:widowControl w:val="0"/>
              <w:shd w:val="clear" w:color="auto" w:fill="auto"/>
              <w:jc w:val="center"/>
              <w:rPr>
                <w:rFonts w:hint="eastAsia" w:ascii="仿宋_GB2312" w:hAnsi="仿宋_GB2312" w:eastAsia="仿宋_GB2312" w:cs="仿宋_GB2312"/>
                <w:sz w:val="21"/>
                <w:szCs w:val="21"/>
              </w:rPr>
            </w:pPr>
          </w:p>
        </w:tc>
        <w:tc>
          <w:tcPr>
            <w:shd w:val="clear" w:color="auto" w:fill="FFFFFF"/>
            <w:vAlign w:val="center"/>
          </w:tcPr>
          <w:p w14:paraId="26CC243D">
            <w:pPr>
              <w:widowControl w:val="0"/>
              <w:shd w:val="clear" w:color="auto" w:fill="auto"/>
              <w:jc w:val="center"/>
              <w:rPr>
                <w:rFonts w:hint="eastAsia" w:ascii="仿宋_GB2312" w:hAnsi="仿宋_GB2312" w:eastAsia="仿宋_GB2312" w:cs="仿宋_GB2312"/>
                <w:sz w:val="21"/>
                <w:szCs w:val="21"/>
              </w:rPr>
            </w:pPr>
          </w:p>
        </w:tc>
        <w:tc>
          <w:tcPr>
            <w:shd w:val="clear" w:color="auto" w:fill="FFFFFF"/>
            <w:vAlign w:val="center"/>
          </w:tcPr>
          <w:p w14:paraId="7D337D84">
            <w:pPr>
              <w:widowControl w:val="0"/>
              <w:shd w:val="clear" w:color="auto" w:fill="auto"/>
              <w:jc w:val="center"/>
              <w:rPr>
                <w:rFonts w:hint="eastAsia" w:ascii="仿宋_GB2312" w:hAnsi="仿宋_GB2312" w:eastAsia="仿宋_GB2312" w:cs="仿宋_GB2312"/>
                <w:sz w:val="21"/>
                <w:szCs w:val="21"/>
              </w:rPr>
            </w:pPr>
          </w:p>
        </w:tc>
        <w:tc>
          <w:tcPr>
            <w:shd w:val="clear" w:color="auto" w:fill="FFFFFF"/>
            <w:vAlign w:val="center"/>
          </w:tcPr>
          <w:p w14:paraId="3FA74FF9">
            <w:pPr>
              <w:widowControl w:val="0"/>
              <w:shd w:val="clear" w:color="auto" w:fill="auto"/>
              <w:jc w:val="center"/>
              <w:rPr>
                <w:rFonts w:hint="eastAsia" w:ascii="仿宋_GB2312" w:hAnsi="仿宋_GB2312" w:eastAsia="仿宋_GB2312" w:cs="仿宋_GB2312"/>
                <w:sz w:val="21"/>
                <w:szCs w:val="21"/>
              </w:rPr>
            </w:pPr>
          </w:p>
        </w:tc>
        <w:tc>
          <w:tcPr>
            <w:shd w:val="clear" w:color="auto" w:fill="FFFFFF"/>
            <w:vAlign w:val="center"/>
          </w:tcPr>
          <w:p w14:paraId="00E2E95A">
            <w:pPr>
              <w:widowControl w:val="0"/>
              <w:shd w:val="clear" w:color="auto" w:fill="auto"/>
              <w:jc w:val="center"/>
              <w:rPr>
                <w:rFonts w:hint="eastAsia" w:ascii="仿宋_GB2312" w:hAnsi="仿宋_GB2312" w:eastAsia="仿宋_GB2312" w:cs="仿宋_GB2312"/>
                <w:sz w:val="21"/>
                <w:szCs w:val="21"/>
              </w:rPr>
            </w:pPr>
          </w:p>
        </w:tc>
        <w:tc>
          <w:tcPr>
            <w:shd w:val="clear" w:color="auto" w:fill="FFFFFF"/>
            <w:vAlign w:val="center"/>
          </w:tcPr>
          <w:p w14:paraId="282488B4">
            <w:pPr>
              <w:widowControl w:val="0"/>
              <w:shd w:val="clear" w:color="auto" w:fill="auto"/>
              <w:jc w:val="center"/>
              <w:rPr>
                <w:rFonts w:hint="eastAsia" w:ascii="仿宋_GB2312" w:hAnsi="仿宋_GB2312" w:eastAsia="仿宋_GB2312" w:cs="仿宋_GB2312"/>
                <w:sz w:val="21"/>
                <w:szCs w:val="21"/>
              </w:rPr>
            </w:pPr>
          </w:p>
        </w:tc>
      </w:tr>
      <w:tr w14:paraId="424F0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65" w:hRule="exact"/>
          <w:jc w:val="center"/>
        </w:trPr>
        <w:tc>
          <w:tcPr>
            <w:shd w:val="clear" w:color="auto" w:fill="FFFFFF"/>
            <w:vAlign w:val="center"/>
          </w:tcPr>
          <w:p w14:paraId="36554459">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4</w:t>
            </w:r>
          </w:p>
        </w:tc>
        <w:tc>
          <w:tcPr>
            <w:shd w:val="clear" w:color="auto" w:fill="FFFFFF"/>
            <w:vAlign w:val="center"/>
          </w:tcPr>
          <w:p w14:paraId="2ED2871E">
            <w:pPr>
              <w:widowControl w:val="0"/>
              <w:shd w:val="clear" w:color="auto" w:fill="auto"/>
              <w:jc w:val="center"/>
              <w:rPr>
                <w:rFonts w:hint="eastAsia" w:ascii="仿宋_GB2312" w:hAnsi="仿宋_GB2312" w:eastAsia="仿宋_GB2312" w:cs="仿宋_GB2312"/>
                <w:sz w:val="21"/>
                <w:szCs w:val="21"/>
              </w:rPr>
            </w:pPr>
          </w:p>
        </w:tc>
        <w:tc>
          <w:tcPr>
            <w:shd w:val="clear" w:color="auto" w:fill="FFFFFF"/>
            <w:vAlign w:val="center"/>
          </w:tcPr>
          <w:p w14:paraId="772D85B6">
            <w:pPr>
              <w:widowControl w:val="0"/>
              <w:shd w:val="clear" w:color="auto" w:fill="auto"/>
              <w:jc w:val="center"/>
              <w:rPr>
                <w:rFonts w:hint="eastAsia" w:ascii="仿宋_GB2312" w:hAnsi="仿宋_GB2312" w:eastAsia="仿宋_GB2312" w:cs="仿宋_GB2312"/>
                <w:sz w:val="21"/>
                <w:szCs w:val="21"/>
              </w:rPr>
            </w:pPr>
          </w:p>
        </w:tc>
        <w:tc>
          <w:tcPr>
            <w:shd w:val="clear" w:color="auto" w:fill="FFFFFF"/>
            <w:vAlign w:val="center"/>
          </w:tcPr>
          <w:p w14:paraId="3545EE98">
            <w:pPr>
              <w:widowControl w:val="0"/>
              <w:shd w:val="clear" w:color="auto" w:fill="auto"/>
              <w:jc w:val="center"/>
              <w:rPr>
                <w:rFonts w:hint="eastAsia" w:ascii="仿宋_GB2312" w:hAnsi="仿宋_GB2312" w:eastAsia="仿宋_GB2312" w:cs="仿宋_GB2312"/>
                <w:sz w:val="21"/>
                <w:szCs w:val="21"/>
              </w:rPr>
            </w:pPr>
          </w:p>
        </w:tc>
        <w:tc>
          <w:tcPr>
            <w:shd w:val="clear" w:color="auto" w:fill="FFFFFF"/>
            <w:vAlign w:val="center"/>
          </w:tcPr>
          <w:p w14:paraId="32EF6853">
            <w:pPr>
              <w:widowControl w:val="0"/>
              <w:shd w:val="clear" w:color="auto" w:fill="auto"/>
              <w:jc w:val="center"/>
              <w:rPr>
                <w:rFonts w:hint="eastAsia" w:ascii="仿宋_GB2312" w:hAnsi="仿宋_GB2312" w:eastAsia="仿宋_GB2312" w:cs="仿宋_GB2312"/>
                <w:sz w:val="21"/>
                <w:szCs w:val="21"/>
              </w:rPr>
            </w:pPr>
          </w:p>
        </w:tc>
        <w:tc>
          <w:tcPr>
            <w:shd w:val="clear" w:color="auto" w:fill="FFFFFF"/>
            <w:vAlign w:val="center"/>
          </w:tcPr>
          <w:p w14:paraId="18A54B0D">
            <w:pPr>
              <w:widowControl w:val="0"/>
              <w:shd w:val="clear" w:color="auto" w:fill="auto"/>
              <w:jc w:val="center"/>
              <w:rPr>
                <w:rFonts w:hint="eastAsia" w:ascii="仿宋_GB2312" w:hAnsi="仿宋_GB2312" w:eastAsia="仿宋_GB2312" w:cs="仿宋_GB2312"/>
                <w:sz w:val="21"/>
                <w:szCs w:val="21"/>
              </w:rPr>
            </w:pPr>
          </w:p>
        </w:tc>
        <w:tc>
          <w:tcPr>
            <w:shd w:val="clear" w:color="auto" w:fill="FFFFFF"/>
            <w:vAlign w:val="center"/>
          </w:tcPr>
          <w:p w14:paraId="567C98F5">
            <w:pPr>
              <w:widowControl w:val="0"/>
              <w:shd w:val="clear" w:color="auto" w:fill="auto"/>
              <w:jc w:val="center"/>
              <w:rPr>
                <w:rFonts w:hint="eastAsia" w:ascii="仿宋_GB2312" w:hAnsi="仿宋_GB2312" w:eastAsia="仿宋_GB2312" w:cs="仿宋_GB2312"/>
                <w:sz w:val="21"/>
                <w:szCs w:val="21"/>
              </w:rPr>
            </w:pPr>
          </w:p>
        </w:tc>
      </w:tr>
      <w:tr w14:paraId="5A962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79" w:hRule="exact"/>
          <w:jc w:val="center"/>
        </w:trPr>
        <w:tc>
          <w:tcPr>
            <w:shd w:val="clear" w:color="auto" w:fill="FFFFFF"/>
            <w:vAlign w:val="center"/>
          </w:tcPr>
          <w:p w14:paraId="45DFF2F7">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5</w:t>
            </w:r>
          </w:p>
        </w:tc>
        <w:tc>
          <w:tcPr>
            <w:shd w:val="clear" w:color="auto" w:fill="FFFFFF"/>
            <w:vAlign w:val="center"/>
          </w:tcPr>
          <w:p w14:paraId="08EFCB25">
            <w:pPr>
              <w:widowControl w:val="0"/>
              <w:shd w:val="clear" w:color="auto" w:fill="auto"/>
              <w:jc w:val="center"/>
              <w:rPr>
                <w:rFonts w:hint="eastAsia" w:ascii="仿宋_GB2312" w:hAnsi="仿宋_GB2312" w:eastAsia="仿宋_GB2312" w:cs="仿宋_GB2312"/>
                <w:sz w:val="21"/>
                <w:szCs w:val="21"/>
              </w:rPr>
            </w:pPr>
          </w:p>
        </w:tc>
        <w:tc>
          <w:tcPr>
            <w:shd w:val="clear" w:color="auto" w:fill="FFFFFF"/>
            <w:vAlign w:val="center"/>
          </w:tcPr>
          <w:p w14:paraId="399CE282">
            <w:pPr>
              <w:widowControl w:val="0"/>
              <w:shd w:val="clear" w:color="auto" w:fill="auto"/>
              <w:jc w:val="center"/>
              <w:rPr>
                <w:rFonts w:hint="eastAsia" w:ascii="仿宋_GB2312" w:hAnsi="仿宋_GB2312" w:eastAsia="仿宋_GB2312" w:cs="仿宋_GB2312"/>
                <w:sz w:val="21"/>
                <w:szCs w:val="21"/>
              </w:rPr>
            </w:pPr>
          </w:p>
        </w:tc>
        <w:tc>
          <w:tcPr>
            <w:shd w:val="clear" w:color="auto" w:fill="FFFFFF"/>
            <w:vAlign w:val="center"/>
          </w:tcPr>
          <w:p w14:paraId="1BEAEF10">
            <w:pPr>
              <w:widowControl w:val="0"/>
              <w:shd w:val="clear" w:color="auto" w:fill="auto"/>
              <w:jc w:val="center"/>
              <w:rPr>
                <w:rFonts w:hint="eastAsia" w:ascii="仿宋_GB2312" w:hAnsi="仿宋_GB2312" w:eastAsia="仿宋_GB2312" w:cs="仿宋_GB2312"/>
                <w:sz w:val="21"/>
                <w:szCs w:val="21"/>
              </w:rPr>
            </w:pPr>
          </w:p>
        </w:tc>
        <w:tc>
          <w:tcPr>
            <w:shd w:val="clear" w:color="auto" w:fill="FFFFFF"/>
            <w:vAlign w:val="center"/>
          </w:tcPr>
          <w:p w14:paraId="601EC2BE">
            <w:pPr>
              <w:widowControl w:val="0"/>
              <w:shd w:val="clear" w:color="auto" w:fill="auto"/>
              <w:jc w:val="center"/>
              <w:rPr>
                <w:rFonts w:hint="eastAsia" w:ascii="仿宋_GB2312" w:hAnsi="仿宋_GB2312" w:eastAsia="仿宋_GB2312" w:cs="仿宋_GB2312"/>
                <w:sz w:val="21"/>
                <w:szCs w:val="21"/>
              </w:rPr>
            </w:pPr>
          </w:p>
        </w:tc>
        <w:tc>
          <w:tcPr>
            <w:shd w:val="clear" w:color="auto" w:fill="FFFFFF"/>
            <w:vAlign w:val="center"/>
          </w:tcPr>
          <w:p w14:paraId="2590573C">
            <w:pPr>
              <w:widowControl w:val="0"/>
              <w:shd w:val="clear" w:color="auto" w:fill="auto"/>
              <w:jc w:val="center"/>
              <w:rPr>
                <w:rFonts w:hint="eastAsia" w:ascii="仿宋_GB2312" w:hAnsi="仿宋_GB2312" w:eastAsia="仿宋_GB2312" w:cs="仿宋_GB2312"/>
                <w:sz w:val="21"/>
                <w:szCs w:val="21"/>
              </w:rPr>
            </w:pPr>
          </w:p>
        </w:tc>
        <w:tc>
          <w:tcPr>
            <w:shd w:val="clear" w:color="auto" w:fill="FFFFFF"/>
            <w:vAlign w:val="center"/>
          </w:tcPr>
          <w:p w14:paraId="1FC7365A">
            <w:pPr>
              <w:widowControl w:val="0"/>
              <w:shd w:val="clear" w:color="auto" w:fill="auto"/>
              <w:jc w:val="center"/>
              <w:rPr>
                <w:rFonts w:hint="eastAsia" w:ascii="仿宋_GB2312" w:hAnsi="仿宋_GB2312" w:eastAsia="仿宋_GB2312" w:cs="仿宋_GB2312"/>
                <w:sz w:val="21"/>
                <w:szCs w:val="21"/>
              </w:rPr>
            </w:pPr>
          </w:p>
        </w:tc>
      </w:tr>
    </w:tbl>
    <w:p w14:paraId="37507233">
      <w:pPr>
        <w:pStyle w:val="17"/>
        <w:bidi w:val="0"/>
        <w:rPr>
          <w:rFonts w:hint="eastAsia" w:ascii="仿宋_GB2312" w:hAnsi="仿宋_GB2312" w:eastAsia="仿宋_GB2312" w:cs="仿宋_GB2312"/>
          <w:lang w:val="en-US" w:eastAsia="zh-CN"/>
        </w:rPr>
      </w:pPr>
      <w:bookmarkStart w:id="212" w:name="_Toc5036"/>
      <w:r>
        <w:rPr>
          <w:rFonts w:hint="eastAsia" w:ascii="仿宋_GB2312" w:hAnsi="仿宋_GB2312" w:eastAsia="仿宋_GB2312" w:cs="仿宋_GB2312"/>
          <w:lang w:val="en-US" w:eastAsia="zh-CN"/>
        </w:rPr>
        <w:t>5.结论及建议</w:t>
      </w:r>
      <w:bookmarkEnd w:id="212"/>
    </w:p>
    <w:p w14:paraId="740E7DAC">
      <w:pPr>
        <w:pStyle w:val="25"/>
        <w:bidi w:val="0"/>
        <w:rPr>
          <w:rFonts w:hint="eastAsia" w:ascii="仿宋_GB2312" w:hAnsi="仿宋_GB2312" w:eastAsia="仿宋_GB2312" w:cs="仿宋_GB2312"/>
          <w:lang w:val="en-US" w:eastAsia="zh-CN"/>
        </w:rPr>
      </w:pPr>
      <w:bookmarkStart w:id="213" w:name="_Toc1332"/>
      <w:r>
        <w:rPr>
          <w:rFonts w:hint="eastAsia" w:ascii="仿宋_GB2312" w:hAnsi="仿宋_GB2312" w:eastAsia="仿宋_GB2312" w:cs="仿宋_GB2312"/>
          <w:lang w:val="en-US" w:eastAsia="zh-CN"/>
        </w:rPr>
        <w:t>5.1结论</w:t>
      </w:r>
      <w:bookmarkEnd w:id="213"/>
    </w:p>
    <w:p w14:paraId="4AA08430">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石柱县海创环保科技有限责任公司现有的基础配置、工艺设置、生产控制能力基本能满足公司土壤污染隐患排查防治的需要，且未发现土壤污染环境事件的发生。在发生较大突发环境事件时，应及时通报，寻求外部救援，尽可能使事故损害、环境影响降到最低。</w:t>
      </w:r>
    </w:p>
    <w:p w14:paraId="2819C28A">
      <w:pPr>
        <w:pStyle w:val="25"/>
        <w:bidi w:val="0"/>
        <w:rPr>
          <w:rFonts w:hint="eastAsia" w:ascii="仿宋_GB2312" w:hAnsi="仿宋_GB2312" w:eastAsia="仿宋_GB2312" w:cs="仿宋_GB2312"/>
          <w:lang w:val="en-US" w:eastAsia="zh-CN"/>
        </w:rPr>
      </w:pPr>
      <w:bookmarkStart w:id="214" w:name="_Toc31913"/>
      <w:r>
        <w:rPr>
          <w:rFonts w:hint="eastAsia" w:ascii="仿宋_GB2312" w:hAnsi="仿宋_GB2312" w:eastAsia="仿宋_GB2312" w:cs="仿宋_GB2312"/>
          <w:lang w:val="en-US" w:eastAsia="zh-CN"/>
        </w:rPr>
        <w:t>5.2建议</w:t>
      </w:r>
      <w:bookmarkEnd w:id="214"/>
    </w:p>
    <w:p w14:paraId="7AC93101">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1、在今后的生产过程中应不断加强环境保护管理，逐步健全和完善环境保护规章制度。</w:t>
      </w:r>
    </w:p>
    <w:p w14:paraId="7127F45D">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2、加强对环保设施日常维护和管理，保证环保设施长期稳定运行，确保污染物长期稳定达标排放。</w:t>
      </w:r>
    </w:p>
    <w:p w14:paraId="212C0FD3">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3、应加强生产管理，杜绝渗滤液“跑、冒、滴、漏”的现象发生。</w:t>
      </w:r>
    </w:p>
    <w:p w14:paraId="4FCAFA81">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4、应进一步做好清洁生产和节能降耗工作。</w:t>
      </w:r>
    </w:p>
    <w:p w14:paraId="7C470616">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5、强化事故风险防范措施及事故应急预案，强化安全培训，并定期进行模拟演习，以提高各级领导及员工的风险意识，防患于未然。</w:t>
      </w:r>
    </w:p>
    <w:p w14:paraId="6A91F67E">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附件一：《石柱海创生活垃圾发电项目年度监测报告》</w:t>
      </w:r>
    </w:p>
    <w:p w14:paraId="2673FF87">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附件二：《环评报告书》</w:t>
      </w:r>
    </w:p>
    <w:p w14:paraId="6CD3EB02">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附件三：企业总平面布置图</w:t>
      </w:r>
    </w:p>
    <w:p w14:paraId="3E33158E">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附件四：雨污管线分布图</w:t>
      </w:r>
    </w:p>
    <w:p w14:paraId="11E319F5">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附件五：企业生产工艺流程图</w:t>
      </w:r>
    </w:p>
    <w:p w14:paraId="3E1B4B25">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附件六：竣工环保验收报告</w:t>
      </w:r>
    </w:p>
    <w:p w14:paraId="27CE6CB7">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附件七：排污许可证</w:t>
      </w:r>
    </w:p>
    <w:p w14:paraId="41C169F1">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附件八：突发环境事件风险评估报告、应急预案</w:t>
      </w:r>
    </w:p>
    <w:sectPr>
      <w:headerReference r:id="rId13" w:type="default"/>
      <w:footerReference r:id="rId15" w:type="default"/>
      <w:headerReference r:id="rId14" w:type="even"/>
      <w:footerReference r:id="rId16" w:type="even"/>
      <w:footnotePr>
        <w:numFmt w:val="decimal"/>
      </w:footnotePr>
      <w:pgSz w:w="11900" w:h="16840"/>
      <w:pgMar w:top="1437" w:right="1619" w:bottom="1133" w:left="1509" w:header="1009" w:footer="3" w:gutter="0"/>
      <w:pgNumType w:fmt="decimal"/>
      <w:cols w:space="720" w:num="1"/>
      <w:rtlGutter w:val="0"/>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p>
  </w:endnote>
  <w:endnote w:type="continuationSeparator" w:id="1">
    <w:p>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90C344">
    <w:pPr>
      <w:widowControl w:val="0"/>
      <w:spacing w:line="1" w:lineRule="exact"/>
    </w:pPr>
    <w:r>
      <w:rPr>
        <w:sz w:val="2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 name="文本框 1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E2E597">
                          <w:pPr>
                            <w:pStyle w:val="5"/>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54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TBMpg0AgAAZQ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7eUGKYRslP37+d&#10;fvw6/fxK0iEkalyYIfLBITa2b22L8OE84DAxbyuv0xecCPwQ+HgRWLSR8HRpOplOc7g4fMMG+Nnj&#10;dedDfCesJskoqEcFO2HZYRNiHzqEpGzGrqVSXRWVIU1Br69e59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kwTKYNAIAAGUEAAAOAAAAAAAAAAEAIAAAAB8BAABkcnMvZTJvRG9jLnhtbFBL&#10;BQYAAAAABgAGAFkBAADFBQAAAAA=&#10;">
              <v:fill on="f" focussize="0,0"/>
              <v:stroke on="f" weight="0.5pt"/>
              <v:imagedata o:title=""/>
              <o:lock v:ext="edit" aspectratio="f"/>
              <v:textbox inset="0mm,0mm,0mm,0mm" style="mso-fit-shape-to-text:t;">
                <w:txbxContent>
                  <w:p w14:paraId="15E2E597">
                    <w:pPr>
                      <w:pStyle w:val="5"/>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54</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CB86DC">
    <w:pPr>
      <w:widowControl w:val="0"/>
      <w:spacing w:line="1" w:lineRule="exact"/>
    </w:pPr>
    <w:r>
      <w:rPr>
        <w:sz w:val="24"/>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 name="文本框 1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1D4F8C">
                          <w:pPr>
                            <w:pStyle w:val="5"/>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54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EMVLA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MKDFMo+SnH99P&#10;Px9Ov76RdAiJGhdmiLx3iI3tO9sifDgPOEzM28rr9AUnAj8EPl4EFm0kPF2aTqbTHC4O37ABfvZ4&#10;3fkQ3wurSTIK6lHBTlh22ITYhw4hKZuxa6lUV0VlSFPQq9dv8+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BDFSwNAIAAGUEAAAOAAAAAAAAAAEAIAAAAB8BAABkcnMvZTJvRG9jLnhtbFBL&#10;BQYAAAAABgAGAFkBAADFBQAAAAA=&#10;">
              <v:fill on="f" focussize="0,0"/>
              <v:stroke on="f" weight="0.5pt"/>
              <v:imagedata o:title=""/>
              <o:lock v:ext="edit" aspectratio="f"/>
              <v:textbox inset="0mm,0mm,0mm,0mm" style="mso-fit-shape-to-text:t;">
                <w:txbxContent>
                  <w:p w14:paraId="6A1D4F8C">
                    <w:pPr>
                      <w:pStyle w:val="5"/>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54</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DF0AF1">
    <w:pPr>
      <w:widowControl w:val="0"/>
      <w:spacing w:line="1" w:lineRule="exact"/>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 name="文本框 1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54D183">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VLIzM0AgAAZQ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dUbSgzTKPnp+7fT&#10;j1+nn19JOoREjQszRG4cYmP71rYIH84DDhPztvI6fcGJwA+BjxeBRRsJT5emk+k0h4vDN2yAnz1c&#10;dz7Ed8JqkoyCelSwE5YdbkPsQ4eQlM3YtVSqq6IypCno1cv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FSyMzNAIAAGUEAAAOAAAAAAAAAAEAIAAAAB8BAABkcnMvZTJvRG9jLnhtbFBL&#10;BQYAAAAABgAGAFkBAADFBQAAAAA=&#10;">
              <v:fill on="f" focussize="0,0"/>
              <v:stroke on="f" weight="0.5pt"/>
              <v:imagedata o:title=""/>
              <o:lock v:ext="edit" aspectratio="f"/>
              <v:textbox inset="0mm,0mm,0mm,0mm" style="mso-fit-shape-to-text:t;">
                <w:txbxContent>
                  <w:p w14:paraId="2654D183">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8378A3">
    <w:pPr>
      <w:widowControl w:val="0"/>
      <w:spacing w:line="1" w:lineRule="exact"/>
    </w:pPr>
    <w:r>
      <w:rPr>
        <w:sz w:val="24"/>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 name="文本框 1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09E1A2">
                          <w:pPr>
                            <w:pStyle w:val="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iEy20z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iEy20zAgAAZQQAAA4AAAAAAAAAAQAgAAAAHwEAAGRycy9lMm9Eb2MueG1sUEsF&#10;BgAAAAAGAAYAWQEAAMQFAAAAAA==&#10;">
              <v:fill on="f" focussize="0,0"/>
              <v:stroke on="f" weight="0.5pt"/>
              <v:imagedata o:title=""/>
              <o:lock v:ext="edit" aspectratio="f"/>
              <v:textbox inset="0mm,0mm,0mm,0mm" style="mso-fit-shape-to-text:t;">
                <w:txbxContent>
                  <w:p w14:paraId="7E09E1A2">
                    <w:pPr>
                      <w:pStyle w:val="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727BAD">
    <w:pPr>
      <w:widowControl w:val="0"/>
      <w:spacing w:line="1" w:lineRule="exact"/>
    </w:pPr>
    <w:r>
      <w:rPr>
        <w:sz w:val="24"/>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5" name="文本框 1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CF6CCE">
                          <w:pPr>
                            <w:pStyle w:val="5"/>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4TkwszAgAAZ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6ITplBLNFEp++fH9&#10;8vP35dc3Eg8hUW39HJE7i9jQvDMNwodzj8PIvCmcil9wIvBD4PNVYNEEwuOl2WQ2S+Hi8A0b4CdP&#10;163z4b0wikQjow4VbIVlp60PXegQErNps6mkbKsoNakzevN2mr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4TkwszAgAAZQQAAA4AAAAAAAAAAQAgAAAAHwEAAGRycy9lMm9Eb2MueG1sUEsF&#10;BgAAAAAGAAYAWQEAAMQFAAAAAA==&#10;">
              <v:fill on="f" focussize="0,0"/>
              <v:stroke on="f" weight="0.5pt"/>
              <v:imagedata o:title=""/>
              <o:lock v:ext="edit" aspectratio="f"/>
              <v:textbox inset="0mm,0mm,0mm,0mm" style="mso-fit-shape-to-text:t;">
                <w:txbxContent>
                  <w:p w14:paraId="35CF6CCE">
                    <w:pPr>
                      <w:pStyle w:val="5"/>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65240E">
    <w:pPr>
      <w:widowControl w:val="0"/>
      <w:spacing w:line="1" w:lineRule="exact"/>
    </w:pPr>
    <w:r>
      <w:rPr>
        <w:sz w:val="24"/>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6" name="文本框 1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C1A43D">
                          <w:pPr>
                            <w:pStyle w:val="5"/>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RQXUzAgAAZQ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lydMLNlBLNFEp++fH9&#10;8vP35dc3Eg8hUW39HJE7i9jQvDMNwodzj8PIvCmcil9wIvBD4PNVYNEEwuOl2WQ2S+Hi8A0b4CdP&#10;163z4b0wikQjow4VbIVlp60PXegQErNps6mkbKsoNakzOn17k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LRQXUzAgAAZQQAAA4AAAAAAAAAAQAgAAAAHwEAAGRycy9lMm9Eb2MueG1sUEsF&#10;BgAAAAAGAAYAWQEAAMQFAAAAAA==&#10;">
              <v:fill on="f" focussize="0,0"/>
              <v:stroke on="f" weight="0.5pt"/>
              <v:imagedata o:title=""/>
              <o:lock v:ext="edit" aspectratio="f"/>
              <v:textbox inset="0mm,0mm,0mm,0mm" style="mso-fit-shape-to-text:t;">
                <w:txbxContent>
                  <w:p w14:paraId="3EC1A43D">
                    <w:pPr>
                      <w:pStyle w:val="5"/>
                    </w:pPr>
                    <w:r>
                      <w:fldChar w:fldCharType="begin"/>
                    </w:r>
                    <w:r>
                      <w:instrText xml:space="preserve"> PAGE  \* MERGEFORMAT </w:instrText>
                    </w:r>
                    <w:r>
                      <w:fldChar w:fldCharType="separate"/>
                    </w:r>
                    <w:r>
                      <w:t>12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p>
  </w:footnote>
  <w:footnote w:type="continuationSeparator" w:id="1">
    <w:p>
      <w:pPr>
        <w:spacing w:before="0"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4C0359">
    <w:pPr>
      <w:widowControl w:val="0"/>
      <w:spacing w:line="1"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403A0A">
    <w:pPr>
      <w:widowControl w:val="0"/>
      <w:spacing w:line="1"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554A72">
    <w:pPr>
      <w:widowControl w:val="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F00E8C">
    <w:pPr>
      <w:widowControl w:val="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865E03">
    <w:pPr>
      <w:widowControl w:val="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E70696">
    <w:pPr>
      <w:widowControl w:val="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evenAndOddHeaders w:val="1"/>
  <w:drawingGridHorizontalSpacing w:val="181"/>
  <w:drawingGridVerticalSpacing w:val="181"/>
  <w:displayHorizontalDrawingGridEvery w:val="1"/>
  <w:displayVerticalDrawingGridEvery w:val="1"/>
  <w:characterSpacingControl w:val="compressPunctuation"/>
  <w:footnotePr>
    <w:footnote w:id="0"/>
    <w:footnote w:id="1"/>
  </w:footnotePr>
  <w:endnotePr>
    <w:endnote w:id="0"/>
    <w:endnote w:id="1"/>
  </w:endnotePr>
  <w:compat>
    <w:doNotExpandShiftReturn/>
    <w:useFELayout/>
    <w:compatSetting w:name="compatibilityMode" w:uri="http://schemas.microsoft.com/office/word" w:val="15"/>
  </w:compat>
  <w:docVars>
    <w:docVar w:name="commondata" w:val="eyJoZGlkIjoiN2Q3OTIxMzJjYmU0MWRiZjUxNjBiNWJkOWYyODE5YTYifQ=="/>
  </w:docVars>
  <w:rsids>
    <w:rsidRoot w:val="00000000"/>
    <w:rsid w:val="0130727A"/>
    <w:rsid w:val="019C5BD2"/>
    <w:rsid w:val="027A17C7"/>
    <w:rsid w:val="032E0C05"/>
    <w:rsid w:val="034A31EA"/>
    <w:rsid w:val="06395C32"/>
    <w:rsid w:val="07585EA1"/>
    <w:rsid w:val="09BA0759"/>
    <w:rsid w:val="09EC789B"/>
    <w:rsid w:val="0A1F7B9A"/>
    <w:rsid w:val="0CD11792"/>
    <w:rsid w:val="0F1C6488"/>
    <w:rsid w:val="0FE42378"/>
    <w:rsid w:val="13690000"/>
    <w:rsid w:val="142A4B06"/>
    <w:rsid w:val="18D5309D"/>
    <w:rsid w:val="18DB2D87"/>
    <w:rsid w:val="18DB6FC7"/>
    <w:rsid w:val="19F623FE"/>
    <w:rsid w:val="1D2F2FB7"/>
    <w:rsid w:val="21B137F8"/>
    <w:rsid w:val="22456D69"/>
    <w:rsid w:val="2D601C8D"/>
    <w:rsid w:val="2E446741"/>
    <w:rsid w:val="30013299"/>
    <w:rsid w:val="30B679A5"/>
    <w:rsid w:val="31405A2F"/>
    <w:rsid w:val="32794979"/>
    <w:rsid w:val="32FF3FE6"/>
    <w:rsid w:val="3554271F"/>
    <w:rsid w:val="3565049F"/>
    <w:rsid w:val="35F10603"/>
    <w:rsid w:val="3C9E3E22"/>
    <w:rsid w:val="3F50381C"/>
    <w:rsid w:val="470B4AA6"/>
    <w:rsid w:val="497E6085"/>
    <w:rsid w:val="4AFB5C0C"/>
    <w:rsid w:val="4BC6087B"/>
    <w:rsid w:val="4D0C5616"/>
    <w:rsid w:val="4D632E27"/>
    <w:rsid w:val="503F77EA"/>
    <w:rsid w:val="513A0761"/>
    <w:rsid w:val="51F8681A"/>
    <w:rsid w:val="52FC062A"/>
    <w:rsid w:val="53451AB1"/>
    <w:rsid w:val="534E25E0"/>
    <w:rsid w:val="57E448AF"/>
    <w:rsid w:val="58CD43C9"/>
    <w:rsid w:val="5B643081"/>
    <w:rsid w:val="5D873C88"/>
    <w:rsid w:val="5F2027F4"/>
    <w:rsid w:val="63B8243D"/>
    <w:rsid w:val="69900948"/>
    <w:rsid w:val="6ADE7A7C"/>
    <w:rsid w:val="6DD700FE"/>
    <w:rsid w:val="72BB09D6"/>
    <w:rsid w:val="72FA4C5C"/>
    <w:rsid w:val="73F05C85"/>
    <w:rsid w:val="76FD70A6"/>
    <w:rsid w:val="77E77B41"/>
    <w:rsid w:val="7ABB1B84"/>
    <w:rsid w:val="7FE4485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keepNext w:val="0"/>
      <w:keepLines w:val="0"/>
      <w:widowControl w:val="0"/>
      <w:shd w:val="clear" w:color="auto" w:fill="auto"/>
      <w:bidi w:val="0"/>
      <w:spacing w:before="0" w:after="0" w:line="240" w:lineRule="auto"/>
      <w:ind w:left="0" w:right="0" w:firstLine="0"/>
      <w:jc w:val="left"/>
    </w:pPr>
    <w:rPr>
      <w:rFonts w:ascii="Times New Roman" w:hAnsi="Times New Roman" w:eastAsia="Times New Roman" w:cs="Times New Roman"/>
      <w:color w:val="000000"/>
      <w:spacing w:val="0"/>
      <w:w w:val="100"/>
      <w:position w:val="0"/>
      <w:sz w:val="24"/>
      <w:szCs w:val="24"/>
      <w:shd w:val="clear" w:color="auto" w:fill="auto"/>
      <w:lang w:val="en-US" w:eastAsia="en-US" w:bidi="en-US"/>
    </w:rPr>
  </w:style>
  <w:style w:type="paragraph" w:styleId="2">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1">
    <w:name w:val="Default Paragraph Font"/>
    <w:autoRedefine/>
    <w:qFormat/>
    <w:uiPriority w:val="0"/>
    <w:rPr>
      <w:rFonts w:ascii="Times New Roman" w:hAnsi="Times New Roman" w:eastAsia="Times New Roman" w:cs="Times New Roman"/>
      <w:color w:val="000000"/>
      <w:spacing w:val="0"/>
      <w:w w:val="100"/>
      <w:position w:val="0"/>
      <w:sz w:val="24"/>
      <w:szCs w:val="24"/>
      <w:shd w:val="clear" w:color="auto" w:fill="auto"/>
      <w:lang w:val="en-US" w:eastAsia="en-US" w:bidi="en-US"/>
    </w:rPr>
  </w:style>
  <w:style w:type="table" w:default="1" w:styleId="9">
    <w:name w:val="Normal Table"/>
    <w:autoRedefine/>
    <w:semiHidden/>
    <w:qFormat/>
    <w:uiPriority w:val="0"/>
    <w:tblPr>
      <w:tblCellMar>
        <w:top w:w="0" w:type="dxa"/>
        <w:left w:w="108" w:type="dxa"/>
        <w:bottom w:w="0" w:type="dxa"/>
        <w:right w:w="108" w:type="dxa"/>
      </w:tblCellMar>
    </w:tblPr>
  </w:style>
  <w:style w:type="paragraph" w:styleId="3">
    <w:name w:val="Normal Indent"/>
    <w:autoRedefine/>
    <w:qFormat/>
    <w:uiPriority w:val="99"/>
    <w:pPr>
      <w:widowControl w:val="0"/>
      <w:ind w:firstLine="420" w:firstLineChars="200"/>
      <w:jc w:val="both"/>
    </w:pPr>
    <w:rPr>
      <w:rFonts w:ascii="Times New Roman" w:hAnsi="Times New Roman" w:eastAsia="宋体" w:cs="Times New Roman"/>
      <w:b/>
      <w:kern w:val="2"/>
      <w:sz w:val="21"/>
      <w:lang w:val="en-US" w:eastAsia="zh-CN" w:bidi="ar-SA"/>
    </w:rPr>
  </w:style>
  <w:style w:type="paragraph" w:styleId="4">
    <w:name w:val="toc 3"/>
    <w:basedOn w:val="1"/>
    <w:next w:val="1"/>
    <w:qFormat/>
    <w:uiPriority w:val="0"/>
    <w:pPr>
      <w:ind w:left="840" w:leftChars="400"/>
    </w:pPr>
  </w:style>
  <w:style w:type="paragraph" w:styleId="5">
    <w:name w:val="footer"/>
    <w:basedOn w:val="1"/>
    <w:autoRedefine/>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0"/>
  </w:style>
  <w:style w:type="paragraph" w:styleId="8">
    <w:name w:val="toc 2"/>
    <w:basedOn w:val="1"/>
    <w:next w:val="1"/>
    <w:qFormat/>
    <w:uiPriority w:val="0"/>
    <w:pPr>
      <w:ind w:left="420" w:leftChars="200"/>
    </w:pPr>
  </w:style>
  <w:style w:type="table" w:styleId="10">
    <w:name w:val="Table Grid"/>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2">
    <w:name w:val="Body text|4_"/>
    <w:basedOn w:val="11"/>
    <w:link w:val="13"/>
    <w:autoRedefine/>
    <w:qFormat/>
    <w:uiPriority w:val="0"/>
    <w:rPr>
      <w:rFonts w:ascii="宋体" w:hAnsi="宋体" w:eastAsia="宋体" w:cs="宋体"/>
      <w:sz w:val="32"/>
      <w:szCs w:val="32"/>
      <w:u w:val="none"/>
      <w:shd w:val="clear" w:color="auto" w:fill="auto"/>
      <w:lang w:val="zh-TW" w:eastAsia="zh-TW" w:bidi="zh-TW"/>
    </w:rPr>
  </w:style>
  <w:style w:type="paragraph" w:customStyle="1" w:styleId="13">
    <w:name w:val="Body text|4"/>
    <w:basedOn w:val="1"/>
    <w:link w:val="12"/>
    <w:autoRedefine/>
    <w:qFormat/>
    <w:uiPriority w:val="0"/>
    <w:pPr>
      <w:widowControl w:val="0"/>
      <w:shd w:val="clear" w:color="auto" w:fill="auto"/>
      <w:spacing w:after="600"/>
      <w:jc w:val="center"/>
    </w:pPr>
    <w:rPr>
      <w:rFonts w:ascii="宋体" w:hAnsi="宋体" w:eastAsia="宋体" w:cs="宋体"/>
      <w:sz w:val="32"/>
      <w:szCs w:val="32"/>
      <w:u w:val="none"/>
      <w:shd w:val="clear" w:color="auto" w:fill="auto"/>
      <w:lang w:val="zh-TW" w:eastAsia="zh-TW" w:bidi="zh-TW"/>
    </w:rPr>
  </w:style>
  <w:style w:type="character" w:customStyle="1" w:styleId="14">
    <w:name w:val="Header or footer|2_"/>
    <w:basedOn w:val="11"/>
    <w:link w:val="15"/>
    <w:qFormat/>
    <w:uiPriority w:val="0"/>
    <w:rPr>
      <w:sz w:val="20"/>
      <w:szCs w:val="20"/>
      <w:u w:val="none"/>
      <w:shd w:val="clear" w:color="auto" w:fill="auto"/>
      <w:lang w:val="zh-TW" w:eastAsia="zh-TW" w:bidi="zh-TW"/>
    </w:rPr>
  </w:style>
  <w:style w:type="paragraph" w:customStyle="1" w:styleId="15">
    <w:name w:val="Header or footer|2"/>
    <w:basedOn w:val="1"/>
    <w:link w:val="14"/>
    <w:autoRedefine/>
    <w:qFormat/>
    <w:uiPriority w:val="0"/>
    <w:pPr>
      <w:widowControl w:val="0"/>
      <w:shd w:val="clear" w:color="auto" w:fill="auto"/>
    </w:pPr>
    <w:rPr>
      <w:sz w:val="20"/>
      <w:szCs w:val="20"/>
      <w:u w:val="none"/>
      <w:shd w:val="clear" w:color="auto" w:fill="auto"/>
      <w:lang w:val="zh-TW" w:eastAsia="zh-TW" w:bidi="zh-TW"/>
    </w:rPr>
  </w:style>
  <w:style w:type="character" w:customStyle="1" w:styleId="16">
    <w:name w:val="Heading #1|1_"/>
    <w:basedOn w:val="11"/>
    <w:link w:val="17"/>
    <w:autoRedefine/>
    <w:qFormat/>
    <w:uiPriority w:val="0"/>
    <w:rPr>
      <w:rFonts w:ascii="宋体" w:hAnsi="宋体" w:eastAsia="宋体" w:cs="宋体"/>
      <w:b/>
      <w:bCs/>
      <w:sz w:val="32"/>
      <w:szCs w:val="50"/>
      <w:u w:val="none"/>
      <w:shd w:val="clear" w:color="auto" w:fill="auto"/>
      <w:lang w:val="zh-TW" w:eastAsia="zh-TW" w:bidi="zh-TW"/>
    </w:rPr>
  </w:style>
  <w:style w:type="paragraph" w:customStyle="1" w:styleId="17">
    <w:name w:val="1标题"/>
    <w:basedOn w:val="1"/>
    <w:link w:val="16"/>
    <w:autoRedefine/>
    <w:qFormat/>
    <w:uiPriority w:val="0"/>
    <w:pPr>
      <w:widowControl w:val="0"/>
      <w:shd w:val="clear" w:color="auto" w:fill="auto"/>
      <w:spacing w:line="560" w:lineRule="exact"/>
      <w:ind w:firstLine="960" w:firstLineChars="200"/>
      <w:jc w:val="left"/>
      <w:outlineLvl w:val="0"/>
    </w:pPr>
    <w:rPr>
      <w:rFonts w:ascii="宋体" w:hAnsi="宋体" w:eastAsia="宋体" w:cs="宋体"/>
      <w:b/>
      <w:bCs/>
      <w:sz w:val="32"/>
      <w:szCs w:val="50"/>
      <w:u w:val="none"/>
      <w:lang w:val="zh-TW" w:eastAsia="zh-TW" w:bidi="zh-TW"/>
    </w:rPr>
  </w:style>
  <w:style w:type="character" w:customStyle="1" w:styleId="18">
    <w:name w:val="Picture caption|1_"/>
    <w:basedOn w:val="11"/>
    <w:link w:val="19"/>
    <w:autoRedefine/>
    <w:qFormat/>
    <w:uiPriority w:val="0"/>
    <w:rPr>
      <w:rFonts w:ascii="宋体" w:hAnsi="宋体" w:eastAsia="宋体" w:cs="宋体"/>
      <w:u w:val="none"/>
      <w:shd w:val="clear" w:color="auto" w:fill="auto"/>
      <w:lang w:val="zh-TW" w:eastAsia="zh-TW" w:bidi="zh-TW"/>
    </w:rPr>
  </w:style>
  <w:style w:type="paragraph" w:customStyle="1" w:styleId="19">
    <w:name w:val="Picture caption|1"/>
    <w:basedOn w:val="1"/>
    <w:link w:val="18"/>
    <w:autoRedefine/>
    <w:qFormat/>
    <w:uiPriority w:val="0"/>
    <w:pPr>
      <w:widowControl w:val="0"/>
      <w:shd w:val="clear" w:color="auto" w:fill="auto"/>
      <w:jc w:val="center"/>
    </w:pPr>
    <w:rPr>
      <w:rFonts w:ascii="宋体" w:hAnsi="宋体" w:eastAsia="宋体" w:cs="宋体"/>
      <w:u w:val="none"/>
      <w:shd w:val="clear" w:color="auto" w:fill="auto"/>
      <w:lang w:val="zh-TW" w:eastAsia="zh-TW" w:bidi="zh-TW"/>
    </w:rPr>
  </w:style>
  <w:style w:type="character" w:customStyle="1" w:styleId="20">
    <w:name w:val="Table of contents|1_"/>
    <w:basedOn w:val="11"/>
    <w:link w:val="21"/>
    <w:qFormat/>
    <w:uiPriority w:val="0"/>
    <w:rPr>
      <w:rFonts w:ascii="宋体" w:hAnsi="宋体" w:eastAsia="宋体" w:cs="宋体"/>
      <w:sz w:val="28"/>
      <w:szCs w:val="28"/>
      <w:u w:val="none"/>
      <w:shd w:val="clear" w:color="auto" w:fill="auto"/>
      <w:lang w:val="zh-TW" w:eastAsia="zh-TW" w:bidi="zh-TW"/>
    </w:rPr>
  </w:style>
  <w:style w:type="paragraph" w:customStyle="1" w:styleId="21">
    <w:name w:val="Table of contents|1"/>
    <w:basedOn w:val="1"/>
    <w:link w:val="20"/>
    <w:autoRedefine/>
    <w:qFormat/>
    <w:uiPriority w:val="0"/>
    <w:pPr>
      <w:widowControl w:val="0"/>
      <w:shd w:val="clear" w:color="auto" w:fill="auto"/>
      <w:spacing w:after="150"/>
      <w:ind w:left="1120"/>
    </w:pPr>
    <w:rPr>
      <w:rFonts w:ascii="宋体" w:hAnsi="宋体" w:eastAsia="宋体" w:cs="宋体"/>
      <w:sz w:val="28"/>
      <w:szCs w:val="28"/>
      <w:u w:val="none"/>
      <w:shd w:val="clear" w:color="auto" w:fill="auto"/>
      <w:lang w:val="zh-TW" w:eastAsia="zh-TW" w:bidi="zh-TW"/>
    </w:rPr>
  </w:style>
  <w:style w:type="character" w:customStyle="1" w:styleId="22">
    <w:name w:val="Header or footer|1_"/>
    <w:basedOn w:val="11"/>
    <w:link w:val="23"/>
    <w:autoRedefine/>
    <w:qFormat/>
    <w:uiPriority w:val="0"/>
    <w:rPr>
      <w:sz w:val="28"/>
      <w:szCs w:val="28"/>
      <w:u w:val="none"/>
      <w:shd w:val="clear" w:color="auto" w:fill="auto"/>
      <w:lang w:val="zh-TW" w:eastAsia="zh-TW" w:bidi="zh-TW"/>
    </w:rPr>
  </w:style>
  <w:style w:type="paragraph" w:customStyle="1" w:styleId="23">
    <w:name w:val="Header or footer|1"/>
    <w:basedOn w:val="1"/>
    <w:link w:val="22"/>
    <w:qFormat/>
    <w:uiPriority w:val="0"/>
    <w:pPr>
      <w:widowControl w:val="0"/>
      <w:shd w:val="clear" w:color="auto" w:fill="auto"/>
    </w:pPr>
    <w:rPr>
      <w:sz w:val="28"/>
      <w:szCs w:val="28"/>
      <w:u w:val="none"/>
      <w:shd w:val="clear" w:color="auto" w:fill="auto"/>
      <w:lang w:val="zh-TW" w:eastAsia="zh-TW" w:bidi="zh-TW"/>
    </w:rPr>
  </w:style>
  <w:style w:type="character" w:customStyle="1" w:styleId="24">
    <w:name w:val="Heading #2|1_"/>
    <w:basedOn w:val="11"/>
    <w:link w:val="25"/>
    <w:qFormat/>
    <w:uiPriority w:val="0"/>
    <w:rPr>
      <w:rFonts w:ascii="宋体" w:hAnsi="宋体" w:eastAsia="宋体" w:cs="宋体"/>
      <w:b/>
      <w:bCs/>
      <w:sz w:val="30"/>
      <w:szCs w:val="30"/>
      <w:u w:val="none"/>
      <w:shd w:val="clear" w:color="auto" w:fill="auto"/>
      <w:lang w:val="zh-TW" w:eastAsia="zh-TW" w:bidi="zh-TW"/>
    </w:rPr>
  </w:style>
  <w:style w:type="paragraph" w:customStyle="1" w:styleId="25">
    <w:name w:val="2标题"/>
    <w:basedOn w:val="1"/>
    <w:link w:val="24"/>
    <w:autoRedefine/>
    <w:qFormat/>
    <w:uiPriority w:val="0"/>
    <w:pPr>
      <w:widowControl w:val="0"/>
      <w:shd w:val="clear" w:color="auto" w:fill="auto"/>
      <w:spacing w:line="560" w:lineRule="exact"/>
      <w:ind w:firstLine="960" w:firstLineChars="200"/>
      <w:outlineLvl w:val="1"/>
    </w:pPr>
    <w:rPr>
      <w:rFonts w:ascii="宋体" w:hAnsi="宋体" w:eastAsia="宋体" w:cs="宋体"/>
      <w:b/>
      <w:bCs/>
      <w:sz w:val="30"/>
      <w:szCs w:val="30"/>
      <w:u w:val="none"/>
      <w:lang w:val="zh-TW" w:eastAsia="zh-TW" w:bidi="zh-TW"/>
    </w:rPr>
  </w:style>
  <w:style w:type="character" w:customStyle="1" w:styleId="26">
    <w:name w:val="Body text|1_"/>
    <w:basedOn w:val="11"/>
    <w:link w:val="27"/>
    <w:autoRedefine/>
    <w:qFormat/>
    <w:uiPriority w:val="0"/>
    <w:rPr>
      <w:rFonts w:ascii="宋体" w:hAnsi="宋体" w:eastAsia="宋体" w:cs="宋体"/>
      <w:sz w:val="28"/>
      <w:szCs w:val="28"/>
      <w:u w:val="none"/>
      <w:shd w:val="clear" w:color="auto" w:fill="auto"/>
      <w:lang w:val="zh-TW" w:eastAsia="zh-TW" w:bidi="zh-TW"/>
    </w:rPr>
  </w:style>
  <w:style w:type="paragraph" w:customStyle="1" w:styleId="27">
    <w:name w:val="5-正文"/>
    <w:basedOn w:val="1"/>
    <w:link w:val="26"/>
    <w:qFormat/>
    <w:uiPriority w:val="0"/>
    <w:pPr>
      <w:widowControl w:val="0"/>
      <w:shd w:val="clear" w:color="auto" w:fill="auto"/>
      <w:spacing w:line="560" w:lineRule="exact"/>
      <w:ind w:firstLine="960" w:firstLineChars="200"/>
    </w:pPr>
    <w:rPr>
      <w:rFonts w:ascii="宋体" w:hAnsi="宋体" w:eastAsia="宋体" w:cs="宋体"/>
      <w:sz w:val="28"/>
      <w:szCs w:val="28"/>
      <w:u w:val="none"/>
      <w:lang w:val="zh-TW" w:eastAsia="zh-TW" w:bidi="zh-TW"/>
    </w:rPr>
  </w:style>
  <w:style w:type="character" w:customStyle="1" w:styleId="28">
    <w:name w:val="Heading #3|1_"/>
    <w:basedOn w:val="11"/>
    <w:link w:val="29"/>
    <w:qFormat/>
    <w:uiPriority w:val="0"/>
    <w:rPr>
      <w:rFonts w:ascii="Times New Roman" w:hAnsi="Times New Roman" w:eastAsia="宋体"/>
      <w:b/>
      <w:bCs/>
      <w:sz w:val="28"/>
      <w:szCs w:val="26"/>
      <w:u w:val="none"/>
      <w:shd w:val="clear" w:color="auto" w:fill="auto"/>
      <w:lang w:val="zh-TW" w:eastAsia="zh-TW" w:bidi="zh-TW"/>
    </w:rPr>
  </w:style>
  <w:style w:type="paragraph" w:customStyle="1" w:styleId="29">
    <w:name w:val="3标题"/>
    <w:basedOn w:val="1"/>
    <w:link w:val="28"/>
    <w:qFormat/>
    <w:uiPriority w:val="0"/>
    <w:pPr>
      <w:widowControl w:val="0"/>
      <w:shd w:val="clear" w:color="auto" w:fill="auto"/>
      <w:spacing w:line="560" w:lineRule="exact"/>
      <w:ind w:firstLine="960" w:firstLineChars="200"/>
      <w:outlineLvl w:val="2"/>
    </w:pPr>
    <w:rPr>
      <w:rFonts w:ascii="Times New Roman" w:hAnsi="Times New Roman" w:eastAsia="宋体"/>
      <w:b/>
      <w:bCs/>
      <w:sz w:val="28"/>
      <w:szCs w:val="26"/>
      <w:u w:val="none"/>
      <w:lang w:val="zh-TW" w:eastAsia="zh-TW" w:bidi="zh-TW"/>
    </w:rPr>
  </w:style>
  <w:style w:type="character" w:customStyle="1" w:styleId="30">
    <w:name w:val="Body text|2_"/>
    <w:basedOn w:val="11"/>
    <w:link w:val="31"/>
    <w:autoRedefine/>
    <w:qFormat/>
    <w:uiPriority w:val="0"/>
    <w:rPr>
      <w:sz w:val="28"/>
      <w:szCs w:val="28"/>
      <w:u w:val="none"/>
      <w:shd w:val="clear" w:color="auto" w:fill="auto"/>
      <w:lang w:val="zh-TW" w:eastAsia="zh-TW" w:bidi="zh-TW"/>
    </w:rPr>
  </w:style>
  <w:style w:type="paragraph" w:customStyle="1" w:styleId="31">
    <w:name w:val="Body text|2"/>
    <w:basedOn w:val="1"/>
    <w:link w:val="30"/>
    <w:qFormat/>
    <w:uiPriority w:val="0"/>
    <w:pPr>
      <w:widowControl w:val="0"/>
      <w:shd w:val="clear" w:color="auto" w:fill="auto"/>
      <w:spacing w:after="90" w:line="538" w:lineRule="exact"/>
    </w:pPr>
    <w:rPr>
      <w:sz w:val="28"/>
      <w:szCs w:val="28"/>
      <w:u w:val="none"/>
      <w:shd w:val="clear" w:color="auto" w:fill="auto"/>
      <w:lang w:val="zh-TW" w:eastAsia="zh-TW" w:bidi="zh-TW"/>
    </w:rPr>
  </w:style>
  <w:style w:type="character" w:customStyle="1" w:styleId="32">
    <w:name w:val="Other|1_"/>
    <w:basedOn w:val="11"/>
    <w:link w:val="33"/>
    <w:autoRedefine/>
    <w:qFormat/>
    <w:uiPriority w:val="0"/>
    <w:rPr>
      <w:rFonts w:ascii="宋体" w:hAnsi="宋体" w:eastAsia="宋体" w:cs="宋体"/>
      <w:sz w:val="32"/>
      <w:szCs w:val="32"/>
      <w:u w:val="none"/>
      <w:shd w:val="clear" w:color="auto" w:fill="auto"/>
      <w:lang w:val="zh-TW" w:eastAsia="zh-TW" w:bidi="zh-TW"/>
    </w:rPr>
  </w:style>
  <w:style w:type="paragraph" w:customStyle="1" w:styleId="33">
    <w:name w:val="Other|1"/>
    <w:basedOn w:val="1"/>
    <w:link w:val="32"/>
    <w:autoRedefine/>
    <w:qFormat/>
    <w:uiPriority w:val="0"/>
    <w:pPr>
      <w:widowControl w:val="0"/>
      <w:shd w:val="clear" w:color="auto" w:fill="auto"/>
      <w:spacing w:after="600"/>
      <w:jc w:val="center"/>
    </w:pPr>
    <w:rPr>
      <w:rFonts w:ascii="宋体" w:hAnsi="宋体" w:eastAsia="宋体" w:cs="宋体"/>
      <w:sz w:val="32"/>
      <w:szCs w:val="32"/>
      <w:u w:val="none"/>
      <w:shd w:val="clear" w:color="auto" w:fill="auto"/>
      <w:lang w:val="zh-TW" w:eastAsia="zh-TW" w:bidi="zh-TW"/>
    </w:rPr>
  </w:style>
  <w:style w:type="character" w:customStyle="1" w:styleId="34">
    <w:name w:val="Table caption|1_"/>
    <w:basedOn w:val="11"/>
    <w:link w:val="35"/>
    <w:autoRedefine/>
    <w:qFormat/>
    <w:uiPriority w:val="0"/>
    <w:rPr>
      <w:rFonts w:ascii="宋体" w:hAnsi="宋体" w:eastAsia="宋体" w:cs="宋体"/>
      <w:b/>
      <w:bCs/>
      <w:sz w:val="30"/>
      <w:szCs w:val="30"/>
      <w:u w:val="none"/>
      <w:shd w:val="clear" w:color="auto" w:fill="auto"/>
      <w:lang w:val="zh-TW" w:eastAsia="zh-TW" w:bidi="zh-TW"/>
    </w:rPr>
  </w:style>
  <w:style w:type="paragraph" w:customStyle="1" w:styleId="35">
    <w:name w:val="Table caption|1"/>
    <w:basedOn w:val="1"/>
    <w:link w:val="34"/>
    <w:autoRedefine/>
    <w:qFormat/>
    <w:uiPriority w:val="0"/>
    <w:pPr>
      <w:widowControl w:val="0"/>
      <w:shd w:val="clear" w:color="auto" w:fill="auto"/>
    </w:pPr>
    <w:rPr>
      <w:rFonts w:ascii="宋体" w:hAnsi="宋体" w:eastAsia="宋体" w:cs="宋体"/>
      <w:b/>
      <w:bCs/>
      <w:sz w:val="30"/>
      <w:szCs w:val="30"/>
      <w:u w:val="none"/>
      <w:shd w:val="clear" w:color="auto" w:fill="auto"/>
      <w:lang w:val="zh-TW" w:eastAsia="zh-TW" w:bidi="zh-TW"/>
    </w:rPr>
  </w:style>
  <w:style w:type="character" w:customStyle="1" w:styleId="36">
    <w:name w:val="Body text|3_"/>
    <w:basedOn w:val="11"/>
    <w:link w:val="37"/>
    <w:autoRedefine/>
    <w:qFormat/>
    <w:uiPriority w:val="0"/>
    <w:rPr>
      <w:rFonts w:ascii="宋体" w:hAnsi="宋体" w:eastAsia="宋体" w:cs="宋体"/>
      <w:color w:val="6C6D6D"/>
      <w:u w:val="none"/>
      <w:shd w:val="clear" w:color="auto" w:fill="auto"/>
      <w:lang w:val="zh-TW" w:eastAsia="zh-TW" w:bidi="zh-TW"/>
    </w:rPr>
  </w:style>
  <w:style w:type="paragraph" w:customStyle="1" w:styleId="37">
    <w:name w:val="Body text|3"/>
    <w:basedOn w:val="1"/>
    <w:link w:val="36"/>
    <w:autoRedefine/>
    <w:qFormat/>
    <w:uiPriority w:val="0"/>
    <w:pPr>
      <w:widowControl w:val="0"/>
      <w:shd w:val="clear" w:color="auto" w:fill="auto"/>
      <w:spacing w:line="264" w:lineRule="exact"/>
      <w:ind w:firstLine="860"/>
    </w:pPr>
    <w:rPr>
      <w:rFonts w:ascii="宋体" w:hAnsi="宋体" w:eastAsia="宋体" w:cs="宋体"/>
      <w:color w:val="6C6D6D"/>
      <w:u w:val="none"/>
      <w:shd w:val="clear" w:color="auto" w:fill="auto"/>
      <w:lang w:val="zh-TW" w:eastAsia="zh-TW" w:bidi="zh-TW"/>
    </w:rPr>
  </w:style>
  <w:style w:type="character" w:customStyle="1" w:styleId="38">
    <w:name w:val="Other|2_"/>
    <w:basedOn w:val="11"/>
    <w:link w:val="39"/>
    <w:autoRedefine/>
    <w:qFormat/>
    <w:uiPriority w:val="0"/>
    <w:rPr>
      <w:rFonts w:ascii="宋体" w:hAnsi="宋体" w:eastAsia="宋体" w:cs="宋体"/>
      <w:sz w:val="20"/>
      <w:szCs w:val="20"/>
      <w:u w:val="none"/>
      <w:shd w:val="clear" w:color="auto" w:fill="auto"/>
      <w:lang w:val="zh-TW" w:eastAsia="zh-TW" w:bidi="zh-TW"/>
    </w:rPr>
  </w:style>
  <w:style w:type="paragraph" w:customStyle="1" w:styleId="39">
    <w:name w:val="Other|2"/>
    <w:basedOn w:val="1"/>
    <w:link w:val="38"/>
    <w:autoRedefine/>
    <w:qFormat/>
    <w:uiPriority w:val="0"/>
    <w:pPr>
      <w:widowControl w:val="0"/>
      <w:shd w:val="clear" w:color="auto" w:fill="auto"/>
      <w:jc w:val="center"/>
    </w:pPr>
    <w:rPr>
      <w:rFonts w:ascii="宋体" w:hAnsi="宋体" w:eastAsia="宋体" w:cs="宋体"/>
      <w:sz w:val="20"/>
      <w:szCs w:val="20"/>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56</Pages>
  <Words>13292</Words>
  <Characters>14557</Characters>
  <TotalTime>270</TotalTime>
  <ScaleCrop>false</ScaleCrop>
  <LinksUpToDate>false</LinksUpToDate>
  <CharactersWithSpaces>14619</CharactersWithSpaces>
  <Application>WPS Office_12.1.0.22529_F1E327BC-269C-435d-A152-05C5408002CA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2022-02-25T07:36:00Z</dcterms:created>
  <dc:creator>ABC</dc:creator>
  <cp:lastModifiedBy>安然弱水</cp:lastModifiedBy>
  <cp:lastPrinted>2022-03-03T07:23:00Z</cp:lastPrinted>
  <dcterms:modified xsi:type="dcterms:W3CDTF">2025-09-28T02:45:27Z</dcterms:modified>
  <dc:title>重庆市XXXX（单位公章使用的企业名称）</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63FDEF065C9745B0B52A6C0E50C93352</vt:lpwstr>
  </property>
  <property fmtid="{D5CDD505-2E9C-101B-9397-08002B2CF9AE}" pid="4" name="KSOTemplateDocerSaveRecord">
    <vt:lpwstr>eyJoZGlkIjoiM2VmN2NkNzlhZDllNTk4ZDQyYWY1YjAzNzZkNTk2YWEiLCJ1c2VySWQiOiIxMzAwNjA3NzU5In0=</vt:lpwstr>
  </property>
</Properties>
</file>