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r>
        <w:rPr>
          <w:rFonts w:hint="eastAsia" w:ascii="Times New Roman" w:hAnsi="Times New Roman" w:eastAsia="方正小标宋_GBK" w:cs="方正小标宋_GBK"/>
          <w:sz w:val="36"/>
          <w:szCs w:val="36"/>
        </w:rPr>
        <w:t>石柱土家族自治县生态环境保护综合行政执法支队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Times New Roman" w:hAnsi="Times New Roman" w:eastAsia="方正小标宋_GBK" w:cs="方正小标宋_GBK"/>
          <w:sz w:val="36"/>
          <w:szCs w:val="36"/>
          <w:shd w:val="clear" w:color="auto" w:fill="FFFFFF"/>
        </w:rPr>
        <w:t>年度决算说明</w:t>
      </w:r>
    </w:p>
    <w:p>
      <w:pPr>
        <w:keepNext w:val="0"/>
        <w:keepLines w:val="0"/>
        <w:pageBreakBefore w:val="0"/>
        <w:widowControl/>
        <w:kinsoku/>
        <w:overflowPunct/>
        <w:topLinePunct w:val="0"/>
        <w:autoSpaceDN/>
        <w:bidi w:val="0"/>
        <w:spacing w:afterAutospacing="0" w:line="594" w:lineRule="exact"/>
        <w:ind w:left="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一、单位基本情况</w:t>
      </w:r>
    </w:p>
    <w:p>
      <w:pPr>
        <w:keepNext w:val="0"/>
        <w:keepLines w:val="0"/>
        <w:pageBreakBefore w:val="0"/>
        <w:widowControl/>
        <w:kinsoku/>
        <w:overflowPunct/>
        <w:topLinePunct w:val="0"/>
        <w:autoSpaceDN/>
        <w:bidi w:val="0"/>
        <w:spacing w:afterAutospacing="0" w:line="594" w:lineRule="exact"/>
        <w:ind w:left="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（一）职能职责</w:t>
      </w:r>
    </w:p>
    <w:p>
      <w:pPr>
        <w:keepNext w:val="0"/>
        <w:keepLines w:val="0"/>
        <w:pageBreakBefore w:val="0"/>
        <w:widowControl/>
        <w:kinsoku/>
        <w:overflowPunct/>
        <w:topLinePunct w:val="0"/>
        <w:autoSpaceDN/>
        <w:bidi w:val="0"/>
        <w:spacing w:afterAutospacing="0"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县生态环境保护综合行政执法支队以县生态环境局名义，统一行使污染防治、生态保护、核与辐射安全的行政处罚权及与之相关的行政检查、行政强制权等执法职能。</w:t>
      </w:r>
    </w:p>
    <w:p>
      <w:pPr>
        <w:keepNext w:val="0"/>
        <w:keepLines w:val="0"/>
        <w:pageBreakBefore w:val="0"/>
        <w:widowControl/>
        <w:kinsoku/>
        <w:overflowPunct/>
        <w:topLinePunct w:val="0"/>
        <w:autoSpaceDN/>
        <w:bidi w:val="0"/>
        <w:spacing w:afterAutospacing="0"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1.承担全县生态环境保护综合行政执法的组织协调。组织开展有关专项行动，协调县级有关部门和乡镇（街道）开展联合执法和综合执法。</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仿宋_GBK" w:cs="方正仿宋_GBK"/>
          <w:sz w:val="32"/>
          <w:szCs w:val="32"/>
        </w:rPr>
      </w:pPr>
      <w:r>
        <w:rPr>
          <w:rFonts w:hint="default" w:ascii="Times New Roman" w:hAnsi="Times New Roman" w:eastAsia="方正仿宋_GBK" w:cs="Times New Roman"/>
          <w:sz w:val="32"/>
          <w:szCs w:val="32"/>
        </w:rPr>
        <w:t>2.承担污染防治执法事项和违法案件的依法调查处理。依法开展水生态环境保护、饮用水水源地、地下水、入河排污口，大气环境保护，土壤生态环境保护，固体废物、化学品、重金属，农业面源，工业噪声等方面的污染防治执法和监督检查。</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承担生态保护执法事项和违法案件的依法调查处理。承担自然保护地内进行非法开矿、修路、筑坝、建设等造成生态破坏的生态保护执法和监督检查。依法开展因开发土地、矿藏等造成生态破坏的行政执法和监督检查。</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color w:val="000000"/>
          <w:sz w:val="32"/>
          <w:szCs w:val="32"/>
        </w:rPr>
        <w:t>承担核与辐射安全执法事项和违法案件的依法调查处理，依法组织开展核与辐射安全监督检查。</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5.</w:t>
      </w:r>
      <w:r>
        <w:rPr>
          <w:rFonts w:ascii="Times New Roman" w:hAnsi="Times New Roman" w:eastAsia="方正仿宋_GBK" w:cs="Times New Roman"/>
          <w:color w:val="000000"/>
          <w:sz w:val="32"/>
          <w:szCs w:val="32"/>
        </w:rPr>
        <w:t>承担对乡镇（街道）生态环境保护行政执法的监督和指导。</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6.</w:t>
      </w:r>
      <w:r>
        <w:rPr>
          <w:rFonts w:ascii="Times New Roman" w:hAnsi="Times New Roman" w:eastAsia="方正仿宋_GBK" w:cs="Times New Roman"/>
          <w:color w:val="000000"/>
          <w:sz w:val="32"/>
          <w:szCs w:val="32"/>
        </w:rPr>
        <w:t>承担生态环境有关信访、投诉举报受理日常工作。</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7.</w:t>
      </w:r>
      <w:r>
        <w:rPr>
          <w:rFonts w:ascii="Times New Roman" w:hAnsi="Times New Roman" w:eastAsia="方正仿宋_GBK" w:cs="Times New Roman"/>
          <w:color w:val="000000"/>
          <w:sz w:val="32"/>
          <w:szCs w:val="32"/>
        </w:rPr>
        <w:t>承担与生态环境保护综合行政执法有关的应急工作。</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8.</w:t>
      </w:r>
      <w:r>
        <w:rPr>
          <w:rFonts w:ascii="Times New Roman" w:hAnsi="Times New Roman" w:eastAsia="方正仿宋_GBK" w:cs="Times New Roman"/>
          <w:color w:val="000000"/>
          <w:sz w:val="32"/>
          <w:szCs w:val="32"/>
        </w:rPr>
        <w:t>完成县生态环境局交办的其他任务。</w:t>
      </w:r>
    </w:p>
    <w:p>
      <w:pPr>
        <w:pStyle w:val="5"/>
        <w:keepNext w:val="0"/>
        <w:keepLines w:val="0"/>
        <w:pageBreakBefore w:val="0"/>
        <w:widowControl/>
        <w:shd w:val="clear" w:color="auto" w:fill="FFFFFF"/>
        <w:kinsoku/>
        <w:overflowPunct/>
        <w:topLinePunct w:val="0"/>
        <w:autoSpaceDN/>
        <w:bidi w:val="0"/>
        <w:spacing w:before="0" w:beforeAutospacing="0" w:after="0" w:afterAutospacing="0" w:line="594" w:lineRule="exact"/>
        <w:ind w:left="0" w:firstLine="640" w:firstLineChars="200"/>
        <w:jc w:val="both"/>
        <w:rPr>
          <w:rStyle w:val="8"/>
          <w:rFonts w:ascii="Times New Roman" w:hAnsi="Times New Roman" w:eastAsia="方正楷体_GBK" w:cs="Times New Roman"/>
          <w:b w:val="0"/>
          <w:bCs w:val="0"/>
          <w:sz w:val="32"/>
          <w:szCs w:val="32"/>
        </w:rPr>
      </w:pPr>
      <w:r>
        <w:rPr>
          <w:rStyle w:val="8"/>
          <w:rFonts w:ascii="Times New Roman" w:hAnsi="Times New Roman" w:eastAsia="方正楷体_GBK" w:cs="Times New Roman"/>
          <w:b w:val="0"/>
          <w:bCs w:val="0"/>
          <w:sz w:val="32"/>
          <w:szCs w:val="32"/>
        </w:rPr>
        <w:t>（二）机构设置</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县生态环境保护综合行政执法支队设下列内设机构和执法机构。</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pacing w:val="4"/>
          <w:sz w:val="32"/>
          <w:szCs w:val="32"/>
        </w:rPr>
      </w:pPr>
      <w:r>
        <w:rPr>
          <w:rFonts w:ascii="Times New Roman" w:hAnsi="Times New Roman" w:eastAsia="方正仿宋_GBK" w:cs="Times New Roman"/>
          <w:sz w:val="32"/>
          <w:szCs w:val="32"/>
        </w:rPr>
        <w:t>1.综合科。</w:t>
      </w:r>
      <w:r>
        <w:rPr>
          <w:rFonts w:ascii="Times New Roman" w:hAnsi="Times New Roman" w:eastAsia="方正仿宋_GBK" w:cs="Times New Roman"/>
          <w:color w:val="000000"/>
          <w:spacing w:val="4"/>
          <w:sz w:val="32"/>
          <w:szCs w:val="32"/>
        </w:rPr>
        <w:t>负责支队日常运转和重要事项督查督办。承担党风廉政建设、政治思想建设、队伍建设工作。</w:t>
      </w:r>
      <w:r>
        <w:rPr>
          <w:rFonts w:ascii="Times New Roman" w:hAnsi="Times New Roman" w:eastAsia="方正仿宋_GBK" w:cs="Times New Roman"/>
          <w:color w:val="000000"/>
          <w:sz w:val="32"/>
          <w:szCs w:val="32"/>
        </w:rPr>
        <w:t>组织协调有关专项执法、联合执法。</w:t>
      </w:r>
      <w:r>
        <w:rPr>
          <w:rFonts w:ascii="Times New Roman" w:hAnsi="Times New Roman" w:eastAsia="方正仿宋_GBK" w:cs="Times New Roman"/>
          <w:color w:val="000000"/>
          <w:spacing w:val="4"/>
          <w:sz w:val="32"/>
          <w:szCs w:val="32"/>
        </w:rPr>
        <w:t>组织实施执法全过程记录制度、重大执法决定法制审核制度、执法案卷评查和评议考核制度、执法公示制度、执法人员持证上岗和资格管理制度。承担执法规范化建设、法律文书合法性审查工作。承办复核、行政复议、行政应诉等有关工作。承担行政执法有关宣传教育工作。联系指导有关乡镇（街道）生态环境保护行政执法工作。</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color w:val="000000"/>
          <w:spacing w:val="-2"/>
          <w:sz w:val="32"/>
          <w:szCs w:val="32"/>
        </w:rPr>
      </w:pPr>
      <w:r>
        <w:rPr>
          <w:rFonts w:ascii="Times New Roman" w:hAnsi="Times New Roman" w:eastAsia="方正仿宋_GBK" w:cs="Times New Roman"/>
          <w:sz w:val="32"/>
          <w:szCs w:val="32"/>
        </w:rPr>
        <w:t>2.举报受理科（环境应急与事故调查科）。</w:t>
      </w:r>
      <w:r>
        <w:rPr>
          <w:rFonts w:ascii="Times New Roman" w:hAnsi="Times New Roman" w:eastAsia="方正仿宋_GBK" w:cs="Times New Roman"/>
          <w:color w:val="000000"/>
          <w:spacing w:val="-2"/>
          <w:sz w:val="32"/>
          <w:szCs w:val="32"/>
        </w:rPr>
        <w:t>承担环境污染、生态破坏有关的信访、举报事项的受理以及“12369”环保举报热线有关工作。牵头开展信访、举报事项的办理工作。承担与生态环境保护综合行政执法有关的应急指挥、调度、处置工作。</w:t>
      </w:r>
    </w:p>
    <w:p>
      <w:pPr>
        <w:keepNext w:val="0"/>
        <w:keepLines w:val="0"/>
        <w:pageBreakBefore w:val="0"/>
        <w:widowControl/>
        <w:kinsoku/>
        <w:overflowPunct/>
        <w:topLinePunct w:val="0"/>
        <w:autoSpaceDN/>
        <w:bidi w:val="0"/>
        <w:adjustRightInd w:val="0"/>
        <w:snapToGrid w:val="0"/>
        <w:spacing w:afterAutospacing="0" w:line="594" w:lineRule="exact"/>
        <w:ind w:lef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执法一、二、三、四大队。承担辖区内的水生态环境保护、大气环境保护、声环境保护、土壤生态环境保护、固体废物以及农业面源、餐饮服务业油烟、化学品、重金属和核与辐射安全等方面的污染防治执法和监督检查。承担所辖范围内的自然保护地内进行非法开矿、修路、筑坝、建设等造成生态破坏的生态保护执法和监督检查，承担重大开发建设项目建设期间的生态环境执法检查工作。组织开展相关的专项行动、联合执法。各执法大队具体管辖范围由县生态环境保护综合行政执法支队根据工作需要确定。</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二、单位决算情况说明</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（一）收入支出决算总体情况说明。</w:t>
      </w:r>
    </w:p>
    <w:p>
      <w:pPr>
        <w:keepNext w:val="0"/>
        <w:keepLines w:val="0"/>
        <w:pageBreakBefore w:val="0"/>
        <w:widowControl/>
        <w:kinsoku/>
        <w:overflowPunct/>
        <w:topLinePunct w:val="0"/>
        <w:autoSpaceDN/>
        <w:bidi w:val="0"/>
        <w:spacing w:afterAutospacing="0" w:line="594" w:lineRule="exact"/>
        <w:ind w:left="0" w:firstLine="642" w:firstLineChars="200"/>
        <w:rPr>
          <w:rFonts w:hint="default"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1.总体情况。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eastAsia" w:ascii="Times New Roman" w:hAnsi="Times New Roman" w:eastAsia="方正仿宋_GBK" w:cs="Times New Roman"/>
          <w:sz w:val="32"/>
          <w:szCs w:val="32"/>
          <w:lang w:val="en-US" w:eastAsia="zh-CN"/>
        </w:rPr>
        <w:t>530.81</w:t>
      </w:r>
      <w:r>
        <w:rPr>
          <w:rFonts w:hint="default" w:ascii="Times New Roman" w:hAnsi="Times New Roman" w:eastAsia="方正仿宋_GBK" w:cs="Times New Roman"/>
          <w:sz w:val="32"/>
          <w:szCs w:val="32"/>
        </w:rPr>
        <w:t>万元，支出总计</w:t>
      </w:r>
      <w:r>
        <w:rPr>
          <w:rFonts w:hint="eastAsia" w:ascii="Times New Roman" w:hAnsi="Times New Roman" w:eastAsia="方正仿宋_GBK" w:cs="Times New Roman"/>
          <w:sz w:val="32"/>
          <w:szCs w:val="32"/>
          <w:lang w:val="en-US" w:eastAsia="zh-CN"/>
        </w:rPr>
        <w:t>530.81</w:t>
      </w:r>
      <w:r>
        <w:rPr>
          <w:rFonts w:hint="default" w:ascii="Times New Roman" w:hAnsi="Times New Roman" w:eastAsia="方正仿宋_GBK" w:cs="Times New Roman"/>
          <w:sz w:val="32"/>
          <w:szCs w:val="32"/>
        </w:rPr>
        <w:t>万元。收支较上年决算数增加</w:t>
      </w:r>
      <w:r>
        <w:rPr>
          <w:rFonts w:hint="eastAsia" w:ascii="Times New Roman" w:hAnsi="Times New Roman" w:eastAsia="方正仿宋_GBK" w:cs="Times New Roman"/>
          <w:sz w:val="32"/>
          <w:szCs w:val="32"/>
          <w:lang w:val="en-US" w:eastAsia="zh-CN"/>
        </w:rPr>
        <w:t>14.38</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2.78</w:t>
      </w:r>
      <w:r>
        <w:rPr>
          <w:rFonts w:hint="default" w:ascii="Times New Roman" w:hAnsi="Times New Roman" w:eastAsia="方正仿宋_GBK" w:cs="Times New Roman"/>
          <w:sz w:val="32"/>
          <w:szCs w:val="32"/>
        </w:rPr>
        <w:t>%，主要原因是工资、社保</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基数调整。</w:t>
      </w:r>
    </w:p>
    <w:p>
      <w:pPr>
        <w:keepNext w:val="0"/>
        <w:keepLines w:val="0"/>
        <w:pageBreakBefore w:val="0"/>
        <w:widowControl/>
        <w:kinsoku/>
        <w:overflowPunct/>
        <w:topLinePunct w:val="0"/>
        <w:autoSpaceDN/>
        <w:bidi w:val="0"/>
        <w:spacing w:afterAutospacing="0" w:line="594" w:lineRule="exact"/>
        <w:ind w:left="0" w:firstLine="642"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方正仿宋_GBK"/>
          <w:b/>
          <w:bCs/>
          <w:sz w:val="32"/>
          <w:szCs w:val="32"/>
        </w:rPr>
        <w:t>2.收入情况。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eastAsia" w:ascii="Times New Roman" w:hAnsi="Times New Roman" w:eastAsia="方正仿宋_GBK" w:cs="Times New Roman"/>
          <w:sz w:val="32"/>
          <w:szCs w:val="32"/>
          <w:lang w:val="en-US" w:eastAsia="zh-CN"/>
        </w:rPr>
        <w:t>530.81</w:t>
      </w:r>
      <w:r>
        <w:rPr>
          <w:rFonts w:hint="default"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lang w:val="en-US" w:eastAsia="zh-CN"/>
        </w:rPr>
        <w:t>14.38</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2.78</w:t>
      </w:r>
      <w:r>
        <w:rPr>
          <w:rFonts w:hint="default" w:ascii="Times New Roman" w:hAnsi="Times New Roman" w:eastAsia="方正仿宋_GBK" w:cs="Times New Roman"/>
          <w:sz w:val="32"/>
          <w:szCs w:val="32"/>
        </w:rPr>
        <w:t>%，主要原因是工资、社保</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基数调整。其中：财政拨款收入</w:t>
      </w:r>
      <w:r>
        <w:rPr>
          <w:rFonts w:hint="eastAsia" w:ascii="Times New Roman" w:hAnsi="Times New Roman" w:eastAsia="方正仿宋_GBK" w:cs="Times New Roman"/>
          <w:sz w:val="32"/>
          <w:szCs w:val="32"/>
          <w:lang w:val="en-US" w:eastAsia="zh-CN"/>
        </w:rPr>
        <w:t>530.81</w:t>
      </w:r>
      <w:r>
        <w:rPr>
          <w:rFonts w:hint="default" w:ascii="Times New Roman" w:hAnsi="Times New Roman" w:eastAsia="方正仿宋_GBK" w:cs="Times New Roman"/>
          <w:sz w:val="32"/>
          <w:szCs w:val="32"/>
        </w:rPr>
        <w:t>万元，占100.00%</w:t>
      </w:r>
      <w:r>
        <w:rPr>
          <w:rFonts w:hint="default" w:ascii="Times New Roman" w:hAnsi="Times New Roman" w:eastAsia="方正仿宋_GBK" w:cs="Times New Roman"/>
          <w:sz w:val="32"/>
          <w:szCs w:val="32"/>
          <w:lang w:eastAsia="zh-CN"/>
        </w:rPr>
        <w:t>。</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2" w:firstLineChars="200"/>
        <w:jc w:val="both"/>
        <w:rPr>
          <w:rFonts w:hint="eastAsia" w:ascii="Times New Roman" w:hAnsi="Times New Roman" w:eastAsia="方正仿宋_GBK" w:cs="方正仿宋_GBK"/>
          <w:sz w:val="32"/>
          <w:szCs w:val="32"/>
          <w:shd w:val="clear" w:color="auto" w:fill="FFFFFF"/>
          <w:lang w:eastAsia="zh-CN"/>
        </w:rPr>
      </w:pPr>
      <w:r>
        <w:rPr>
          <w:rStyle w:val="8"/>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年度支出合计</w:t>
      </w:r>
      <w:r>
        <w:rPr>
          <w:rFonts w:hint="eastAsia" w:ascii="Times New Roman" w:hAnsi="Times New Roman" w:eastAsia="方正仿宋_GBK" w:cs="方正仿宋_GBK"/>
          <w:sz w:val="32"/>
          <w:szCs w:val="32"/>
          <w:lang w:val="en-US" w:eastAsia="zh-CN"/>
        </w:rPr>
        <w:t>530.81</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14.38</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2.78</w:t>
      </w:r>
      <w:r>
        <w:rPr>
          <w:rFonts w:ascii="Times New Roman" w:hAnsi="Times New Roman" w:eastAsia="方正仿宋_GBK" w:cs="方正仿宋_GBK"/>
          <w:sz w:val="32"/>
          <w:szCs w:val="32"/>
          <w:shd w:val="clear" w:color="auto" w:fill="FFFFFF"/>
        </w:rPr>
        <w:t>%，主要原因是工资、社保</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基数调整。其中：基本支出</w:t>
      </w:r>
      <w:r>
        <w:rPr>
          <w:rFonts w:hint="eastAsia" w:ascii="Times New Roman" w:hAnsi="Times New Roman" w:eastAsia="方正仿宋_GBK" w:cs="方正仿宋_GBK"/>
          <w:sz w:val="32"/>
          <w:szCs w:val="32"/>
          <w:lang w:val="en-US" w:eastAsia="zh-CN"/>
        </w:rPr>
        <w:t>530.81</w:t>
      </w:r>
      <w:r>
        <w:rPr>
          <w:rFonts w:ascii="Times New Roman" w:hAnsi="Times New Roman" w:eastAsia="方正仿宋_GBK" w:cs="方正仿宋_GBK"/>
          <w:sz w:val="32"/>
          <w:szCs w:val="32"/>
          <w:shd w:val="clear" w:color="auto" w:fill="FFFFFF"/>
        </w:rPr>
        <w:t>万元，占100.00%</w:t>
      </w:r>
      <w:r>
        <w:rPr>
          <w:rFonts w:hint="eastAsia" w:ascii="Times New Roman" w:hAnsi="Times New Roman" w:eastAsia="方正仿宋_GBK" w:cs="方正仿宋_GBK"/>
          <w:sz w:val="32"/>
          <w:szCs w:val="32"/>
          <w:shd w:val="clear" w:color="auto" w:fill="FFFFFF"/>
          <w:lang w:eastAsia="zh-CN"/>
        </w:rPr>
        <w:t>。</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2" w:firstLineChars="200"/>
        <w:jc w:val="both"/>
        <w:rPr>
          <w:rFonts w:hint="eastAsia" w:ascii="Times New Roman" w:hAnsi="Times New Roman" w:eastAsia="方正仿宋_GBK" w:cs="方正仿宋_GBK"/>
          <w:sz w:val="32"/>
          <w:szCs w:val="32"/>
          <w:lang w:eastAsia="zh-CN"/>
        </w:rPr>
      </w:pPr>
      <w:r>
        <w:rPr>
          <w:rStyle w:val="8"/>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w:t>
      </w:r>
      <w:r>
        <w:rPr>
          <w:rFonts w:hint="eastAsia" w:ascii="Times New Roman" w:hAnsi="Times New Roman" w:eastAsia="方正仿宋_GBK" w:cs="方正仿宋_GBK"/>
          <w:sz w:val="32"/>
          <w:szCs w:val="32"/>
          <w:shd w:val="clear" w:color="auto" w:fill="FFFFFF"/>
          <w:lang w:eastAsia="zh-CN"/>
        </w:rPr>
        <w:t>。</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（二）财政拨款收入支出决算总体情况说明</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年度财政拨款收、支总计</w:t>
      </w:r>
      <w:r>
        <w:rPr>
          <w:rFonts w:hint="eastAsia" w:ascii="Times New Roman" w:hAnsi="Times New Roman" w:eastAsia="方正仿宋_GBK" w:cs="方正仿宋_GBK"/>
          <w:sz w:val="32"/>
          <w:szCs w:val="32"/>
          <w:shd w:val="clear" w:color="auto" w:fill="FFFFFF"/>
          <w:lang w:val="en-US" w:eastAsia="zh-CN"/>
        </w:rPr>
        <w:t>530.81</w:t>
      </w:r>
      <w:r>
        <w:rPr>
          <w:rFonts w:ascii="Times New Roman" w:hAnsi="Times New Roman" w:eastAsia="方正仿宋_GBK" w:cs="方正仿宋_GBK"/>
          <w:sz w:val="32"/>
          <w:szCs w:val="32"/>
          <w:shd w:val="clear" w:color="auto" w:fill="FFFFFF"/>
        </w:rPr>
        <w:t>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w:t>
      </w:r>
      <w:r>
        <w:rPr>
          <w:rFonts w:hint="eastAsia" w:ascii="Times New Roman" w:hAnsi="Times New Roman" w:eastAsia="方正仿宋_GBK" w:cs="方正仿宋_GBK"/>
          <w:sz w:val="32"/>
          <w:szCs w:val="32"/>
          <w:shd w:val="clear" w:color="auto" w:fill="FFFFFF"/>
          <w:lang w:val="en-US" w:eastAsia="zh-CN"/>
        </w:rPr>
        <w:t>14.38</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2.78</w:t>
      </w:r>
      <w:r>
        <w:rPr>
          <w:rFonts w:ascii="Times New Roman" w:hAnsi="Times New Roman" w:eastAsia="方正仿宋_GBK" w:cs="方正仿宋_GBK"/>
          <w:sz w:val="32"/>
          <w:szCs w:val="32"/>
          <w:shd w:val="clear" w:color="auto" w:fill="FFFFFF"/>
        </w:rPr>
        <w:t>%。主要原因是工资、社保</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基数调整。</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（三）一般公共预算财政拨款收入支出决算情况说明</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2" w:firstLineChars="200"/>
        <w:jc w:val="both"/>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年度一般公共预算财政拨款收入</w:t>
      </w:r>
      <w:r>
        <w:rPr>
          <w:rFonts w:hint="eastAsia" w:ascii="Times New Roman" w:hAnsi="Times New Roman" w:eastAsia="方正仿宋_GBK" w:cs="方正仿宋_GBK"/>
          <w:sz w:val="32"/>
          <w:szCs w:val="32"/>
          <w:lang w:val="en-US" w:eastAsia="zh-CN"/>
        </w:rPr>
        <w:t>530.81</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14.38</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2.78</w:t>
      </w:r>
      <w:r>
        <w:rPr>
          <w:rFonts w:ascii="Times New Roman" w:hAnsi="Times New Roman" w:eastAsia="方正仿宋_GBK" w:cs="方正仿宋_GBK"/>
          <w:sz w:val="32"/>
          <w:szCs w:val="32"/>
          <w:shd w:val="clear" w:color="auto" w:fill="FFFFFF"/>
        </w:rPr>
        <w:t>%。主要原因是工资、社保</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基数调整。较年初预算数减少</w:t>
      </w:r>
      <w:r>
        <w:rPr>
          <w:rFonts w:hint="eastAsia" w:ascii="Times New Roman" w:hAnsi="Times New Roman" w:eastAsia="方正仿宋_GBK" w:cs="方正仿宋_GBK"/>
          <w:sz w:val="32"/>
          <w:szCs w:val="32"/>
          <w:shd w:val="clear" w:color="auto" w:fill="FFFFFF"/>
          <w:lang w:val="en-US" w:eastAsia="zh-CN"/>
        </w:rPr>
        <w:t>5.16</w:t>
      </w:r>
      <w:r>
        <w:rPr>
          <w:rFonts w:ascii="Times New Roman" w:hAnsi="Times New Roman"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0.96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人员变动工资、社保等调整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2" w:firstLineChars="200"/>
        <w:jc w:val="both"/>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w:t>
      </w:r>
      <w:r>
        <w:rPr>
          <w:rFonts w:hint="eastAsia" w:ascii="Times New Roman" w:hAnsi="Times New Roman" w:eastAsia="方正仿宋_GBK" w:cs="方正仿宋_GBK"/>
          <w:sz w:val="32"/>
          <w:szCs w:val="32"/>
          <w:lang w:val="en-US" w:eastAsia="zh-CN"/>
        </w:rPr>
        <w:t>530.81</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14.38</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2.78</w:t>
      </w:r>
      <w:r>
        <w:rPr>
          <w:rFonts w:ascii="Times New Roman" w:hAnsi="Times New Roman" w:eastAsia="方正仿宋_GBK" w:cs="方正仿宋_GBK"/>
          <w:sz w:val="32"/>
          <w:szCs w:val="32"/>
          <w:shd w:val="clear" w:color="auto" w:fill="FFFFFF"/>
        </w:rPr>
        <w:t>%。主要原因是工资、社保</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基数调整。较年初预算数减少</w:t>
      </w:r>
      <w:r>
        <w:rPr>
          <w:rFonts w:hint="eastAsia" w:ascii="Times New Roman" w:hAnsi="Times New Roman" w:eastAsia="方正仿宋_GBK" w:cs="方正仿宋_GBK"/>
          <w:sz w:val="32"/>
          <w:szCs w:val="32"/>
          <w:shd w:val="clear" w:color="auto" w:fill="FFFFFF"/>
          <w:lang w:val="en-US" w:eastAsia="zh-CN"/>
        </w:rPr>
        <w:t>5.16</w:t>
      </w:r>
      <w:r>
        <w:rPr>
          <w:rFonts w:ascii="Times New Roman" w:hAnsi="Times New Roman"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0.96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人员变动工资、社保等调整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color w:val="FF0000"/>
          <w:sz w:val="32"/>
          <w:szCs w:val="32"/>
          <w:highlight w:val="cyan"/>
          <w:shd w:val="clear" w:color="auto" w:fill="FFFFFF"/>
        </w:rPr>
      </w:pPr>
      <w:r>
        <w:rPr>
          <w:rFonts w:ascii="Times New Roman" w:hAnsi="Times New Roman" w:eastAsia="方正仿宋_GBK" w:cs="方正仿宋_GBK"/>
          <w:sz w:val="32"/>
          <w:szCs w:val="32"/>
          <w:shd w:val="clear" w:color="auto" w:fill="FFFFFF"/>
        </w:rPr>
        <w:t>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年度一般公共预算财政拨款支出主要用于以下几个方面：</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lang w:val="en-US" w:eastAsia="zh-CN"/>
        </w:rPr>
        <w:t>69.38</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13.07</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1.63</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2.41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
          <w:color w:val="000000"/>
          <w:sz w:val="32"/>
          <w:szCs w:val="32"/>
          <w:lang w:eastAsia="zh-CN"/>
        </w:rPr>
        <w:t>本年度</w:t>
      </w:r>
      <w:r>
        <w:rPr>
          <w:rFonts w:hint="eastAsia" w:ascii="Times New Roman" w:hAnsi="Times New Roman" w:eastAsia="仿宋" w:cs="Times New Roman"/>
          <w:color w:val="000000"/>
          <w:sz w:val="32"/>
          <w:szCs w:val="32"/>
        </w:rPr>
        <w:t>人员社保调整</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rPr>
        <w:t>养老保险</w:t>
      </w:r>
      <w:r>
        <w:rPr>
          <w:rFonts w:hint="eastAsia" w:ascii="Times New Roman" w:hAnsi="Times New Roman" w:eastAsia="仿宋" w:cs="Times New Roman"/>
          <w:color w:val="000000"/>
          <w:sz w:val="32"/>
          <w:szCs w:val="32"/>
          <w:lang w:eastAsia="zh-CN"/>
        </w:rPr>
        <w:t>基数调整</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lang w:val="en-US" w:eastAsia="zh-CN"/>
        </w:rPr>
        <w:t>31.08</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5.86</w:t>
      </w:r>
      <w:r>
        <w:rPr>
          <w:rFonts w:ascii="Times New Roman" w:hAnsi="Times New Roman" w:eastAsia="方正仿宋_GBK" w:cs="方正仿宋_GBK"/>
          <w:sz w:val="32"/>
          <w:szCs w:val="32"/>
          <w:shd w:val="clear" w:color="auto" w:fill="FFFFFF"/>
        </w:rPr>
        <w:t>%，较年初预算数无增减。</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）节能环保支出</w:t>
      </w:r>
      <w:r>
        <w:rPr>
          <w:rFonts w:hint="eastAsia" w:ascii="Times New Roman" w:hAnsi="Times New Roman" w:eastAsia="方正仿宋_GBK" w:cs="方正仿宋_GBK"/>
          <w:sz w:val="32"/>
          <w:szCs w:val="32"/>
          <w:lang w:val="en-US" w:eastAsia="zh-CN"/>
        </w:rPr>
        <w:t>393.93</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74.21</w:t>
      </w:r>
      <w:r>
        <w:rPr>
          <w:rFonts w:ascii="Times New Roman" w:hAnsi="Times New Roman"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6.78</w:t>
      </w:r>
      <w:r>
        <w:rPr>
          <w:rFonts w:ascii="Times New Roman" w:hAnsi="Times New Roman"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1.69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 w:cs="Times New Roman"/>
          <w:color w:val="000000"/>
          <w:kern w:val="2"/>
          <w:sz w:val="32"/>
          <w:szCs w:val="32"/>
          <w:lang w:val="en-US" w:eastAsia="zh-CN" w:bidi="ar-SA"/>
        </w:rPr>
        <w:t>本年度工资调整，以及社保、养老保险等基数调整，导致节能环保支出增加</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eastAsia" w:ascii="Times New Roman" w:hAnsi="Times New Roman" w:eastAsia="方正仿宋_GBK" w:cs="方正仿宋_GBK"/>
          <w:sz w:val="32"/>
          <w:szCs w:val="32"/>
          <w:lang w:val="en-US" w:eastAsia="zh-CN"/>
        </w:rPr>
        <w:t>36.43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6.8</w:t>
      </w:r>
      <w:r>
        <w:rPr>
          <w:rFonts w:hint="eastAsia" w:ascii="Times New Roman" w:hAnsi="Times New Roman" w:eastAsia="方正仿宋_GBK" w:cs="方正仿宋_GBK"/>
          <w:sz w:val="32"/>
          <w:szCs w:val="32"/>
          <w:lang w:val="en-US" w:eastAsia="zh-CN"/>
        </w:rPr>
        <w:t>6</w:t>
      </w:r>
      <w:r>
        <w:rPr>
          <w:rFonts w:ascii="Times New Roman" w:hAnsi="Times New Roman" w:eastAsia="方正仿宋_GBK" w:cs="方正仿宋_GBK"/>
          <w:sz w:val="32"/>
          <w:szCs w:val="32"/>
          <w:shd w:val="clear" w:color="auto" w:fill="FFFFFF"/>
        </w:rPr>
        <w:t>%，较年初预算</w:t>
      </w:r>
      <w:r>
        <w:rPr>
          <w:rFonts w:hint="eastAsia" w:ascii="Times New Roman" w:hAnsi="Times New Roman" w:eastAsia="方正仿宋_GBK" w:cs="方正仿宋_GBK"/>
          <w:sz w:val="32"/>
          <w:szCs w:val="32"/>
          <w:shd w:val="clear" w:color="auto" w:fill="FFFFFF"/>
          <w:lang w:eastAsia="zh-CN"/>
        </w:rPr>
        <w:t>数无增减。</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firstLine="642" w:firstLineChars="200"/>
        <w:jc w:val="both"/>
        <w:rPr>
          <w:rFonts w:hint="default" w:ascii="Times New Roman" w:hAnsi="Times New Roman" w:eastAsia="方正仿宋_GBK" w:cs="方正仿宋_GBK"/>
          <w:color w:val="FF0000"/>
          <w:sz w:val="32"/>
          <w:szCs w:val="32"/>
          <w:shd w:val="clear" w:color="auto" w:fill="FFFFFF"/>
        </w:rPr>
      </w:pPr>
      <w:r>
        <w:rPr>
          <w:rStyle w:val="8"/>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w:t>
      </w:r>
      <w:r>
        <w:rPr>
          <w:rFonts w:hint="eastAsia" w:ascii="Times New Roman" w:hAnsi="Times New Roman" w:eastAsia="方正仿宋_GBK" w:cs="方正仿宋_GBK"/>
          <w:sz w:val="32"/>
          <w:szCs w:val="32"/>
          <w:shd w:val="clear" w:color="auto" w:fill="FFFFFF"/>
          <w:lang w:eastAsia="zh-CN"/>
        </w:rPr>
        <w:t>。</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（四）一般公共预算财政拨款基本支出决算情况说明</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w:t>
      </w:r>
      <w:r>
        <w:rPr>
          <w:rFonts w:hint="eastAsia" w:ascii="Times New Roman" w:hAnsi="Times New Roman" w:eastAsia="方正仿宋_GBK" w:cs="方正仿宋_GBK"/>
          <w:sz w:val="32"/>
          <w:szCs w:val="32"/>
          <w:shd w:val="clear" w:color="auto" w:fill="FFFFFF"/>
          <w:lang w:eastAsia="zh-CN"/>
        </w:rPr>
        <w:t>一般公共预算财政拨款</w:t>
      </w:r>
      <w:r>
        <w:rPr>
          <w:rFonts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lang w:val="en-US" w:eastAsia="zh-CN"/>
        </w:rPr>
        <w:t>530.81</w:t>
      </w:r>
      <w:r>
        <w:rPr>
          <w:rFonts w:ascii="Times New Roman" w:hAnsi="Times New Roman" w:eastAsia="方正仿宋_GBK" w:cs="方正仿宋_GBK"/>
          <w:sz w:val="32"/>
          <w:szCs w:val="32"/>
          <w:shd w:val="clear" w:color="auto" w:fill="FFFFFF"/>
        </w:rPr>
        <w:t>万元。其中：人员经费</w:t>
      </w:r>
      <w:r>
        <w:rPr>
          <w:rFonts w:hint="eastAsia" w:ascii="Times New Roman" w:hAnsi="Times New Roman" w:eastAsia="方正仿宋_GBK" w:cs="方正仿宋_GBK"/>
          <w:sz w:val="32"/>
          <w:szCs w:val="32"/>
          <w:lang w:val="en-US" w:eastAsia="zh-CN"/>
        </w:rPr>
        <w:t>436.30</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14.79</w:t>
      </w:r>
      <w:r>
        <w:rPr>
          <w:rFonts w:ascii="Times New Roman" w:hAnsi="Times New Roman" w:eastAsia="方正仿宋_GBK" w:cs="方正仿宋_GBK"/>
          <w:sz w:val="32"/>
          <w:szCs w:val="32"/>
          <w:shd w:val="clear" w:color="auto" w:fill="FFFFFF"/>
        </w:rPr>
        <w:t>万元，增</w:t>
      </w:r>
      <w:r>
        <w:rPr>
          <w:rFonts w:hint="eastAsia" w:ascii="Times New Roman" w:hAnsi="Times New Roman" w:eastAsia="方正仿宋_GBK" w:cs="方正仿宋_GBK"/>
          <w:sz w:val="32"/>
          <w:szCs w:val="32"/>
          <w:shd w:val="clear" w:color="auto" w:fill="FFFFFF"/>
          <w:lang w:eastAsia="zh-CN"/>
        </w:rPr>
        <w:t>长</w:t>
      </w:r>
      <w:r>
        <w:rPr>
          <w:rFonts w:hint="eastAsia" w:ascii="Times New Roman" w:hAnsi="Times New Roman" w:eastAsia="方正仿宋_GBK" w:cs="方正仿宋_GBK"/>
          <w:sz w:val="32"/>
          <w:szCs w:val="32"/>
          <w:shd w:val="clear" w:color="auto" w:fill="FFFFFF"/>
          <w:lang w:val="en-US" w:eastAsia="zh-CN"/>
        </w:rPr>
        <w:t>3.51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 w:cs="Times New Roman"/>
          <w:color w:val="000000"/>
          <w:sz w:val="32"/>
          <w:szCs w:val="32"/>
        </w:rPr>
        <w:t>本年度</w:t>
      </w:r>
      <w:r>
        <w:rPr>
          <w:rFonts w:hint="eastAsia" w:ascii="Times New Roman" w:hAnsi="Times New Roman" w:eastAsia="仿宋" w:cs="Times New Roman"/>
          <w:color w:val="000000"/>
          <w:sz w:val="32"/>
          <w:szCs w:val="32"/>
          <w:lang w:val="en-US" w:eastAsia="zh-CN"/>
        </w:rPr>
        <w:t>工资调整，以及社保、养老保险等基数调整</w:t>
      </w:r>
      <w:r>
        <w:rPr>
          <w:rFonts w:ascii="Times New Roman" w:hAnsi="Times New Roman" w:eastAsia="方正仿宋_GBK" w:cs="方正仿宋_GBK"/>
          <w:sz w:val="32"/>
          <w:szCs w:val="32"/>
          <w:shd w:val="clear" w:color="auto" w:fill="FFFFFF"/>
        </w:rPr>
        <w:t>。</w:t>
      </w:r>
      <w:r>
        <w:rPr>
          <w:rFonts w:ascii="Times New Roman" w:hAnsi="Times New Roman" w:eastAsia="方正仿宋_GBK" w:cs="Times New Roman"/>
          <w:sz w:val="32"/>
          <w:szCs w:val="32"/>
        </w:rPr>
        <w:t>人员经费用途主要包括基本工资、津贴补贴、奖金、伙食补助费、机关事业单位基本养老保险费、职业年金缴费、职工基本医疗保险缴费，住房公积金等。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94.93</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0.41万元</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下降</w:t>
      </w:r>
      <w:r>
        <w:rPr>
          <w:rFonts w:hint="eastAsia" w:ascii="Times New Roman" w:hAnsi="Times New Roman" w:eastAsia="方正仿宋_GBK" w:cs="方正仿宋_GBK"/>
          <w:sz w:val="32"/>
          <w:szCs w:val="32"/>
          <w:shd w:val="clear" w:color="auto" w:fill="FFFFFF"/>
          <w:lang w:val="en-US" w:eastAsia="zh-CN"/>
        </w:rPr>
        <w:t>0.43</w:t>
      </w:r>
      <w:r>
        <w:rPr>
          <w:rFonts w:ascii="Times New Roman" w:hAnsi="Times New Roman" w:eastAsia="方正仿宋_GBK" w:cs="方正仿宋_GBK"/>
          <w:sz w:val="32"/>
          <w:szCs w:val="32"/>
          <w:shd w:val="clear" w:color="auto" w:fill="FFFFFF"/>
        </w:rPr>
        <w:t>%，主</w:t>
      </w:r>
      <w:r>
        <w:rPr>
          <w:rFonts w:ascii="Times New Roman" w:hAnsi="Times New Roman" w:eastAsia="方正仿宋_GBK" w:cs="Times New Roman"/>
          <w:sz w:val="32"/>
          <w:szCs w:val="32"/>
        </w:rPr>
        <w:t>要原因是</w:t>
      </w:r>
      <w:r>
        <w:rPr>
          <w:rFonts w:hint="eastAsia" w:ascii="Times New Roman" w:hAnsi="Times New Roman" w:eastAsia="仿宋" w:cs="Times New Roman"/>
          <w:color w:val="000000"/>
          <w:sz w:val="32"/>
          <w:szCs w:val="32"/>
        </w:rPr>
        <w:t>本年度严格落实过紧日子制度，并严格控制办公经费的支出</w:t>
      </w:r>
      <w:r>
        <w:rPr>
          <w:rFonts w:ascii="Times New Roman" w:hAnsi="Times New Roman" w:eastAsia="方正仿宋_GBK" w:cs="Times New Roman"/>
          <w:sz w:val="32"/>
          <w:szCs w:val="32"/>
        </w:rPr>
        <w:t>。公用经费用途主要包括开支办公费、水费、电费、工会经费等费用。</w:t>
      </w:r>
    </w:p>
    <w:p>
      <w:pPr>
        <w:pStyle w:val="9"/>
        <w:keepNext w:val="0"/>
        <w:keepLines w:val="0"/>
        <w:pageBreakBefore w:val="0"/>
        <w:widowControl/>
        <w:kinsoku/>
        <w:overflowPunct/>
        <w:topLinePunct w:val="0"/>
        <w:autoSpaceDE w:val="0"/>
        <w:autoSpaceDN/>
        <w:bidi w:val="0"/>
        <w:spacing w:afterAutospacing="0" w:line="594" w:lineRule="exact"/>
        <w:ind w:left="0" w:firstLine="643"/>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pPr>
        <w:keepNext w:val="0"/>
        <w:keepLines w:val="0"/>
        <w:pageBreakBefore w:val="0"/>
        <w:widowControl/>
        <w:kinsoku/>
        <w:overflowPunct/>
        <w:topLinePunct w:val="0"/>
        <w:autoSpaceDN/>
        <w:bidi w:val="0"/>
        <w:spacing w:afterAutospacing="0" w:line="594" w:lineRule="exact"/>
        <w:ind w:left="0"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年度无政府性基金预算财政拨款收支。</w:t>
      </w:r>
    </w:p>
    <w:p>
      <w:pPr>
        <w:pStyle w:val="9"/>
        <w:keepNext w:val="0"/>
        <w:keepLines w:val="0"/>
        <w:pageBreakBefore w:val="0"/>
        <w:widowControl/>
        <w:kinsoku/>
        <w:overflowPunct/>
        <w:topLinePunct w:val="0"/>
        <w:autoSpaceDE w:val="0"/>
        <w:autoSpaceDN/>
        <w:bidi w:val="0"/>
        <w:spacing w:afterAutospacing="0" w:line="594" w:lineRule="exact"/>
        <w:ind w:left="0" w:firstLine="643"/>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年度无国有资本经营预算财政拨款支出。</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三、“三公”经费情况说明</w:t>
      </w:r>
    </w:p>
    <w:p>
      <w:pPr>
        <w:keepNext w:val="0"/>
        <w:keepLines w:val="0"/>
        <w:pageBreakBefore w:val="0"/>
        <w:widowControl/>
        <w:kinsoku/>
        <w:overflowPunct/>
        <w:topLinePunct w:val="0"/>
        <w:autoSpaceDN/>
        <w:bidi w:val="0"/>
        <w:spacing w:afterAutospacing="0" w:line="594" w:lineRule="exact"/>
        <w:ind w:left="0"/>
        <w:rPr>
          <w:rFonts w:hint="eastAsia" w:ascii="Times New Roman" w:hAnsi="Times New Roman" w:eastAsia="方正楷体_GBK" w:cs="方正楷体_GBK"/>
          <w:sz w:val="32"/>
          <w:szCs w:val="32"/>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eastAsia="方正楷体_GBK" w:cs="方正楷体_GBK"/>
          <w:sz w:val="32"/>
          <w:szCs w:val="32"/>
        </w:rPr>
        <w:t>（一）“三公”经费支出总体情况说明</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年度“三公”经费支出共计1.50万元，较年初预算数减少2.50万元，下降62.50%，主要原因是按照决算列报口径</w:t>
      </w:r>
      <w:r>
        <w:rPr>
          <w:rFonts w:hint="eastAsia" w:ascii="Times New Roman" w:hAnsi="Times New Roman" w:eastAsia="方正仿宋_GBK" w:cs="方正仿宋_GBK"/>
          <w:sz w:val="32"/>
          <w:szCs w:val="32"/>
          <w:lang w:eastAsia="zh-CN"/>
        </w:rPr>
        <w:t>，支队公务用车运行维护费在本级核算</w:t>
      </w:r>
      <w:r>
        <w:rPr>
          <w:rFonts w:hint="eastAsia" w:ascii="Times New Roman" w:hAnsi="Times New Roman" w:eastAsia="方正仿宋_GBK" w:cs="方正仿宋_GBK"/>
          <w:sz w:val="32"/>
          <w:szCs w:val="32"/>
        </w:rPr>
        <w:t>。较上年支出数增加1.50万元</w:t>
      </w:r>
      <w:r>
        <w:rPr>
          <w:rFonts w:hint="eastAsia" w:ascii="Times New Roman" w:hAnsi="Times New Roman" w:eastAsia="方正仿宋_GBK" w:cs="方正仿宋_GBK"/>
          <w:sz w:val="32"/>
          <w:szCs w:val="32"/>
          <w:lang w:eastAsia="zh-CN"/>
        </w:rPr>
        <w:t>无增减</w:t>
      </w:r>
      <w:r>
        <w:rPr>
          <w:rFonts w:hint="eastAsia" w:ascii="Times New Roman" w:hAnsi="Times New Roman" w:eastAsia="方正仿宋_GBK" w:cs="方正仿宋_GBK"/>
          <w:sz w:val="32"/>
          <w:szCs w:val="32"/>
        </w:rPr>
        <w:t>。</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（二）“三公”经费分项支出情况</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年度本单位</w:t>
      </w:r>
      <w:r>
        <w:rPr>
          <w:rFonts w:hint="eastAsia" w:ascii="Times New Roman" w:hAnsi="Times New Roman" w:eastAsia="方正仿宋_GBK" w:cs="方正仿宋_GBK"/>
          <w:sz w:val="32"/>
          <w:szCs w:val="32"/>
          <w:lang w:eastAsia="zh-CN"/>
        </w:rPr>
        <w:t>无</w:t>
      </w:r>
      <w:r>
        <w:rPr>
          <w:rFonts w:hint="eastAsia" w:ascii="Times New Roman" w:hAnsi="Times New Roman" w:eastAsia="方正仿宋_GBK" w:cs="方正仿宋_GBK"/>
          <w:sz w:val="32"/>
          <w:szCs w:val="32"/>
        </w:rPr>
        <w:t>因公出国（境）费用</w:t>
      </w:r>
      <w:r>
        <w:rPr>
          <w:rFonts w:hint="eastAsia" w:ascii="Times New Roman" w:hAnsi="Times New Roman" w:eastAsia="方正仿宋_GBK" w:cs="方正仿宋_GBK"/>
          <w:sz w:val="32"/>
          <w:szCs w:val="32"/>
          <w:lang w:eastAsia="zh-CN"/>
        </w:rPr>
        <w:t>支出和</w:t>
      </w:r>
      <w:r>
        <w:rPr>
          <w:rFonts w:hint="eastAsia" w:ascii="Times New Roman" w:hAnsi="Times New Roman" w:eastAsia="方正仿宋_GBK" w:cs="方正仿宋_GBK"/>
          <w:sz w:val="32"/>
          <w:szCs w:val="32"/>
        </w:rPr>
        <w:t>公务车购置费</w:t>
      </w:r>
      <w:r>
        <w:rPr>
          <w:rFonts w:hint="eastAsia" w:ascii="Times New Roman" w:hAnsi="Times New Roman" w:eastAsia="方正仿宋_GBK" w:cs="方正仿宋_GBK"/>
          <w:sz w:val="32"/>
          <w:szCs w:val="32"/>
          <w:lang w:eastAsia="zh-CN"/>
        </w:rPr>
        <w:t>支出，</w:t>
      </w:r>
      <w:r>
        <w:rPr>
          <w:rFonts w:hint="eastAsia" w:ascii="Times New Roman" w:hAnsi="Times New Roman" w:eastAsia="方正仿宋_GBK" w:cs="方正仿宋_GBK"/>
          <w:sz w:val="32"/>
          <w:szCs w:val="32"/>
        </w:rPr>
        <w:t>费用支出较年初预算无增减，较上年支出数无增减。</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万元，费用支出较年初预算数减少2.50万元，下降100.00%，主要原因是</w:t>
      </w:r>
      <w:r>
        <w:rPr>
          <w:rFonts w:ascii="Times New Roman" w:hAnsi="Times New Roman" w:eastAsia="方正仿宋_GBK" w:cs="Times New Roman"/>
          <w:sz w:val="32"/>
          <w:szCs w:val="32"/>
        </w:rPr>
        <w:t>按照决算列报口径</w:t>
      </w:r>
      <w:r>
        <w:rPr>
          <w:rFonts w:hint="eastAsia" w:ascii="Times New Roman" w:hAnsi="Times New Roman" w:eastAsia="方正仿宋_GBK" w:cs="Times New Roman"/>
          <w:sz w:val="32"/>
          <w:szCs w:val="32"/>
          <w:lang w:eastAsia="zh-CN"/>
        </w:rPr>
        <w:t>在本级核算</w:t>
      </w:r>
      <w:r>
        <w:rPr>
          <w:rFonts w:ascii="Times New Roman" w:hAnsi="Times New Roman" w:eastAsia="方正仿宋_GBK" w:cs="方正仿宋_GBK"/>
          <w:sz w:val="32"/>
          <w:szCs w:val="32"/>
          <w:shd w:val="clear" w:color="auto" w:fill="FFFFFF"/>
        </w:rPr>
        <w:t>。较上年支出数无增减。</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1.50</w:t>
      </w:r>
      <w:r>
        <w:rPr>
          <w:rFonts w:ascii="Times New Roman" w:hAnsi="Times New Roman" w:eastAsia="方正仿宋_GBK" w:cs="方正仿宋_GBK"/>
          <w:sz w:val="32"/>
          <w:szCs w:val="32"/>
          <w:shd w:val="clear" w:color="auto" w:fill="FFFFFF"/>
        </w:rPr>
        <w:t>万元，</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主要用于接待</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上级执法、专项检查等工作发生的接待支出费用。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w:t>
      </w:r>
      <w:r>
        <w:rPr>
          <w:rFonts w:ascii="Times New Roman" w:hAnsi="Times New Roman" w:eastAsia="方正仿宋_GBK" w:cs="方正仿宋_GBK"/>
          <w:sz w:val="32"/>
          <w:szCs w:val="32"/>
          <w:shd w:val="clear" w:color="auto" w:fill="FFFFFF"/>
        </w:rPr>
        <w:t>用支出较年初预算数无增减，较上年支出数</w:t>
      </w:r>
      <w:r>
        <w:rPr>
          <w:rFonts w:hint="eastAsia" w:ascii="Times New Roman" w:hAnsi="Times New Roman" w:eastAsia="方正仿宋_GBK" w:cs="方正仿宋_GBK"/>
          <w:sz w:val="32"/>
          <w:szCs w:val="32"/>
          <w:shd w:val="clear" w:color="auto" w:fill="FFFFFF"/>
          <w:lang w:eastAsia="zh-CN"/>
        </w:rPr>
        <w:t>无增减</w:t>
      </w:r>
      <w:r>
        <w:rPr>
          <w:rFonts w:ascii="Times New Roman" w:hAnsi="Times New Roman" w:eastAsia="方正仿宋_GBK" w:cs="方正仿宋_GBK"/>
          <w:sz w:val="32"/>
          <w:szCs w:val="32"/>
          <w:shd w:val="clear" w:color="auto" w:fill="FFFFFF"/>
        </w:rPr>
        <w:t>。</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（三）“三公”经费实物量情况</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50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180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年本单位人均接待费</w:t>
      </w:r>
      <w:r>
        <w:rPr>
          <w:rFonts w:ascii="Times New Roman" w:hAnsi="Times New Roman" w:eastAsia="方正仿宋_GBK" w:cs="方正仿宋_GBK"/>
          <w:sz w:val="32"/>
          <w:szCs w:val="32"/>
        </w:rPr>
        <w:t>83.</w:t>
      </w:r>
      <w:r>
        <w:rPr>
          <w:rFonts w:hint="eastAsia" w:ascii="Times New Roman" w:hAnsi="Times New Roman" w:eastAsia="方正仿宋_GBK" w:cs="方正仿宋_GBK"/>
          <w:sz w:val="32"/>
          <w:szCs w:val="32"/>
          <w:lang w:val="en-US" w:eastAsia="zh-CN"/>
        </w:rPr>
        <w:t>26</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pPr>
        <w:keepNext w:val="0"/>
        <w:keepLines w:val="0"/>
        <w:pageBreakBefore w:val="0"/>
        <w:widowControl/>
        <w:kinsoku/>
        <w:overflowPunct/>
        <w:topLinePunct w:val="0"/>
        <w:autoSpaceDN/>
        <w:bidi w:val="0"/>
        <w:spacing w:afterAutospacing="0" w:line="594" w:lineRule="exact"/>
        <w:ind w:left="0"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四、其他需要说明的事项</w:t>
      </w:r>
    </w:p>
    <w:p>
      <w:pPr>
        <w:keepNext w:val="0"/>
        <w:keepLines w:val="0"/>
        <w:pageBreakBefore w:val="0"/>
        <w:widowControl/>
        <w:kinsoku/>
        <w:overflowPunct/>
        <w:topLinePunct w:val="0"/>
        <w:autoSpaceDN/>
        <w:bidi w:val="0"/>
        <w:spacing w:afterAutospacing="0" w:line="594" w:lineRule="exact"/>
        <w:ind w:left="0"/>
        <w:rPr>
          <w:rFonts w:hint="eastAsia" w:ascii="Times New Roman" w:hAnsi="Times New Roman" w:eastAsia="方正楷体_GBK" w:cs="方正楷体_GBK"/>
          <w:sz w:val="32"/>
          <w:szCs w:val="32"/>
        </w:rPr>
      </w:pPr>
      <w:r>
        <w:rPr>
          <w:rFonts w:hint="eastAsia" w:ascii="Times New Roman" w:hAnsi="Times New Roman"/>
          <w:sz w:val="32"/>
          <w:szCs w:val="32"/>
        </w:rPr>
        <w:t> </w:t>
      </w:r>
      <w:r>
        <w:rPr>
          <w:rFonts w:hint="eastAsia" w:ascii="Times New Roman" w:hAnsi="Times New Roman" w:eastAsia="方正楷体_GBK" w:cs="方正楷体_GBK"/>
          <w:sz w:val="32"/>
          <w:szCs w:val="32"/>
        </w:rPr>
        <w:t xml:space="preserve"> （一）财政拨款会议费和培训费情况说明</w:t>
      </w:r>
    </w:p>
    <w:p>
      <w:pPr>
        <w:keepNext w:val="0"/>
        <w:keepLines w:val="0"/>
        <w:pageBreakBefore w:val="0"/>
        <w:widowControl/>
        <w:kinsoku/>
        <w:overflowPunct/>
        <w:topLinePunct w:val="0"/>
        <w:autoSpaceDN/>
        <w:bidi w:val="0"/>
        <w:spacing w:afterAutospacing="0" w:line="594" w:lineRule="exact"/>
        <w:ind w:left="0"/>
        <w:rPr>
          <w:rFonts w:hint="eastAsia" w:ascii="Times New Roman" w:hAnsi="Times New Roman" w:eastAsia="方正仿宋_GBK" w:cs="方正仿宋_GBK"/>
          <w:sz w:val="32"/>
          <w:szCs w:val="32"/>
        </w:rPr>
      </w:pPr>
      <w:r>
        <w:rPr>
          <w:rFonts w:ascii="Times New Roman" w:hAnsi="Times New Roman"/>
          <w:sz w:val="32"/>
          <w:szCs w:val="32"/>
        </w:rPr>
        <w:t> </w:t>
      </w:r>
      <w:r>
        <w:rPr>
          <w:rFonts w:hint="eastAsia" w:ascii="Times New Roman" w:hAnsi="Times New Roman"/>
          <w:sz w:val="32"/>
          <w:szCs w:val="32"/>
          <w:lang w:val="en-US" w:eastAsia="zh-CN"/>
        </w:rPr>
        <w:t xml:space="preserve">  </w:t>
      </w:r>
      <w:r>
        <w:rPr>
          <w:rFonts w:hint="eastAsia" w:ascii="Times New Roman" w:hAnsi="Times New Roman" w:eastAsia="方正仿宋_GBK" w:cs="方正仿宋_GBK"/>
          <w:sz w:val="32"/>
          <w:szCs w:val="32"/>
        </w:rPr>
        <w:t xml:space="preserve"> 本年度会议费支出4万元，较上年决算数</w:t>
      </w:r>
      <w:r>
        <w:rPr>
          <w:rFonts w:hint="eastAsia" w:ascii="Times New Roman" w:hAnsi="Times New Roman" w:eastAsia="方正仿宋_GBK" w:cs="方正仿宋_GBK"/>
          <w:sz w:val="32"/>
          <w:szCs w:val="32"/>
          <w:lang w:eastAsia="zh-CN"/>
        </w:rPr>
        <w:t>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.05万元，</w:t>
      </w:r>
      <w:r>
        <w:rPr>
          <w:rFonts w:hint="eastAsia" w:ascii="Times New Roman" w:hAnsi="Times New Roman" w:eastAsia="方正仿宋_GBK" w:cs="方正仿宋_GBK"/>
          <w:sz w:val="32"/>
          <w:szCs w:val="32"/>
          <w:lang w:eastAsia="zh-CN"/>
        </w:rPr>
        <w:t>下降</w:t>
      </w:r>
      <w:r>
        <w:rPr>
          <w:rFonts w:hint="eastAsia" w:ascii="Times New Roman" w:hAnsi="Times New Roman" w:eastAsia="方正仿宋_GBK" w:cs="方正仿宋_GBK"/>
          <w:sz w:val="32"/>
          <w:szCs w:val="32"/>
          <w:lang w:val="en-US" w:eastAsia="zh-CN"/>
        </w:rPr>
        <w:t>1.23</w:t>
      </w:r>
      <w:r>
        <w:rPr>
          <w:rFonts w:hint="eastAsia" w:ascii="Times New Roman" w:hAnsi="Times New Roman" w:eastAsia="方正仿宋_GBK" w:cs="方正仿宋_GBK"/>
          <w:sz w:val="32"/>
          <w:szCs w:val="32"/>
        </w:rPr>
        <w:t>%，主要原因是</w:t>
      </w:r>
      <w:r>
        <w:rPr>
          <w:rFonts w:hint="eastAsia" w:ascii="Times New Roman" w:hAnsi="Times New Roman" w:eastAsia="方正仿宋_GBK" w:cs="方正仿宋_GBK"/>
          <w:sz w:val="32"/>
          <w:szCs w:val="32"/>
          <w:lang w:eastAsia="zh-CN"/>
        </w:rPr>
        <w:t>本年度严格落实过紧日子制度，并严格控制会议支出。</w:t>
      </w:r>
      <w:r>
        <w:rPr>
          <w:rFonts w:hint="eastAsia" w:ascii="Times New Roman" w:hAnsi="Times New Roman" w:eastAsia="方正仿宋_GBK" w:cs="方正仿宋_GBK"/>
          <w:sz w:val="32"/>
          <w:szCs w:val="32"/>
        </w:rPr>
        <w:t>本年度培训费支出</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万元，较上年决算数增加</w:t>
      </w:r>
      <w:r>
        <w:rPr>
          <w:rFonts w:hint="eastAsia" w:ascii="Times New Roman" w:hAnsi="Times New Roman" w:eastAsia="方正仿宋_GBK" w:cs="方正仿宋_GBK"/>
          <w:sz w:val="32"/>
          <w:szCs w:val="32"/>
          <w:lang w:val="en-US" w:eastAsia="zh-CN"/>
        </w:rPr>
        <w:t>1.25</w:t>
      </w:r>
      <w:r>
        <w:rPr>
          <w:rFonts w:hint="eastAsia" w:ascii="Times New Roman" w:hAnsi="Times New Roman" w:eastAsia="方正仿宋_GBK" w:cs="方正仿宋_GBK"/>
          <w:sz w:val="32"/>
          <w:szCs w:val="32"/>
        </w:rPr>
        <w:t>万元，增长</w:t>
      </w:r>
      <w:r>
        <w:rPr>
          <w:rFonts w:hint="eastAsia" w:ascii="Times New Roman" w:hAnsi="Times New Roman" w:eastAsia="方正仿宋_GBK" w:cs="方正仿宋_GBK"/>
          <w:sz w:val="32"/>
          <w:szCs w:val="32"/>
          <w:lang w:val="en-US" w:eastAsia="zh-CN"/>
        </w:rPr>
        <w:t>166.35</w:t>
      </w:r>
      <w:r>
        <w:rPr>
          <w:rFonts w:hint="eastAsia" w:ascii="Times New Roman" w:hAnsi="Times New Roman" w:eastAsia="方正仿宋_GBK" w:cs="方正仿宋_GBK"/>
          <w:sz w:val="32"/>
          <w:szCs w:val="32"/>
        </w:rPr>
        <w:t>%，主要原因是</w:t>
      </w:r>
      <w:r>
        <w:rPr>
          <w:rFonts w:hint="eastAsia" w:ascii="Times New Roman" w:hAnsi="Times New Roman" w:eastAsia="方正仿宋_GBK" w:cs="方正仿宋_GBK"/>
          <w:sz w:val="32"/>
          <w:szCs w:val="32"/>
          <w:lang w:eastAsia="zh-CN"/>
        </w:rPr>
        <w:t>召开</w:t>
      </w:r>
      <w:r>
        <w:rPr>
          <w:rFonts w:hint="eastAsia" w:ascii="Times New Roman" w:hAnsi="Times New Roman" w:eastAsia="方正仿宋_GBK" w:cs="方正仿宋_GBK"/>
          <w:sz w:val="32"/>
          <w:szCs w:val="32"/>
        </w:rPr>
        <w:t>了</w:t>
      </w:r>
      <w:r>
        <w:rPr>
          <w:rFonts w:hint="eastAsia" w:ascii="Times New Roman" w:hAnsi="Times New Roman" w:eastAsia="方正仿宋_GBK" w:cs="方正仿宋_GBK"/>
          <w:sz w:val="32"/>
          <w:szCs w:val="32"/>
          <w:lang w:val="en-US" w:eastAsia="zh-CN"/>
        </w:rPr>
        <w:t>执法相关业务培训增加</w:t>
      </w:r>
      <w:r>
        <w:rPr>
          <w:rFonts w:hint="eastAsia" w:ascii="Times New Roman" w:hAnsi="Times New Roman" w:eastAsia="方正仿宋_GBK" w:cs="方正仿宋_GBK"/>
          <w:sz w:val="32"/>
          <w:szCs w:val="32"/>
        </w:rPr>
        <w:t>。</w:t>
      </w:r>
    </w:p>
    <w:p>
      <w:pPr>
        <w:pStyle w:val="9"/>
        <w:keepNext w:val="0"/>
        <w:keepLines w:val="0"/>
        <w:pageBreakBefore w:val="0"/>
        <w:widowControl/>
        <w:kinsoku/>
        <w:overflowPunct/>
        <w:topLinePunct w:val="0"/>
        <w:autoSpaceDE w:val="0"/>
        <w:autoSpaceDN/>
        <w:bidi w:val="0"/>
        <w:spacing w:afterAutospacing="0" w:line="594" w:lineRule="exact"/>
        <w:ind w:left="0" w:firstLine="643"/>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年度本单位机关运行经费支出</w:t>
      </w:r>
      <w:r>
        <w:rPr>
          <w:rFonts w:ascii="Times New Roman" w:hAnsi="Times New Roman" w:eastAsia="方正仿宋_GBK" w:cs="方正仿宋_GBK"/>
          <w:sz w:val="32"/>
          <w:szCs w:val="32"/>
        </w:rPr>
        <w:t>94.</w:t>
      </w:r>
      <w:r>
        <w:rPr>
          <w:rFonts w:hint="eastAsia" w:ascii="Times New Roman" w:hAnsi="Times New Roman" w:eastAsia="方正仿宋_GBK" w:cs="方正仿宋_GBK"/>
          <w:sz w:val="32"/>
          <w:szCs w:val="32"/>
          <w:lang w:val="en-US" w:eastAsia="zh-CN"/>
        </w:rPr>
        <w:t>52</w:t>
      </w:r>
      <w:r>
        <w:rPr>
          <w:rFonts w:ascii="Times New Roman" w:hAnsi="Times New Roman" w:eastAsia="方正仿宋_GBK" w:cs="方正仿宋_GBK"/>
          <w:sz w:val="32"/>
          <w:szCs w:val="32"/>
          <w:shd w:val="clear" w:color="auto" w:fill="FFFFFF"/>
        </w:rPr>
        <w:t>万元，机关运行经费</w:t>
      </w:r>
      <w:r>
        <w:rPr>
          <w:rFonts w:ascii="Times New Roman" w:hAnsi="Times New Roman" w:eastAsia="方正仿宋_GBK" w:cs="Times New Roman"/>
          <w:sz w:val="32"/>
          <w:szCs w:val="32"/>
        </w:rPr>
        <w:t>主要用于开支办公费、水费、电费、物业管理费、咨询费、劳务费、工会经费、其他交通等费用</w:t>
      </w:r>
      <w:r>
        <w:rPr>
          <w:rFonts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方正仿宋_GBK"/>
          <w:sz w:val="32"/>
          <w:szCs w:val="32"/>
          <w:shd w:val="clear" w:color="auto" w:fill="FFFFFF"/>
        </w:rPr>
        <w:t>机关运行经费较上年支出数</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0.42</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下降</w:t>
      </w:r>
      <w:r>
        <w:rPr>
          <w:rFonts w:hint="eastAsia" w:ascii="Times New Roman" w:hAnsi="Times New Roman" w:eastAsia="方正仿宋_GBK" w:cs="方正仿宋_GBK"/>
          <w:sz w:val="32"/>
          <w:szCs w:val="32"/>
          <w:shd w:val="clear" w:color="auto" w:fill="FFFFFF"/>
          <w:lang w:val="en-US" w:eastAsia="zh-CN"/>
        </w:rPr>
        <w:t>0.43</w:t>
      </w:r>
      <w:r>
        <w:rPr>
          <w:rFonts w:ascii="Times New Roman" w:hAnsi="Times New Roman" w:eastAsia="方正仿宋_GBK" w:cs="方正仿宋_GBK"/>
          <w:sz w:val="32"/>
          <w:szCs w:val="32"/>
          <w:shd w:val="clear" w:color="auto" w:fill="FFFFFF"/>
        </w:rPr>
        <w:t>%，主要原因是严格落实过紧日子制度，并严格控制办公等经费支出。</w:t>
      </w:r>
    </w:p>
    <w:p>
      <w:pPr>
        <w:pStyle w:val="9"/>
        <w:keepNext w:val="0"/>
        <w:keepLines w:val="0"/>
        <w:pageBreakBefore w:val="0"/>
        <w:widowControl/>
        <w:kinsoku/>
        <w:overflowPunct/>
        <w:topLinePunct w:val="0"/>
        <w:autoSpaceDE w:val="0"/>
        <w:autoSpaceDN/>
        <w:bidi w:val="0"/>
        <w:spacing w:afterAutospacing="0" w:line="594" w:lineRule="exact"/>
        <w:ind w:left="0" w:firstLine="643"/>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w:t>
      </w:r>
    </w:p>
    <w:p>
      <w:pPr>
        <w:pStyle w:val="9"/>
        <w:keepNext w:val="0"/>
        <w:keepLines w:val="0"/>
        <w:pageBreakBefore w:val="0"/>
        <w:widowControl/>
        <w:kinsoku/>
        <w:overflowPunct/>
        <w:topLinePunct w:val="0"/>
        <w:autoSpaceDE w:val="0"/>
        <w:autoSpaceDN/>
        <w:bidi w:val="0"/>
        <w:spacing w:afterAutospacing="0" w:line="594" w:lineRule="exact"/>
        <w:ind w:left="0" w:firstLine="643"/>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overflowPunct/>
        <w:topLinePunct w:val="0"/>
        <w:autoSpaceDN/>
        <w:bidi w:val="0"/>
        <w:snapToGrid w:val="0"/>
        <w:spacing w:before="0" w:beforeAutospacing="0" w:after="0" w:afterAutospacing="0" w:line="594" w:lineRule="exact"/>
        <w:ind w:left="0"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年度我单位未发生政府采购事项，无相关经费支出。</w:t>
      </w:r>
    </w:p>
    <w:p>
      <w:pPr>
        <w:keepNext w:val="0"/>
        <w:keepLines w:val="0"/>
        <w:pageBreakBefore w:val="0"/>
        <w:widowControl/>
        <w:kinsoku/>
        <w:overflowPunct/>
        <w:topLinePunct w:val="0"/>
        <w:autoSpaceDN/>
        <w:bidi w:val="0"/>
        <w:adjustRightInd/>
        <w:spacing w:afterAutospacing="0" w:line="594" w:lineRule="exact"/>
        <w:ind w:left="0" w:firstLine="640" w:firstLineChars="200"/>
        <w:rPr>
          <w:rFonts w:hint="default" w:ascii="Times New Roman" w:hAnsi="Times New Roman" w:eastAsia="方正黑体_GBK" w:cs="方正黑体_GBK"/>
          <w:sz w:val="32"/>
          <w:szCs w:val="32"/>
        </w:rPr>
      </w:pPr>
      <w:r>
        <w:rPr>
          <w:rFonts w:hint="default" w:ascii="Times New Roman" w:hAnsi="Times New Roman" w:eastAsia="方正黑体_GBK" w:cs="方正黑体_GBK"/>
          <w:sz w:val="32"/>
          <w:szCs w:val="32"/>
        </w:rPr>
        <w:t>五、预算绩效管理情况说明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left="0" w:firstLine="640" w:firstLineChars="200"/>
        <w:jc w:val="both"/>
        <w:rPr>
          <w:rFonts w:ascii="Times New Roman" w:hAnsi="Times New Roman" w:eastAsia="方正仿宋_GBK" w:cs="方正仿宋_GBK"/>
          <w:b/>
          <w:bCs/>
          <w:color w:val="auto"/>
          <w:sz w:val="32"/>
          <w:szCs w:val="32"/>
          <w:highlight w:val="yellow"/>
          <w:shd w:val="clear" w:color="auto" w:fill="FFFFFF"/>
        </w:rPr>
      </w:pPr>
      <w:r>
        <w:rPr>
          <w:rFonts w:hint="default" w:ascii="Times New Roman" w:hAnsi="Times New Roman" w:eastAsia="方正仿宋_GBK" w:cs="方正仿宋_GBK"/>
          <w:sz w:val="32"/>
          <w:szCs w:val="32"/>
          <w:shd w:val="clear" w:color="auto" w:fill="FFFFFF"/>
        </w:rPr>
        <w:t>本单位绩</w:t>
      </w:r>
      <w:bookmarkStart w:id="0" w:name="_GoBack"/>
      <w:bookmarkEnd w:id="0"/>
      <w:r>
        <w:rPr>
          <w:rFonts w:hint="default" w:ascii="Times New Roman" w:hAnsi="Times New Roman" w:eastAsia="方正仿宋_GBK" w:cs="方正仿宋_GBK"/>
          <w:sz w:val="32"/>
          <w:szCs w:val="32"/>
          <w:shd w:val="clear" w:color="auto" w:fill="FFFFFF"/>
        </w:rPr>
        <w:t>效自评在石柱土家族自治县生态环境局（本级）开展，本单位无绩效自评。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Times New Roman" w:hAnsi="Times New Roman"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sz w:val="20"/>
                <w:szCs w:val="20"/>
              </w:rPr>
              <w:t>：</w:t>
            </w:r>
            <w:r>
              <w:rPr>
                <w:rFonts w:ascii="Times New Roman" w:hAnsi="Times New Roman"/>
                <w:sz w:val="20"/>
                <w:u w:color="auto"/>
              </w:rPr>
              <w:t>石柱土家族自治县生态环境保护综合行政执法支队</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693,774.60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310,797.43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3,939,261.83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364,297.80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5,308,131.66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5,308,131.66</w:t>
            </w:r>
          </w:p>
        </w:tc>
      </w:tr>
    </w:tbl>
    <w:p>
      <w:pPr>
        <w:pStyle w:val="9"/>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1"/>
                <w:szCs w:val="21"/>
                <w:lang w:eastAsia="zh-CN"/>
              </w:rPr>
              <w:t>部门</w:t>
            </w:r>
            <w:r>
              <w:rPr>
                <w:rFonts w:ascii="Times New Roman" w:hAnsi="Times New Roman" w:cs="宋体"/>
                <w:sz w:val="20"/>
                <w:szCs w:val="20"/>
              </w:rPr>
              <w:t>：</w:t>
            </w:r>
            <w:r>
              <w:rPr>
                <w:rFonts w:ascii="Times New Roman" w:hAnsi="Times New Roman"/>
                <w:sz w:val="20"/>
                <w:u w:color="auto"/>
              </w:rPr>
              <w:t>石柱土家族自治县生态环境保护综合行政执法支队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5,308,131.66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5,308,131.66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437,890.40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437,890.40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259,997.43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259,997.43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3,939,261.83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3,939,261.83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364,297.80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364,297.80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 xml:space="preserve">石柱土家族自治县生态环境保护综合行政执法支队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5,308,131.66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5,308,131.66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693,774.60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437,890.40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437,890.40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310,797.43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259,997.43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259,997.43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3,939,261.83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3,939,261.83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3,939,261.83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364,297.80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364,297.80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364,297.80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石柱土家族自治县生态环境保护综合行政执法支队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693,774.60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693,774.60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310,797.43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310,797.43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3,939,261.83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3,939,261.83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364,297.80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364,297.80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5,308,131.66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石柱土家族自治县生态环境保护综合行政执法支队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5,308,131.66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5,308,131.66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5,308,131.66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5,308,131.66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693,774.60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437,890.40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437,890.40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437,890.40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437,890.40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218,945.20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218,945.20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218,945.20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218,945.20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310,797.43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259,997.43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259,997.43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259,997.43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259,997.43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3,939,261.83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3,939,261.83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3,939,261.83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3,939,261.83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3,939,261.83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364,297.80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364,297.80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364,297.80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364,297.80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364,297.80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石柱土家族自治县生态环境保护综合行政执法支队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4,323,522.36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945,170.30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994,579.00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803,731.00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1,173,887.00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437,890.40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218,945.20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273,681.51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8,210.45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364,297.80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39,439.00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36,939.00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36,784.30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268,400.00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4,362,961.36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945,170.30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石柱土家族自治县生态环境保护综合行政执法支队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石柱土家族自治县生态环境保护综合行政执法支队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石柱土家族自治县生态环境保护综合行政执法支队</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945,170.30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14,986.00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945,170.30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14,986.00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14,986.00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4.</w:t>
            </w:r>
            <w:r>
              <w:rPr>
                <w:rFonts w:hint="eastAsia" w:ascii="Times New Roman" w:hAnsi="Times New Roman"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5.</w:t>
            </w:r>
            <w:r>
              <w:rPr>
                <w:rFonts w:hint="eastAsia" w:ascii="Times New Roman" w:hAnsi="Times New Roman"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6.</w:t>
            </w:r>
            <w:r>
              <w:rPr>
                <w:rFonts w:hint="eastAsia" w:ascii="Times New Roman" w:hAnsi="Times New Roman"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7.</w:t>
            </w:r>
            <w:r>
              <w:rPr>
                <w:rFonts w:hint="eastAsia" w:ascii="Times New Roman" w:hAnsi="Times New Roman"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8.</w:t>
            </w:r>
            <w:r>
              <w:rPr>
                <w:rFonts w:hint="eastAsia" w:ascii="Times New Roman" w:hAnsi="Times New Roman"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4.</w:t>
            </w:r>
            <w:r>
              <w:rPr>
                <w:rFonts w:hint="eastAsia" w:ascii="Times New Roman" w:hAnsi="Times New Roman"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5.</w:t>
            </w:r>
            <w:r>
              <w:rPr>
                <w:rFonts w:hint="eastAsia" w:ascii="Times New Roman" w:hAnsi="Times New Roman"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6.</w:t>
            </w:r>
            <w:r>
              <w:rPr>
                <w:rFonts w:hint="eastAsia" w:ascii="Times New Roman" w:hAnsi="Times New Roman"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7.</w:t>
            </w:r>
            <w:r>
              <w:rPr>
                <w:rFonts w:hint="eastAsia" w:ascii="Times New Roman" w:hAnsi="Times New Roman"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8.</w:t>
            </w:r>
            <w:r>
              <w:rPr>
                <w:rFonts w:hint="eastAsia" w:ascii="Times New Roman" w:hAnsi="Times New Roman"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40,000.00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i w:val="0"/>
                <w:color w:val="000000"/>
                <w:kern w:val="2"/>
                <w:sz w:val="22"/>
                <w:szCs w:val="22"/>
                <w:u w:val="none"/>
                <w:lang w:val="en-US" w:eastAsia="zh-CN" w:bidi="ar-SA"/>
              </w:rPr>
            </w:pPr>
            <w:r>
              <w:rPr>
                <w:rFonts w:hint="eastAsia" w:ascii="Times New Roman" w:hAnsi="Times New Roman"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pStyle w:val="9"/>
        <w:autoSpaceDE w:val="0"/>
        <w:ind w:firstLine="0" w:firstLineChars="0"/>
        <w:rPr>
          <w:rFonts w:hint="default" w:ascii="Times New Roman" w:hAnsi="Times New Roman"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00D68"/>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34F4448"/>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2E514B"/>
    <w:rsid w:val="3E42660A"/>
    <w:rsid w:val="3E7555B1"/>
    <w:rsid w:val="3EA72472"/>
    <w:rsid w:val="3EDE1208"/>
    <w:rsid w:val="3F0527E5"/>
    <w:rsid w:val="3F16459E"/>
    <w:rsid w:val="3FF613AF"/>
    <w:rsid w:val="3FFF9BB1"/>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9C736EA"/>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EF98D67"/>
    <w:rsid w:val="6FFB2E76"/>
    <w:rsid w:val="70AB70D6"/>
    <w:rsid w:val="70DE5507"/>
    <w:rsid w:val="71C34D91"/>
    <w:rsid w:val="71ED38AA"/>
    <w:rsid w:val="72DB435C"/>
    <w:rsid w:val="73EFE0BC"/>
    <w:rsid w:val="74ED1B1B"/>
    <w:rsid w:val="750837F0"/>
    <w:rsid w:val="762A73EF"/>
    <w:rsid w:val="7631412E"/>
    <w:rsid w:val="764F62AB"/>
    <w:rsid w:val="765C45EC"/>
    <w:rsid w:val="768A7619"/>
    <w:rsid w:val="7714640F"/>
    <w:rsid w:val="77C5849D"/>
    <w:rsid w:val="77EA362A"/>
    <w:rsid w:val="7875383E"/>
    <w:rsid w:val="796D60A4"/>
    <w:rsid w:val="79A031D5"/>
    <w:rsid w:val="79A52681"/>
    <w:rsid w:val="7A1525F7"/>
    <w:rsid w:val="7A3E6CB6"/>
    <w:rsid w:val="7A99799F"/>
    <w:rsid w:val="7B420052"/>
    <w:rsid w:val="7B7D43A1"/>
    <w:rsid w:val="7BAC3A0E"/>
    <w:rsid w:val="7BD06A28"/>
    <w:rsid w:val="7BEDD086"/>
    <w:rsid w:val="7C1E4CD7"/>
    <w:rsid w:val="7C3A7C0B"/>
    <w:rsid w:val="7C5248E4"/>
    <w:rsid w:val="7C566698"/>
    <w:rsid w:val="7CE56AF6"/>
    <w:rsid w:val="7CF02E5B"/>
    <w:rsid w:val="7D213FB2"/>
    <w:rsid w:val="7EFD5637"/>
    <w:rsid w:val="7FF723E4"/>
    <w:rsid w:val="DDFF2355"/>
    <w:rsid w:val="EAA361CA"/>
    <w:rsid w:val="F5D75ACE"/>
    <w:rsid w:val="FF9DB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5270</Words>
  <Characters>8316</Characters>
  <Lines>161</Lines>
  <Paragraphs>45</Paragraphs>
  <TotalTime>0</TotalTime>
  <ScaleCrop>false</ScaleCrop>
  <LinksUpToDate>false</LinksUpToDate>
  <CharactersWithSpaces>8944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admins</cp:lastModifiedBy>
  <dcterms:modified xsi:type="dcterms:W3CDTF">2025-10-15T11:14:55Z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y fmtid="{D5CDD505-2E9C-101B-9397-08002B2CF9AE}" pid="4" name="KSOTemplateDocerSaveRecord">
    <vt:lpwstr>eyJoZGlkIjoiODIwZWMyNTJlODQ0ZjYyYjdlMmE2NGVkZTA5Y2IwNzQiLCJ1c2VySWQiOiIyNjA2NTkxMzAifQ==</vt:lpwstr>
  </property>
</Properties>
</file>