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石柱土家族自治县生态环境监测站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一、单位基本情况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负责本行政区域内的例行监测、执法监测、污染源监督性监测、突发生态环境事件应急监测等工作；负责环境监测技术指导、培训工作；负责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环境质量报告书和污染源状况报告书；负责环境质量评估和环境质量预警，编制监测报告，协助发布环境质量监测信息。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1.负责地表水、县城饮用水和乡镇饮用水水源地和市级大、中型水库等断面水质的例行监测和土壤例行监测，掌握和提供环境质量状况，预测环境质量变化趋势。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2.负责道路交通噪声、区域环境噪声和功能区噪声例行监测，分析噪声污染程度，提供防治建议。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3.负责县城空气质量监测，出具空气质量预警报告。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4.负责突发环境事件的应急监测，为应急处置和环境保护提供技术支撑。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5.组织开展执法监测，为环境执法提供数据支持。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6.负责对各排污申报单位的排放源进行监督性监测，汇总污染物监测数据，分析污染物变化趋势，编写污染源监测及排污状况报告书。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7.负责完善和管理环境监测档案及动态数据库，分析、整理监测数据资料，定期向主管部门、上级部门及有关单位报送环境质量数据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负责分析环境质量变化趋势，拟草环境质量报告书；负责环境监测培训和环境监测管理，指导企业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监测工作。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8.完成重庆市生态环境监测中心和县生态环境局领导交办的其他事项。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N/>
        <w:bidi w:val="0"/>
        <w:adjustRightInd/>
        <w:spacing w:before="0" w:beforeAutospacing="0" w:after="0" w:afterAutospacing="0" w:line="594" w:lineRule="exact"/>
        <w:ind w:left="0" w:firstLine="640" w:firstLineChars="200"/>
        <w:jc w:val="both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Style w:val="8"/>
          <w:rFonts w:ascii="Times New Roman" w:hAnsi="Times New Roman" w:eastAsia="方正楷体_GBK" w:cs="Times New Roman"/>
          <w:b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县生态环境监测站设下列内设机构：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综合技术科。贯彻执行质量方针、质量目标，承担监测技术指导工作，对重大监测技术问题进行综合分析，提出解决方案；负责管理和更新监测站使用的各类标准，组织环境监测新方法、标准、技术、规范的验证和实施；负责制定环境监测发展规划、能力建设计划方案；负责监测数据的统计、上报；承担站内文书档案、人事档案、监测报告等资料管理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质量控制科。负责本站质量体系文件的编制、修订、发放和贯宣工作；负责标准物资的采购和管理；负责职工参加各级能力验证、质量考核和质量督查的组织工作；负责拟订质量控制计划和人员培训计划并组织实施；负责分析记录质量审核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.室内分析科。负责环境质量、污染源等各类监测任务的实验室分析工作；负责样品的接收、发放、留样等工作；负责仪器设备的管理和维护；负责编制审核监测报告、质量分析报告；负责仪器设备、化学试剂、药品、器皿、分析资料的购买和管理；承担实验室安全、卫生和保密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4.现场监测科。负责环境质量、污染源等各类监测任务的现场监测；参与重大污染事故应急、污染纠纷仲裁的现场监测；负责外出设备和应急设备的管理和维护。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二、单位决算情况说明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（一）收入支出决算总体情况说明。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2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1.总体情况。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年度收入总计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万元，支出总计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万元。收支较上年决算数增加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21.31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%，主要原因是本年度工资调整，以及社保、养老保险等基数调整增加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2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2.收入情况。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年度收入合计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万元，较上年决算数增加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21.31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%，主要原因是本年度工资调整，以及社保、养老保险等基数调整增加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收入。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其中：财政拨款收入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万元，占100.00%。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2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3.支出情况。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年度支出合计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万元，较上年决算数增加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21.31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%，主要原因是本年度工资调整，以及社保、养老保险等基数调整增加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。其中：基本支出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万元，占100.00%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2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4.结转结余情况。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ascii="Times New Roman" w:hAnsi="Times New Roman" w:eastAsia="方正仿宋_GBK" w:cs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万元，较上年决算数无增减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94" w:lineRule="exact"/>
        <w:ind w:left="0" w:firstLine="643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年度财政拨款收、支总计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万元。与202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年相比，财政拨款收、支总计各增加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21.31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4.13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本年度工资调整，以及社保、养老保险等基数调整增加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收支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94" w:lineRule="exact"/>
        <w:ind w:left="0" w:firstLine="643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2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1.收入情况。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万元，较上年决算数增加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21.31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4.13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本年度工资调整，以及社保、养老保险等基数调整增加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支出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较年初预算数增加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73.51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15.86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%。主要原因是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人员工资相关基数调整，以及超额绩效清算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此外，年初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财政拨款结转和结余</w:t>
      </w:r>
      <w:r>
        <w:rPr>
          <w:rFonts w:ascii="Times New Roman" w:hAnsi="Times New Roman" w:eastAsia="方正仿宋_GBK" w:cs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2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2.支出情况。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万元，较上年决算数增加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21.31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4.13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本年度工资调整，以及社保、养老保险等基数调整增加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支出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较年初预算数增加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73.51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15.86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%。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人员工资相关基数调整，以及超额绩效清算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highlight w:val="cyan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年度一般公共预算财政拨款支出主要用于以下几个方面：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）社会保障与就业支出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75.52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hAnsi="Times New Roman" w:eastAsia="方正仿宋_GBK" w:cs="方正仿宋_GBK"/>
          <w:sz w:val="32"/>
          <w:szCs w:val="32"/>
        </w:rPr>
        <w:t>14.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%，较年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初预算数增加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22.66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42.83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%，主要原因是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本年度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人员社保调整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养老保险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基数调整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）卫生健康支出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24.62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4.59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%，较年初预算数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无增减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）节能环保支出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412.43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hAnsi="Times New Roman" w:eastAsia="方正仿宋_GBK" w:cs="方正仿宋_GBK"/>
          <w:sz w:val="32"/>
          <w:szCs w:val="32"/>
        </w:rPr>
        <w:t>76.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%，较年初预算数增加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50.86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14.07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%，主要原因是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本年度工资调整，以及社保、养老保险等基数调整，导致节能环保支出增加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24.37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4.4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%，较年初预算数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无增减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2" w:firstLineChars="200"/>
        <w:jc w:val="both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3.结转结余情况。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ascii="Times New Roman" w:hAnsi="Times New Roman" w:eastAsia="方正仿宋_GBK" w:cs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万元，较上年决算数无增减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94" w:lineRule="exact"/>
        <w:ind w:left="0" w:firstLine="643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 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536.94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万元。其中：人员经费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463.89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万元，较上年决算数增加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20.82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4.7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%，主要原因是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人员增加和相关基数调整，以及超额绩效清算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人员经费用途主要包括基本工资、津贴补贴、绩效工资、奖金、伙食补助费、机关事业单位基本养老保险费、职业年金缴费、职工基本医疗保险缴费，住房公积金等。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73.05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万元，较上年决算数增加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0.49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0.68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%，主要原因是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人员增加和相关基数调整，以及超额绩效清算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公用经费用途主要包括开支办公费、水费、电费、工会经费等费用。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94" w:lineRule="exact"/>
        <w:ind w:left="0" w:firstLine="643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94" w:lineRule="exact"/>
        <w:ind w:left="0" w:firstLine="643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三、“三公”经费情况说明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（一）“三公”经费支出总体情况说明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年度“三公”经费支出共计2.00万元，较年初预算数减少1.50万元，下降42.86%，主要原因是按照决算列报口径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，监测站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公务用车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运行维护费在本级核算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。较上年支出数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无增减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（二）“三公”经费分项支出情况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年度本单位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因公出国（境）费用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公务用车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购置费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费用支出较年初预算数无增减，较上年支出数无增减。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公务用车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运行维护费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0.00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万元，费用支出较年初预算数减少1.50万元，下降100.00%，主要原因是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按照决算列报口径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在本级核算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。较上年支出数无增减。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 公务接待费</w:t>
      </w:r>
      <w:r>
        <w:rPr>
          <w:rFonts w:ascii="Times New Roman" w:hAnsi="Times New Roman" w:eastAsia="方正仿宋_GBK" w:cs="方正仿宋_GBK"/>
          <w:sz w:val="32"/>
          <w:szCs w:val="32"/>
        </w:rPr>
        <w:t>2.00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万元，主要用于接待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上级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监测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等工作发生的接待支出费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用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。费用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支出较年初预算数无增减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较上年支出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数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无增减。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94" w:lineRule="exact"/>
        <w:ind w:left="0" w:firstLine="643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  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公务用车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保有量为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ascii="Times New Roman" w:hAnsi="Times New Roman" w:eastAsia="方正仿宋_GBK" w:cs="方正仿宋_GBK"/>
          <w:sz w:val="32"/>
          <w:szCs w:val="32"/>
        </w:rPr>
        <w:t>60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ascii="Times New Roman" w:hAnsi="Times New Roman" w:eastAsia="方正仿宋_GBK" w:cs="方正仿宋_GBK"/>
          <w:sz w:val="32"/>
          <w:szCs w:val="32"/>
        </w:rPr>
        <w:t>230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ascii="Times New Roman" w:hAnsi="Times New Roman" w:eastAsia="方正仿宋_GBK" w:cs="方正仿宋_GBK"/>
          <w:sz w:val="32"/>
          <w:szCs w:val="32"/>
        </w:rPr>
        <w:t>86.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四、其他需要说明的事项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320" w:firstLineChars="1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  （一）财政拨款会议费和培训费情况说明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本年度会议费支出4.00万元，较上年决算数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无增减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。本年度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费支出1.00万元，较上年决算数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无增减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（二）机关运行经费情况说明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按照部门决算列报口径，我单位不在机关运行经费统计范围之内。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（三）国有资产占用情况说明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截至202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年12月31日，本单位共有车辆</w:t>
      </w:r>
      <w:r>
        <w:rPr>
          <w:rFonts w:ascii="Times New Roman" w:hAnsi="Times New Roman" w:eastAsia="方正仿宋_GBK" w:cs="方正仿宋_GBK"/>
          <w:sz w:val="32"/>
          <w:szCs w:val="32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辆。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94" w:lineRule="exact"/>
        <w:ind w:left="0" w:firstLine="643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年度我单位未发生政府采购事项，无相关经费支出。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94" w:lineRule="exact"/>
        <w:ind w:left="0" w:firstLine="640" w:firstLineChars="200"/>
        <w:rPr>
          <w:rFonts w:hint="default" w:ascii="Times New Roman" w:hAnsi="Times New Roman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五、预算绩效管理情况说明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rPr>
          <w:rFonts w:ascii="Times New Roman" w:hAnsi="Times New Roman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本单位绩效自评在石柱土家族自治县生态环境局（本级）开展，本单位无绩效自评。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2" w:firstLineChars="200"/>
        <w:jc w:val="both"/>
        <w:textAlignment w:val="auto"/>
        <w:rPr>
          <w:rFonts w:ascii="Times New Roman" w:hAnsi="Times New Roman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2" w:firstLineChars="200"/>
        <w:jc w:val="both"/>
        <w:textAlignment w:val="auto"/>
        <w:rPr>
          <w:rFonts w:ascii="Times New Roman" w:hAnsi="Times New Roman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755,216.64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246,214.22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4,124,325.46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243,681.12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5,369,437.44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5,369,437.44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部门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475,877.76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475,877.76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237,938.88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237,938.88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192,914.22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192,914.22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2110401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生态保护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 xml:space="preserve">石柱土家族自治县生态环境监测站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475,877.76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475,877.76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237,938.88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237,938.88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192,914.22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192,914.22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2110401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生态保护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755,216.64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246,214.22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4,124,325.46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5,369,437.44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5,369,437.44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5,369,437.44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5,369,437.44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5,369,437.44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755,216.64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41,400.00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475,877.76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475,877.76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475,877.76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475,877.76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237,938.88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237,938.88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237,938.88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237,938.88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246,214.22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192,914.22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192,914.22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192,914.22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192,914.22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53,300.00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53,300.00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自然生态保护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2110401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4,124,325.46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243,681.12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4,592,563.77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730,473.67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1,065,624.00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185,904.00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2,115,925.00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475,877.76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237,938.88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203,067.60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16,245.41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243,681.12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48,300.00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46,400.00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19,860.15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40,613.52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4,638,963.77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730,473.67 </w:t>
            </w:r>
          </w:p>
        </w:tc>
      </w:tr>
    </w:tbl>
    <w:p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石柱土家族自治县生态环境监测站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19,860.15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19,860.15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19,860.15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40,000.00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10,000.00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160,000.00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Times New Roman" w:hAnsi="Times New Roman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xjUmmHAIAACsEAAAOAAAAZHJz&#10;L2Uyb0RvYy54bWytU8uO0zAU3SPxD5b3NGkRQ1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8Y1Jph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eA1UVNgAAAAKAQAADwAAAAAAAAABACAAAAA4AAAAZHJzL2Rvd25y&#10;ZXYueG1sUEsBAhQAFAAAAAgAh07iQJMZTUchAgAAKgQAAA4AAAAAAAAAAQAgAAAAP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0C572CE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6E7975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2786B4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937A835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E5B3888"/>
    <w:rsid w:val="7F3D0BF6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4256</Words>
  <Characters>5938</Characters>
  <Lines>161</Lines>
  <Paragraphs>45</Paragraphs>
  <TotalTime>2</TotalTime>
  <ScaleCrop>false</ScaleCrop>
  <LinksUpToDate>false</LinksUpToDate>
  <CharactersWithSpaces>6246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2024-07-12T10:00:00Z</dcterms:created>
  <dc:creator>Administrator</dc:creator>
  <cp:lastModifiedBy>admins</cp:lastModifiedBy>
  <dcterms:modified xsi:type="dcterms:W3CDTF">2025-10-15T11:14:30Z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eyJoZGlkIjoiODIwZWMyNTJlODQ0ZjYyYjdlMmE2NGVkZTA5Y2IwNzQiLCJ1c2VySWQiOiIyNjA2NTkxMzAifQ==</vt:lpwstr>
  </property>
</Properties>
</file>