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AB9EB">
      <w:pPr>
        <w:pStyle w:val="6"/>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ascii="Times New Roman" w:hAnsi="Times New Roman" w:eastAsia="方正小标宋_GBK" w:cs="方正小标宋_GBK"/>
          <w:sz w:val="36"/>
          <w:szCs w:val="36"/>
        </w:rPr>
      </w:pPr>
      <w:r>
        <w:rPr>
          <w:rFonts w:ascii="Times New Roman" w:hAnsi="Times New Roman" w:eastAsia="方正小标宋_GBK" w:cs="方正小标宋_GBK"/>
          <w:sz w:val="36"/>
          <w:szCs w:val="36"/>
        </w:rPr>
        <w:t>石柱土家族自治县生态环境局</w:t>
      </w:r>
    </w:p>
    <w:p w14:paraId="20CB738A">
      <w:pPr>
        <w:pStyle w:val="6"/>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default" w:ascii="Times New Roman" w:hAnsi="Times New Roman" w:eastAsia="方正小标宋_GBK" w:cs="方正小标宋_GBK"/>
          <w:sz w:val="36"/>
          <w:szCs w:val="36"/>
          <w:shd w:val="clear" w:color="auto" w:fill="FFFFFF"/>
        </w:rPr>
      </w:pPr>
      <w:r>
        <w:rPr>
          <w:rFonts w:ascii="Times New Roman" w:hAnsi="Times New Roman" w:eastAsia="方正小标宋_GBK" w:cs="方正小标宋_GBK"/>
          <w:sz w:val="36"/>
          <w:szCs w:val="36"/>
          <w:shd w:val="clear" w:color="auto" w:fill="FFFFFF"/>
        </w:rPr>
        <w:t>2023年度决算公开说明</w:t>
      </w:r>
    </w:p>
    <w:p w14:paraId="76121067">
      <w:pPr>
        <w:keepNext w:val="0"/>
        <w:keepLines w:val="0"/>
        <w:pageBreakBefore w:val="0"/>
        <w:widowControl/>
        <w:kinsoku/>
        <w:wordWrap/>
        <w:overflowPunct/>
        <w:topLinePunct w:val="0"/>
        <w:autoSpaceDN/>
        <w:bidi w:val="0"/>
        <w:adjustRightInd/>
        <w:spacing w:afterAutospacing="0" w:line="594" w:lineRule="exact"/>
        <w:ind w:firstLine="660" w:firstLineChars="200"/>
        <w:textAlignment w:val="auto"/>
        <w:rPr>
          <w:rFonts w:hint="eastAsia" w:ascii="Times New Roman" w:hAnsi="Times New Roman" w:eastAsia="方正黑体_GBK" w:cs="方正黑体_GBK"/>
          <w:sz w:val="33"/>
          <w:szCs w:val="33"/>
        </w:rPr>
      </w:pPr>
      <w:r>
        <w:rPr>
          <w:rFonts w:hint="eastAsia" w:ascii="Times New Roman" w:hAnsi="Times New Roman" w:eastAsia="方正黑体_GBK" w:cs="方正黑体_GBK"/>
          <w:sz w:val="33"/>
          <w:szCs w:val="33"/>
        </w:rPr>
        <w:t>一、部门基本情况</w:t>
      </w:r>
    </w:p>
    <w:p w14:paraId="51161DD5">
      <w:pPr>
        <w:keepNext w:val="0"/>
        <w:keepLines w:val="0"/>
        <w:pageBreakBefore w:val="0"/>
        <w:widowControl/>
        <w:kinsoku/>
        <w:wordWrap/>
        <w:overflowPunct/>
        <w:topLinePunct w:val="0"/>
        <w:autoSpaceDN/>
        <w:bidi w:val="0"/>
        <w:adjustRightInd/>
        <w:spacing w:afterAutospacing="0" w:line="594" w:lineRule="exact"/>
        <w:textAlignment w:val="auto"/>
        <w:rPr>
          <w:rFonts w:hint="default" w:ascii="Times New Roman" w:hAnsi="Times New Roman"/>
          <w:sz w:val="33"/>
          <w:szCs w:val="33"/>
        </w:rPr>
      </w:pPr>
      <w:r>
        <w:rPr>
          <w:rFonts w:hint="default" w:ascii="Times New Roman" w:hAnsi="Times New Roman"/>
          <w:sz w:val="33"/>
          <w:szCs w:val="33"/>
        </w:rPr>
        <w:t xml:space="preserve"> </w:t>
      </w:r>
      <w:r>
        <w:rPr>
          <w:rFonts w:hint="eastAsia" w:ascii="Times New Roman" w:hAnsi="Times New Roman"/>
          <w:sz w:val="33"/>
          <w:szCs w:val="33"/>
          <w:lang w:val="en-US" w:eastAsia="zh-CN"/>
        </w:rPr>
        <w:t xml:space="preserve">  </w:t>
      </w:r>
      <w:r>
        <w:rPr>
          <w:rFonts w:hint="eastAsia" w:ascii="Times New Roman" w:hAnsi="Times New Roman" w:eastAsia="方正楷体_GBK" w:cs="方正楷体_GBK"/>
          <w:sz w:val="33"/>
          <w:szCs w:val="33"/>
        </w:rPr>
        <w:t>（一）职能职责</w:t>
      </w:r>
    </w:p>
    <w:p w14:paraId="6B8CA1A0">
      <w:pPr>
        <w:keepNext w:val="0"/>
        <w:keepLines w:val="0"/>
        <w:pageBreakBefore w:val="0"/>
        <w:widowControl/>
        <w:kinsoku/>
        <w:wordWrap/>
        <w:overflowPunct/>
        <w:topLinePunct w:val="0"/>
        <w:autoSpaceDN/>
        <w:bidi w:val="0"/>
        <w:adjustRightInd/>
        <w:spacing w:afterAutospacing="0" w:line="594" w:lineRule="exact"/>
        <w:ind w:firstLine="660" w:firstLineChars="200"/>
        <w:textAlignment w:val="auto"/>
        <w:rPr>
          <w:rFonts w:hint="eastAsia" w:ascii="Times New Roman" w:hAnsi="Times New Roman" w:eastAsia="方正仿宋_GBK" w:cs="方正仿宋_GBK"/>
          <w:sz w:val="33"/>
          <w:szCs w:val="33"/>
        </w:rPr>
      </w:pPr>
      <w:r>
        <w:rPr>
          <w:rFonts w:hint="eastAsia" w:ascii="Times New Roman" w:hAnsi="Times New Roman" w:eastAsia="方正仿宋_GBK" w:cs="方正仿宋_GBK"/>
          <w:sz w:val="33"/>
          <w:szCs w:val="33"/>
        </w:rPr>
        <w:t>石柱土家族自治县生态环境局贯彻落实党中央关于生态环境保护工作的方针政策和决策部署，在履行职责过程中坚持和加强党对生态环境保护工作的集中统一领导。主要职责是：</w:t>
      </w:r>
    </w:p>
    <w:p w14:paraId="17CB281E">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60" w:firstLineChars="200"/>
        <w:jc w:val="both"/>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3"/>
          <w:szCs w:val="33"/>
        </w:rPr>
        <w:t>1.</w:t>
      </w:r>
      <w:r>
        <w:rPr>
          <w:rFonts w:hint="eastAsia" w:ascii="Times New Roman" w:hAnsi="Times New Roman" w:eastAsia="方正仿宋_GBK" w:cs="Times New Roman"/>
          <w:snapToGrid w:val="0"/>
          <w:sz w:val="33"/>
          <w:szCs w:val="33"/>
        </w:rPr>
        <w:t>负责贯彻执行</w:t>
      </w:r>
      <w:r>
        <w:rPr>
          <w:rFonts w:hint="eastAsia" w:ascii="Times New Roman" w:hAnsi="Times New Roman" w:eastAsia="方正仿宋_GBK" w:cs="Times New Roman"/>
          <w:snapToGrid w:val="0"/>
          <w:sz w:val="32"/>
          <w:szCs w:val="32"/>
        </w:rPr>
        <w:t>国家生态环境基本制度。负责贯彻执行生态环境法律法规、规章、标准和方针政策，根据职责拟订生态环境规范性文件。会同有关部门拟订县域生态环境规划并组织实施。会同有关部门编制并监督实施重点区域、流域、饮用水水源地生态环境规划和水功能区划。</w:t>
      </w:r>
    </w:p>
    <w:p w14:paraId="23D025EF">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2.</w:t>
      </w:r>
      <w:r>
        <w:rPr>
          <w:rFonts w:hint="eastAsia" w:ascii="Times New Roman" w:hAnsi="Times New Roman" w:eastAsia="方正仿宋_GBK"/>
          <w:snapToGrid w:val="0"/>
          <w:sz w:val="32"/>
          <w:szCs w:val="32"/>
        </w:rPr>
        <w:t>按照职责权限，负责生态环境问题的统筹协调和监督管理。建立健全突发生态环境事件的应急预警机制。牵头协调环境污染事故、生态破坏事件和突发生态环境事件的</w:t>
      </w:r>
      <w:r>
        <w:rPr>
          <w:rFonts w:hint="eastAsia" w:ascii="Times New Roman" w:hAnsi="Times New Roman" w:eastAsia="方正仿宋_GBK"/>
          <w:snapToGrid w:val="0"/>
          <w:sz w:val="32"/>
          <w:szCs w:val="32"/>
          <w:lang w:eastAsia="zh-CN"/>
        </w:rPr>
        <w:t>调查</w:t>
      </w:r>
      <w:r>
        <w:rPr>
          <w:rFonts w:hint="eastAsia" w:ascii="Times New Roman" w:hAnsi="Times New Roman" w:eastAsia="方正仿宋_GBK"/>
          <w:snapToGrid w:val="0"/>
          <w:sz w:val="32"/>
          <w:szCs w:val="32"/>
        </w:rPr>
        <w:t>处理。牵头指导和实施生态环境损害赔偿制度，协调解决县域内环境污染纠纷。统筹协调县域生态环境保护工作。</w:t>
      </w:r>
    </w:p>
    <w:p w14:paraId="6DDAB826">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3.</w:t>
      </w:r>
      <w:r>
        <w:rPr>
          <w:rFonts w:hint="eastAsia" w:ascii="Times New Roman" w:hAnsi="Times New Roman" w:eastAsia="方正仿宋_GBK"/>
          <w:snapToGrid w:val="0"/>
          <w:sz w:val="32"/>
          <w:szCs w:val="32"/>
        </w:rPr>
        <w:t>负责生态环境监督执法和生态环境保护督察工作。组织开展生态环境保护执法检查活动，查处生态环境违法问题，以部门名义统一执法，具体执法交由相关执法队伍承担。协调配合中央和重庆市生态环境保护督察有关工作。组织开展对乡镇（街道）和县级相关部门生态环境保护执行情况的监督。</w:t>
      </w:r>
    </w:p>
    <w:p w14:paraId="39C6C244">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4.</w:t>
      </w:r>
      <w:r>
        <w:rPr>
          <w:rFonts w:hint="eastAsia" w:ascii="Times New Roman" w:hAnsi="Times New Roman" w:eastAsia="方正仿宋_GBK"/>
          <w:snapToGrid w:val="0"/>
          <w:sz w:val="32"/>
          <w:szCs w:val="32"/>
        </w:rPr>
        <w:t>负责生态环境准入的监督管理。按上级要求开展环境影响评价。按规定审批或审查开发建设区域、规划、项目环境影响评价文件，组织实施生态环境准入清单。</w:t>
      </w:r>
    </w:p>
    <w:p w14:paraId="5B0F8EA8">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5.</w:t>
      </w:r>
      <w:r>
        <w:rPr>
          <w:rFonts w:hint="eastAsia" w:ascii="Times New Roman" w:hAnsi="Times New Roman" w:eastAsia="方正仿宋_GBK"/>
          <w:snapToGrid w:val="0"/>
          <w:sz w:val="32"/>
          <w:szCs w:val="32"/>
        </w:rPr>
        <w:t>负责环境污染防治的监督管理。拟订水、大气、土壤、噪声、固体废物、化学品、机动车、光、恶臭等污染防治管理制度并监督实施。会同有关部门监督管理饮用水水源地生态环境保护工作，负责流域水环境保护，监督防止地下水污染。负责入河排污口的设置管理。组织指导城乡生态环境综合整治工作，监督指导农业面源污染治理工作。监督指导区域大气环境保护工作，组织实施区域大气污染联防联控协作机制。</w:t>
      </w:r>
    </w:p>
    <w:p w14:paraId="2B1F7E0A">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6.</w:t>
      </w:r>
      <w:r>
        <w:rPr>
          <w:rFonts w:hint="eastAsia" w:ascii="Times New Roman" w:hAnsi="Times New Roman" w:eastAsia="方正仿宋_GBK"/>
          <w:snapToGrid w:val="0"/>
          <w:sz w:val="32"/>
          <w:szCs w:val="32"/>
        </w:rPr>
        <w:t>负责提出生态环境领域固定资产投资规模和方向、财政性资金安排的意见，配合有关部门做好组织实施和监督工作。</w:t>
      </w:r>
    </w:p>
    <w:p w14:paraId="54E89FF0">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7.</w:t>
      </w:r>
      <w:r>
        <w:rPr>
          <w:rFonts w:hint="eastAsia" w:ascii="Times New Roman" w:hAnsi="Times New Roman" w:eastAsia="方正仿宋_GBK"/>
          <w:snapToGrid w:val="0"/>
          <w:sz w:val="32"/>
          <w:szCs w:val="32"/>
        </w:rPr>
        <w:t>指导协调和监督生态保护修复工作。组织编制生态保护规划，监督对生态环境有影响的自然资源开发利用活动、生态环境建设和生态破坏恢复工作。组织实施各类自然保护地生态环境监管制度并监督执法。监督野生动植物保护、湿地生态环境保护、荒漠化防治等工作。指导协调和监督农村生态环境保护工作。监督生物技术环境安全，牵头生物物种（含遗传资源）工作，组织协调生物多样性保护工作。参与生态保护补偿工作。</w:t>
      </w:r>
    </w:p>
    <w:p w14:paraId="1BE92462">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8.</w:t>
      </w:r>
      <w:r>
        <w:rPr>
          <w:rFonts w:hint="eastAsia" w:ascii="Times New Roman" w:hAnsi="Times New Roman" w:eastAsia="方正仿宋_GBK"/>
          <w:snapToGrid w:val="0"/>
          <w:sz w:val="32"/>
          <w:szCs w:val="32"/>
        </w:rPr>
        <w:t>负责生态环境监测工作。会同有关部门统一规划生态环境质量监测站点设置。组织实施生态环境质量监测、污染源监督性监测、温室气体减排监测、应急监测。组织开展生态环境质量状况调查评价、预测预警。实施生态环境质量公告制度，按规定和权限发布生态环境质量状况和生态环境信息。</w:t>
      </w:r>
    </w:p>
    <w:p w14:paraId="66786A9F">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9.</w:t>
      </w:r>
      <w:r>
        <w:rPr>
          <w:rFonts w:hint="eastAsia" w:ascii="Times New Roman" w:hAnsi="Times New Roman" w:eastAsia="方正仿宋_GBK"/>
          <w:snapToGrid w:val="0"/>
          <w:sz w:val="32"/>
          <w:szCs w:val="32"/>
        </w:rPr>
        <w:t>负责监督管理减排目标的落实和应对气候变化工作。贯彻执行应对气候变化及温室气体减排重大战略、规划和政策。实施各类污染物排放总量控制、排污许可证制度，监督检查污染物减排任务完成情况，实施生态环境保护目标责任制。</w:t>
      </w:r>
    </w:p>
    <w:p w14:paraId="0C3D9792">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10.</w:t>
      </w:r>
      <w:r>
        <w:rPr>
          <w:rFonts w:hint="eastAsia" w:ascii="Times New Roman" w:hAnsi="Times New Roman" w:eastAsia="方正仿宋_GBK"/>
          <w:snapToGrid w:val="0"/>
          <w:sz w:val="32"/>
          <w:szCs w:val="32"/>
        </w:rPr>
        <w:t>负责核与辐射安全的监督管理。牵头负责核安全工作协调机制有关工作。监督管理核安全和放射源安全，监督管理电磁辐射、核技术应用、伴有放射性矿产资源开发利用中的污染防治。负责辐射环境事故应急处理，参与核事故应急处理。</w:t>
      </w:r>
    </w:p>
    <w:p w14:paraId="7FF082CC">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11.</w:t>
      </w:r>
      <w:r>
        <w:rPr>
          <w:rFonts w:hint="eastAsia" w:ascii="Times New Roman" w:hAnsi="Times New Roman" w:eastAsia="方正仿宋_GBK"/>
          <w:snapToGrid w:val="0"/>
          <w:sz w:val="32"/>
          <w:szCs w:val="32"/>
        </w:rPr>
        <w:t>组织开展生态环境科技及宣传教育工作。负责组织开展生态环境科学研究，推动生态环境技术管理体系建设。参与指导推动循环经济和生态环保产业发展。组织实施生态环境保护宣传教育纲要，推动社会组织和公众参与生态环境保护。</w:t>
      </w:r>
    </w:p>
    <w:p w14:paraId="03329E4E">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12.</w:t>
      </w:r>
      <w:r>
        <w:rPr>
          <w:rFonts w:hint="eastAsia" w:ascii="Times New Roman" w:hAnsi="Times New Roman" w:eastAsia="方正仿宋_GBK"/>
          <w:snapToGrid w:val="0"/>
          <w:sz w:val="32"/>
          <w:szCs w:val="32"/>
        </w:rPr>
        <w:t>完成县委、县政府交办的其他任务。</w:t>
      </w:r>
    </w:p>
    <w:p w14:paraId="4B0F99F2">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13.</w:t>
      </w:r>
      <w:r>
        <w:rPr>
          <w:rFonts w:hint="eastAsia" w:ascii="Times New Roman" w:hAnsi="Times New Roman" w:eastAsia="方正仿宋_GBK"/>
          <w:snapToGrid w:val="0"/>
          <w:sz w:val="32"/>
          <w:szCs w:val="32"/>
        </w:rPr>
        <w:t>职能转变。石柱土家族自治县生态环境局要统一行使生态和城乡各类污染排放监管与行政执法职责，切实履行监管责任，全面落实水、大气、土壤污染防治行动计划。构建政府为主导、企业为主体，社会组织和公众共同参与的生态环境治理体系，实行最严格的生态环境保护制度，严守生态保护红线和环境质量底线，坚决打好污染防治攻坚战，保障生态安全，建设山清水秀美丽之地。</w:t>
      </w:r>
    </w:p>
    <w:p w14:paraId="1220DD29">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jc w:val="both"/>
        <w:textAlignment w:val="auto"/>
        <w:rPr>
          <w:rStyle w:val="10"/>
          <w:rFonts w:hint="default" w:ascii="Times New Roman" w:hAnsi="Times New Roman" w:eastAsia="方正楷体_GBK"/>
          <w:b w:val="0"/>
          <w:sz w:val="32"/>
          <w:szCs w:val="32"/>
        </w:rPr>
      </w:pPr>
      <w:r>
        <w:rPr>
          <w:rStyle w:val="10"/>
          <w:rFonts w:hint="default" w:ascii="Times New Roman" w:hAnsi="Times New Roman" w:eastAsia="方正楷体_GBK"/>
          <w:b w:val="0"/>
          <w:sz w:val="32"/>
          <w:szCs w:val="32"/>
        </w:rPr>
        <w:t xml:space="preserve">   </w:t>
      </w:r>
      <w:r>
        <w:rPr>
          <w:rStyle w:val="10"/>
          <w:rFonts w:hint="eastAsia" w:ascii="Times New Roman" w:hAnsi="Times New Roman" w:eastAsia="方正楷体_GBK"/>
          <w:b w:val="0"/>
          <w:sz w:val="32"/>
          <w:szCs w:val="32"/>
        </w:rPr>
        <w:t>（二）机构设置</w:t>
      </w:r>
    </w:p>
    <w:p w14:paraId="6512D11B">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color w:val="000000"/>
          <w:sz w:val="32"/>
          <w:szCs w:val="32"/>
        </w:rPr>
      </w:pPr>
      <w:r>
        <w:rPr>
          <w:rFonts w:hint="eastAsia" w:ascii="Times New Roman" w:hAnsi="Times New Roman" w:eastAsia="方正仿宋_GBK"/>
          <w:snapToGrid w:val="0"/>
          <w:color w:val="000000"/>
          <w:sz w:val="32"/>
          <w:szCs w:val="32"/>
        </w:rPr>
        <w:t>石柱土家族自治县生态环境局设下列内设机构：</w:t>
      </w:r>
    </w:p>
    <w:p w14:paraId="43D702E5">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color w:val="000000"/>
          <w:sz w:val="32"/>
          <w:szCs w:val="32"/>
        </w:rPr>
      </w:pPr>
      <w:r>
        <w:rPr>
          <w:rFonts w:hint="default" w:ascii="Times New Roman" w:hAnsi="Times New Roman" w:eastAsia="方正仿宋_GBK"/>
          <w:snapToGrid w:val="0"/>
          <w:color w:val="000000"/>
          <w:sz w:val="32"/>
          <w:szCs w:val="32"/>
        </w:rPr>
        <w:t>1.</w:t>
      </w:r>
      <w:r>
        <w:rPr>
          <w:rFonts w:hint="eastAsia" w:ascii="Times New Roman" w:hAnsi="Times New Roman" w:eastAsia="方正仿宋_GBK"/>
          <w:snapToGrid w:val="0"/>
          <w:color w:val="000000"/>
          <w:sz w:val="32"/>
          <w:szCs w:val="32"/>
        </w:rPr>
        <w:t>办公室（应急管理办公室）。负责机关日常运转工作，负责重要事项督查督办，承担机关文秘、档案、保密、党内法规、会务、信访、政务公开、信息、干部人事、机构编制、劳动工资等工作。负责拟订并监督执行生态环境有关资金管理和财务管理制度，提出生态环境领域固定资产投资规模和方向、财政性资金安排的意见，配合有关部门做好组织实施和监督工作；负责编报和组织实施年度部门预决算。承担机关有关规范性文件合法性审查工作。组织实施内部审计。承办行政复议、行政应诉、国家赔偿等法律事务工作，承担依法行政的监督指导工作。负责建立健全突发生态环境事件的应急预警机制，承担环境应急管理工作。</w:t>
      </w:r>
    </w:p>
    <w:p w14:paraId="6AA1006E">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color w:val="000000"/>
          <w:sz w:val="32"/>
          <w:szCs w:val="32"/>
        </w:rPr>
      </w:pPr>
      <w:r>
        <w:rPr>
          <w:rFonts w:hint="default" w:ascii="Times New Roman" w:hAnsi="Times New Roman" w:eastAsia="方正仿宋_GBK"/>
          <w:snapToGrid w:val="0"/>
          <w:color w:val="000000"/>
          <w:sz w:val="32"/>
          <w:szCs w:val="32"/>
        </w:rPr>
        <w:t>2.</w:t>
      </w:r>
      <w:r>
        <w:rPr>
          <w:rFonts w:hint="eastAsia" w:ascii="Times New Roman" w:hAnsi="Times New Roman" w:eastAsia="方正仿宋_GBK"/>
          <w:snapToGrid w:val="0"/>
          <w:color w:val="000000"/>
          <w:sz w:val="32"/>
          <w:szCs w:val="32"/>
        </w:rPr>
        <w:t>生态环境保护督查科。承担监督生态环境保护党政同责、一岗双责落实情况的有关工作，协调配合中央和重庆市生态环境保护督察有关工作。承担乡镇（街道）和县级部门年度目标任务绩效考核中有关生态环境的考核工作。对生态环境问题提出处理意见，督促突出生态环境问题整改落实。参与检查生态环境保护相关工作。负责组织开展生态环境有关综合性调研，组织起草综合性规划，协调和审核生态环境专项规划。组织拟订生态环境保护年度目标任务，组织协调有关部门开展污染防治攻坚战和“碧水、蓝天、绿地、田园、宁静”五大环保行动等有关工作。</w:t>
      </w:r>
    </w:p>
    <w:p w14:paraId="36E5BD98">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color w:val="000000"/>
          <w:sz w:val="32"/>
          <w:szCs w:val="32"/>
        </w:rPr>
      </w:pPr>
      <w:r>
        <w:rPr>
          <w:rFonts w:hint="default" w:ascii="Times New Roman" w:hAnsi="Times New Roman" w:eastAsia="方正仿宋_GBK"/>
          <w:snapToGrid w:val="0"/>
          <w:color w:val="000000"/>
          <w:sz w:val="32"/>
          <w:szCs w:val="32"/>
        </w:rPr>
        <w:t>3.</w:t>
      </w:r>
      <w:r>
        <w:rPr>
          <w:rFonts w:hint="eastAsia" w:ascii="Times New Roman" w:hAnsi="Times New Roman" w:eastAsia="方正仿宋_GBK"/>
          <w:snapToGrid w:val="0"/>
          <w:color w:val="000000"/>
          <w:sz w:val="32"/>
          <w:szCs w:val="32"/>
        </w:rPr>
        <w:t>自然生态保护科（宣教信息科）。承担监督实施各类自然保护地生态环境监管制度，组织编制生态保护规划，开展生态状况评估，组织开展生态示范创建工作。指导协调和监督生态保护修复工作。承担自然保护地、生态保护红线相关监管工作。承担指导和组织实施生态环境损害赔偿制度工作。参与生态保护补偿工作。监督野生动植物保护、湿地生态环境保护、荒漠化防治等工作。监督生物技术环境安全，组织开展生物物种（含遗传资源）工作，组织协调生物多样性保护。负责组织开展生态环境保护宣传工作，按规定和权限发布生态环境质量状况和生态环境信息。承担生态环境舆情收集、研判、应对工作。组织实施生态环境保护宣传教育纲要，推动社会组织和公众参与生态环境保护。承担生态环境科技工作。</w:t>
      </w:r>
    </w:p>
    <w:p w14:paraId="49BC08F6">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color w:val="000000"/>
          <w:sz w:val="32"/>
          <w:szCs w:val="32"/>
        </w:rPr>
      </w:pPr>
      <w:r>
        <w:rPr>
          <w:rFonts w:hint="default" w:ascii="Times New Roman" w:hAnsi="Times New Roman" w:eastAsia="方正仿宋_GBK"/>
          <w:snapToGrid w:val="0"/>
          <w:color w:val="000000"/>
          <w:sz w:val="32"/>
          <w:szCs w:val="32"/>
        </w:rPr>
        <w:t>4.</w:t>
      </w:r>
      <w:r>
        <w:rPr>
          <w:rFonts w:hint="eastAsia" w:ascii="Times New Roman" w:hAnsi="Times New Roman" w:eastAsia="方正仿宋_GBK"/>
          <w:snapToGrid w:val="0"/>
          <w:color w:val="000000"/>
          <w:sz w:val="32"/>
          <w:szCs w:val="32"/>
        </w:rPr>
        <w:t>水生态环境科（总量与排放管理科）。负责编制并监督实施区域、流域、饮用水水源地生态环境规划，承担地表水生态环境监管工作，负责建立和组织实施水体断面水质考核制度，监督管理饮用水水源地生态环境保护工作。开展流域水环境保护日常工作，承担入河排污口的设置管理工作，组织编制并监督实施水功能区划。负责监督实施污染物总量控制、排放管理制度，监督检查污染物减排任务完成情况。组织开展生态环境统计、污染源普查和生态环境形势分析，负责减排工作，组织开展排污权交易工作。</w:t>
      </w:r>
    </w:p>
    <w:p w14:paraId="0D41A52B">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color w:val="000000"/>
          <w:sz w:val="32"/>
          <w:szCs w:val="32"/>
        </w:rPr>
      </w:pPr>
      <w:r>
        <w:rPr>
          <w:rFonts w:hint="default" w:ascii="Times New Roman" w:hAnsi="Times New Roman" w:eastAsia="方正仿宋_GBK"/>
          <w:snapToGrid w:val="0"/>
          <w:color w:val="000000"/>
          <w:sz w:val="32"/>
          <w:szCs w:val="32"/>
        </w:rPr>
        <w:t>5.</w:t>
      </w:r>
      <w:r>
        <w:rPr>
          <w:rFonts w:hint="eastAsia" w:ascii="Times New Roman" w:hAnsi="Times New Roman" w:eastAsia="方正仿宋_GBK"/>
          <w:snapToGrid w:val="0"/>
          <w:color w:val="000000"/>
          <w:sz w:val="32"/>
          <w:szCs w:val="32"/>
        </w:rPr>
        <w:t>大气生态环境科。负责大气、机动车、噪声、光、恶臭等污染防治的监督管理。拟订重污染天气应对措施，组织协调大气面源污染防治工作，组织实施大气环境质量改善落实情况考核制度。监督指导区域大气环境保护工作，组织实施区域大气污染联防联控协作机制。负责应对气候变化工作，组织开展碳排放权交易工作。</w:t>
      </w:r>
    </w:p>
    <w:p w14:paraId="0C34127A">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color w:val="000000"/>
          <w:sz w:val="32"/>
          <w:szCs w:val="32"/>
        </w:rPr>
      </w:pPr>
      <w:r>
        <w:rPr>
          <w:rFonts w:hint="default" w:ascii="Times New Roman" w:hAnsi="Times New Roman" w:eastAsia="方正仿宋_GBK"/>
          <w:snapToGrid w:val="0"/>
          <w:color w:val="000000"/>
          <w:sz w:val="32"/>
          <w:szCs w:val="32"/>
        </w:rPr>
        <w:t>6.</w:t>
      </w:r>
      <w:r>
        <w:rPr>
          <w:rFonts w:hint="eastAsia" w:ascii="Times New Roman" w:hAnsi="Times New Roman" w:eastAsia="方正仿宋_GBK"/>
          <w:snapToGrid w:val="0"/>
          <w:color w:val="000000"/>
          <w:sz w:val="32"/>
          <w:szCs w:val="32"/>
        </w:rPr>
        <w:t>土壤和固体废物管理科。负责对土壤生态环境保护、污染地块污染防治、地下水污染防治和生态保护等工作的监督管理，指导协调和监督农村生态环境保护，组织指导农村生态环境综合整治，监督指导农业面源污染治理工作。负责固体废物、化学品、重金属等污染防治的监督管理。组织实施危险废物经营管理、固体废物转移管理、废弃电器电子产品处理资格管理等环境管理制度。</w:t>
      </w:r>
    </w:p>
    <w:p w14:paraId="5FDD8B81">
      <w:pPr>
        <w:keepNext w:val="0"/>
        <w:keepLines w:val="0"/>
        <w:pageBreakBefore w:val="0"/>
        <w:widowControl/>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snapToGrid w:val="0"/>
          <w:color w:val="000000"/>
          <w:sz w:val="32"/>
          <w:szCs w:val="32"/>
        </w:rPr>
      </w:pPr>
      <w:r>
        <w:rPr>
          <w:rFonts w:hint="default" w:ascii="Times New Roman" w:hAnsi="Times New Roman" w:eastAsia="方正仿宋_GBK"/>
          <w:snapToGrid w:val="0"/>
          <w:color w:val="000000"/>
          <w:sz w:val="32"/>
          <w:szCs w:val="32"/>
        </w:rPr>
        <w:t>7.</w:t>
      </w:r>
      <w:r>
        <w:rPr>
          <w:rFonts w:hint="eastAsia" w:ascii="Times New Roman" w:hAnsi="Times New Roman" w:eastAsia="方正仿宋_GBK"/>
          <w:snapToGrid w:val="0"/>
          <w:color w:val="000000"/>
          <w:sz w:val="32"/>
          <w:szCs w:val="32"/>
        </w:rPr>
        <w:t>行政许可服务科（环境影响评价科）。组织实施环境影响评价与环境保护设施同时设计、同时施工、同时投产使用制度，按上级要求开展环境影响评价，审批或审查开发建设区域、规划、项目环境影响评价文件。承担本部门行政审批制度改革工作；按照“三集中、三到位”要求，相对集中本部门行政审批事项的受理、审批工作。承担核与辐射相关工作，组织实施电离、电磁辐射建设项目环境影响评价与环境保护设施同时设计、同时施工、同时投产使用制度。组织实施生态环境准入清单。</w:t>
      </w:r>
    </w:p>
    <w:p w14:paraId="5800F9A0">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rPr>
        <w:t>机关党支部。负责机关及直属单位党群工作。</w:t>
      </w:r>
    </w:p>
    <w:p w14:paraId="50DC70F9">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eastAsia" w:ascii="Times New Roman" w:hAnsi="Times New Roman" w:eastAsia="方正黑体_GBK" w:cs="方正黑体_GBK"/>
          <w:b w:val="0"/>
          <w:bCs/>
          <w:sz w:val="32"/>
          <w:szCs w:val="32"/>
        </w:rPr>
      </w:pPr>
      <w:r>
        <w:rPr>
          <w:rStyle w:val="10"/>
          <w:rFonts w:hint="eastAsia" w:ascii="Times New Roman" w:hAnsi="Times New Roman" w:eastAsia="方正黑体_GBK" w:cs="方正黑体_GBK"/>
          <w:b w:val="0"/>
          <w:bCs/>
          <w:sz w:val="32"/>
          <w:szCs w:val="32"/>
          <w:shd w:val="clear" w:color="auto" w:fill="FFFFFF"/>
        </w:rPr>
        <w:t>二、部门决算情况说明</w:t>
      </w:r>
    </w:p>
    <w:p w14:paraId="2F90F3F1">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（一）收入支出决算总体情况说明。</w:t>
      </w:r>
    </w:p>
    <w:p w14:paraId="1196E2DD">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2023年度收入总计4090.00万元，支出总计</w:t>
      </w:r>
      <w:r>
        <w:rPr>
          <w:rFonts w:ascii="Times New Roman" w:hAnsi="Times New Roman" w:eastAsia="方正仿宋_GBK" w:cs="方正仿宋_GBK"/>
          <w:sz w:val="32"/>
          <w:szCs w:val="32"/>
        </w:rPr>
        <w:t>4090.00</w:t>
      </w:r>
      <w:r>
        <w:rPr>
          <w:rFonts w:ascii="Times New Roman" w:hAnsi="Times New Roman" w:eastAsia="方正仿宋_GBK" w:cs="方正仿宋_GBK"/>
          <w:sz w:val="32"/>
          <w:szCs w:val="32"/>
          <w:shd w:val="clear" w:color="auto" w:fill="FFFFFF"/>
        </w:rPr>
        <w:t>万元。收支较上年决算数增加1416.12万元，增长52.96%，主要原因是新增藤子沟综合整治、龙潭片区铅锌污染综合治理技术服务、重庆市石柱县入河排污口规范化建设等项目。</w:t>
      </w:r>
    </w:p>
    <w:p w14:paraId="35A33A9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Times New Roman" w:hAnsi="Times New Roman" w:eastAsia="方正仿宋_GBK" w:cs="方正仿宋_GBK"/>
          <w:sz w:val="32"/>
          <w:szCs w:val="32"/>
          <w:shd w:val="clear" w:color="auto" w:fill="FFFFFF"/>
          <w:lang w:eastAsia="zh-CN"/>
        </w:rPr>
      </w:pPr>
      <w:r>
        <w:rPr>
          <w:rStyle w:val="10"/>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2023年度收入合计4090.00万元，较上年决算数增加1416.12万元，增长52.96%，主要原因是新增藤子沟综合整治、龙潭片区铅锌污染综合治理技术服务、重庆市石柱县入河排污口规范化建设等项目</w:t>
      </w:r>
      <w:r>
        <w:rPr>
          <w:rFonts w:hint="eastAsia" w:ascii="Times New Roman" w:hAnsi="Times New Roman" w:eastAsia="方正仿宋_GBK" w:cs="方正仿宋_GBK"/>
          <w:sz w:val="32"/>
          <w:szCs w:val="32"/>
          <w:shd w:val="clear" w:color="auto" w:fill="FFFFFF"/>
          <w:lang w:eastAsia="zh-CN"/>
        </w:rPr>
        <w:t>收入</w:t>
      </w:r>
      <w:r>
        <w:rPr>
          <w:rFonts w:ascii="Times New Roman" w:hAnsi="Times New Roman" w:eastAsia="方正仿宋_GBK" w:cs="方正仿宋_GBK"/>
          <w:sz w:val="32"/>
          <w:szCs w:val="32"/>
          <w:shd w:val="clear" w:color="auto" w:fill="FFFFFF"/>
        </w:rPr>
        <w:t>。其中：财政拨款收入</w:t>
      </w:r>
      <w:r>
        <w:rPr>
          <w:rFonts w:ascii="Times New Roman" w:hAnsi="Times New Roman" w:eastAsia="方正仿宋_GBK" w:cs="方正仿宋_GBK"/>
          <w:sz w:val="32"/>
          <w:szCs w:val="32"/>
        </w:rPr>
        <w:t>4090.00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CN"/>
        </w:rPr>
        <w:t>。</w:t>
      </w:r>
    </w:p>
    <w:p w14:paraId="68CD111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4090.00</w:t>
      </w:r>
      <w:r>
        <w:rPr>
          <w:rFonts w:ascii="Times New Roman" w:hAnsi="Times New Roman" w:eastAsia="方正仿宋_GBK" w:cs="方正仿宋_GBK"/>
          <w:sz w:val="32"/>
          <w:szCs w:val="32"/>
          <w:shd w:val="clear" w:color="auto" w:fill="FFFFFF"/>
        </w:rPr>
        <w:t>万元，较上年决算数增加1416.12万元，增长52.96%，主要原因是新增藤子沟综合整治、龙潭片区铅锌污染综合治理技术服务、重庆市石柱县入河排污口规范化建设等项目</w:t>
      </w:r>
      <w:r>
        <w:rPr>
          <w:rFonts w:hint="eastAsia" w:ascii="Times New Roman" w:hAnsi="Times New Roman" w:eastAsia="方正仿宋_GBK" w:cs="方正仿宋_GBK"/>
          <w:sz w:val="32"/>
          <w:szCs w:val="32"/>
          <w:shd w:val="clear" w:color="auto" w:fill="FFFFFF"/>
          <w:lang w:eastAsia="zh-CN"/>
        </w:rPr>
        <w:t>支出</w:t>
      </w:r>
      <w:r>
        <w:rPr>
          <w:rFonts w:ascii="Times New Roman" w:hAnsi="Times New Roman" w:eastAsia="方正仿宋_GBK" w:cs="方正仿宋_GBK"/>
          <w:sz w:val="32"/>
          <w:szCs w:val="32"/>
          <w:shd w:val="clear" w:color="auto" w:fill="FFFFFF"/>
        </w:rPr>
        <w:t>。其中：基本支出</w:t>
      </w:r>
      <w:r>
        <w:rPr>
          <w:rFonts w:ascii="Times New Roman" w:hAnsi="Times New Roman" w:eastAsia="方正仿宋_GBK" w:cs="方正仿宋_GBK"/>
          <w:sz w:val="32"/>
          <w:szCs w:val="32"/>
        </w:rPr>
        <w:t>1419.23</w:t>
      </w:r>
      <w:r>
        <w:rPr>
          <w:rFonts w:ascii="Times New Roman" w:hAnsi="Times New Roman" w:eastAsia="方正仿宋_GBK" w:cs="方正仿宋_GBK"/>
          <w:sz w:val="32"/>
          <w:szCs w:val="32"/>
          <w:shd w:val="clear" w:color="auto" w:fill="FFFFFF"/>
        </w:rPr>
        <w:t>万元，占34.70%；项目支出</w:t>
      </w:r>
      <w:r>
        <w:rPr>
          <w:rFonts w:ascii="Times New Roman" w:hAnsi="Times New Roman" w:eastAsia="方正仿宋_GBK" w:cs="方正仿宋_GBK"/>
          <w:sz w:val="32"/>
          <w:szCs w:val="32"/>
        </w:rPr>
        <w:t>2670.77</w:t>
      </w:r>
      <w:r>
        <w:rPr>
          <w:rFonts w:ascii="Times New Roman" w:hAnsi="Times New Roman" w:eastAsia="方正仿宋_GBK" w:cs="方正仿宋_GBK"/>
          <w:sz w:val="32"/>
          <w:szCs w:val="32"/>
          <w:shd w:val="clear" w:color="auto" w:fill="FFFFFF"/>
        </w:rPr>
        <w:t>万元，占65.30%。</w:t>
      </w:r>
    </w:p>
    <w:p w14:paraId="7A5B308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w:t>
      </w:r>
      <w:r>
        <w:rPr>
          <w:rFonts w:hint="eastAsia" w:ascii="Times New Roman" w:hAnsi="Times New Roman" w:eastAsia="方正仿宋_GBK" w:cs="方正仿宋_GBK"/>
          <w:sz w:val="32"/>
          <w:szCs w:val="32"/>
          <w:shd w:val="clear" w:color="auto" w:fill="FFFFFF"/>
          <w:lang w:eastAsia="zh-CN"/>
        </w:rPr>
        <w:t>。</w:t>
      </w:r>
    </w:p>
    <w:p w14:paraId="459F7A76">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（二）财政拨款收入支出决算总体情况说明</w:t>
      </w:r>
    </w:p>
    <w:p w14:paraId="47EBC20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4090.00万元。与2022年相比，财政拨款收、支总计各增加1416.12万元，增长52.96%。主要原因是新增藤子沟综合整治、龙潭片区铅锌污染综合治理技术服务、重庆市石柱县入河排污口规范化建设等项目</w:t>
      </w:r>
      <w:r>
        <w:rPr>
          <w:rFonts w:hint="eastAsia" w:ascii="Times New Roman" w:hAnsi="Times New Roman" w:eastAsia="方正仿宋_GBK" w:cs="方正仿宋_GBK"/>
          <w:sz w:val="32"/>
          <w:szCs w:val="32"/>
          <w:shd w:val="clear" w:color="auto" w:fill="FFFFFF"/>
          <w:lang w:eastAsia="zh-CN"/>
        </w:rPr>
        <w:t>收支</w:t>
      </w:r>
      <w:r>
        <w:rPr>
          <w:rFonts w:ascii="Times New Roman" w:hAnsi="Times New Roman" w:eastAsia="方正仿宋_GBK" w:cs="方正仿宋_GBK"/>
          <w:sz w:val="32"/>
          <w:szCs w:val="32"/>
          <w:shd w:val="clear" w:color="auto" w:fill="FFFFFF"/>
        </w:rPr>
        <w:t>。</w:t>
      </w:r>
    </w:p>
    <w:p w14:paraId="37CBE839">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（三）一般公共预算财政拨款收入支出决算情况说明</w:t>
      </w:r>
    </w:p>
    <w:p w14:paraId="3B2C0B1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3590.20</w:t>
      </w:r>
      <w:r>
        <w:rPr>
          <w:rFonts w:ascii="Times New Roman" w:hAnsi="Times New Roman" w:eastAsia="方正仿宋_GBK" w:cs="方正仿宋_GBK"/>
          <w:sz w:val="32"/>
          <w:szCs w:val="32"/>
          <w:shd w:val="clear" w:color="auto" w:fill="FFFFFF"/>
        </w:rPr>
        <w:t>万元，较上年决算数增加1132.37万元，增长46.07%。主要原因是新增藤子沟综合整治、龙潭片区铅锌污染综合治理技术服务、重庆市石柱县入河排污口规范化建设等项目</w:t>
      </w:r>
      <w:r>
        <w:rPr>
          <w:rFonts w:hint="eastAsia" w:ascii="Times New Roman" w:hAnsi="Times New Roman" w:eastAsia="方正仿宋_GBK" w:cs="方正仿宋_GBK"/>
          <w:sz w:val="32"/>
          <w:szCs w:val="32"/>
          <w:shd w:val="clear" w:color="auto" w:fill="FFFFFF"/>
          <w:lang w:eastAsia="zh-CN"/>
        </w:rPr>
        <w:t>的</w:t>
      </w:r>
      <w:r>
        <w:rPr>
          <w:rFonts w:ascii="Times New Roman" w:hAnsi="Times New Roman" w:eastAsia="方正仿宋_GBK" w:cs="方正仿宋_GBK"/>
          <w:sz w:val="32"/>
          <w:szCs w:val="32"/>
          <w:shd w:val="clear" w:color="auto" w:fill="FFFFFF"/>
        </w:rPr>
        <w:t>一般公共预算财政拨款</w:t>
      </w:r>
      <w:r>
        <w:rPr>
          <w:rFonts w:hint="eastAsia" w:ascii="Times New Roman" w:hAnsi="Times New Roman" w:eastAsia="方正仿宋_GBK" w:cs="方正仿宋_GBK"/>
          <w:sz w:val="32"/>
          <w:szCs w:val="32"/>
          <w:shd w:val="clear" w:color="auto" w:fill="FFFFFF"/>
          <w:lang w:eastAsia="zh-CN"/>
        </w:rPr>
        <w:t>收入</w:t>
      </w:r>
      <w:r>
        <w:rPr>
          <w:rFonts w:ascii="Times New Roman" w:hAnsi="Times New Roman" w:eastAsia="方正仿宋_GBK" w:cs="方正仿宋_GBK"/>
          <w:sz w:val="32"/>
          <w:szCs w:val="32"/>
          <w:shd w:val="clear" w:color="auto" w:fill="FFFFFF"/>
        </w:rPr>
        <w:t>。较年初预算数减少6284.89万元，下降63.64%。主要原因是龙河磨刀溪断面水质自动监测站建设</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碳监测评估试点区铁塔及基础设施建设</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龙潭乡烂磨子及刘家大洞废弃矿渣综合处置工程</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项目</w:t>
      </w:r>
      <w:r>
        <w:rPr>
          <w:rFonts w:hint="eastAsia" w:ascii="Times New Roman" w:hAnsi="Times New Roman" w:eastAsia="方正仿宋_GBK" w:cs="方正仿宋_GBK"/>
          <w:sz w:val="32"/>
          <w:szCs w:val="32"/>
          <w:shd w:val="clear" w:color="auto" w:fill="FFFFFF"/>
          <w:lang w:eastAsia="zh-CN"/>
        </w:rPr>
        <w:t>未完工尚未支付财政收回</w:t>
      </w:r>
      <w:r>
        <w:rPr>
          <w:rFonts w:ascii="Times New Roman" w:hAnsi="Times New Roman" w:eastAsia="方正仿宋_GBK" w:cs="方正仿宋_GBK"/>
          <w:color w:val="000000" w:themeColor="text1"/>
          <w:sz w:val="32"/>
          <w:szCs w:val="32"/>
          <w:shd w:val="clear" w:color="auto" w:fill="FFFFFF"/>
        </w:rPr>
        <w:t>。</w:t>
      </w:r>
      <w:r>
        <w:rPr>
          <w:rFonts w:ascii="Times New Roman" w:hAnsi="Times New Roman" w:eastAsia="方正仿宋_GBK" w:cs="方正仿宋_GBK"/>
          <w:sz w:val="32"/>
          <w:szCs w:val="32"/>
          <w:shd w:val="clear" w:color="auto" w:fill="FFFFFF"/>
        </w:rPr>
        <w:t>此外，年初财政拨款结转和结余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1FA22B70">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3590.20</w:t>
      </w:r>
      <w:r>
        <w:rPr>
          <w:rFonts w:ascii="Times New Roman" w:hAnsi="Times New Roman" w:eastAsia="方正仿宋_GBK" w:cs="方正仿宋_GBK"/>
          <w:sz w:val="32"/>
          <w:szCs w:val="32"/>
          <w:shd w:val="clear" w:color="auto" w:fill="FFFFFF"/>
        </w:rPr>
        <w:t>万元，较上年决算数增加1132.37万元，增长46.07%。主要原因是新增藤子沟综合整治、龙潭片区铅锌污染综合治理技术服务、重庆市石柱县入河排污口规范化建设等项</w:t>
      </w:r>
      <w:r>
        <w:rPr>
          <w:rFonts w:hint="eastAsia" w:ascii="Times New Roman" w:hAnsi="Times New Roman" w:eastAsia="方正仿宋_GBK" w:cs="方正仿宋_GBK"/>
          <w:sz w:val="32"/>
          <w:szCs w:val="32"/>
          <w:shd w:val="clear" w:color="auto" w:fill="FFFFFF"/>
          <w:lang w:eastAsia="zh-CN"/>
        </w:rPr>
        <w:t>目的</w:t>
      </w:r>
      <w:r>
        <w:rPr>
          <w:rFonts w:ascii="Times New Roman" w:hAnsi="Times New Roman" w:eastAsia="方正仿宋_GBK" w:cs="方正仿宋_GBK"/>
          <w:sz w:val="32"/>
          <w:szCs w:val="32"/>
          <w:shd w:val="clear" w:color="auto" w:fill="FFFFFF"/>
        </w:rPr>
        <w:t>一般公共预算财政拨款</w:t>
      </w:r>
      <w:r>
        <w:rPr>
          <w:rFonts w:hint="eastAsia" w:ascii="Times New Roman" w:hAnsi="Times New Roman" w:eastAsia="方正仿宋_GBK" w:cs="方正仿宋_GBK"/>
          <w:sz w:val="32"/>
          <w:szCs w:val="32"/>
          <w:shd w:val="clear" w:color="auto" w:fill="FFFFFF"/>
          <w:lang w:eastAsia="zh-CN"/>
        </w:rPr>
        <w:t>支出</w:t>
      </w:r>
      <w:r>
        <w:rPr>
          <w:rFonts w:ascii="Times New Roman" w:hAnsi="Times New Roman" w:eastAsia="方正仿宋_GBK" w:cs="方正仿宋_GBK"/>
          <w:color w:val="000000" w:themeColor="text1"/>
          <w:sz w:val="32"/>
          <w:szCs w:val="32"/>
          <w:shd w:val="clear" w:color="auto" w:fill="FFFFFF"/>
        </w:rPr>
        <w:t>。</w:t>
      </w:r>
      <w:r>
        <w:rPr>
          <w:rFonts w:ascii="Times New Roman" w:hAnsi="Times New Roman" w:eastAsia="方正仿宋_GBK" w:cs="方正仿宋_GBK"/>
          <w:sz w:val="32"/>
          <w:szCs w:val="32"/>
          <w:shd w:val="clear" w:color="auto" w:fill="FFFFFF"/>
        </w:rPr>
        <w:t>较年初预算数减少6284.89万元，下降63.64%。主要原因是龙河磨刀溪断面水质自动监测站建设</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碳监测评估试点区铁塔及基础设施建设</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龙潭乡烂磨子及刘家大洞废弃矿渣综合处置工程</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项目</w:t>
      </w:r>
      <w:r>
        <w:rPr>
          <w:rFonts w:hint="eastAsia" w:ascii="Times New Roman" w:hAnsi="Times New Roman" w:eastAsia="方正仿宋_GBK" w:cs="方正仿宋_GBK"/>
          <w:sz w:val="32"/>
          <w:szCs w:val="32"/>
          <w:shd w:val="clear" w:color="auto" w:fill="FFFFFF"/>
          <w:lang w:eastAsia="zh-CN"/>
        </w:rPr>
        <w:t>未完工尚未支付</w:t>
      </w:r>
      <w:r>
        <w:rPr>
          <w:rFonts w:ascii="Times New Roman" w:hAnsi="Times New Roman" w:eastAsia="方正仿宋_GBK" w:cs="方正仿宋_GBK"/>
          <w:color w:val="000000" w:themeColor="text1"/>
          <w:sz w:val="32"/>
          <w:szCs w:val="32"/>
          <w:shd w:val="clear" w:color="auto" w:fill="FFFFFF"/>
        </w:rPr>
        <w:t>。</w:t>
      </w:r>
    </w:p>
    <w:p w14:paraId="4A897B0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0.0</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万元。</w:t>
      </w:r>
    </w:p>
    <w:p w14:paraId="6643B1B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方正仿宋_GBK"/>
          <w:color w:val="FF0000"/>
          <w:sz w:val="32"/>
          <w:szCs w:val="32"/>
          <w:highlight w:val="cyan"/>
          <w:shd w:val="clear" w:color="auto" w:fill="FFFFFF"/>
        </w:rPr>
      </w:pPr>
      <w:r>
        <w:rPr>
          <w:rStyle w:val="10"/>
          <w:rFonts w:ascii="Times New Roman" w:hAnsi="Times New Roman" w:eastAsia="方正仿宋_GBK" w:cs="方正仿宋_GBK"/>
          <w:sz w:val="32"/>
          <w:szCs w:val="32"/>
          <w:shd w:val="clear" w:color="auto" w:fill="FFFFFF"/>
        </w:rPr>
        <w:t>4.比较情况。</w:t>
      </w:r>
      <w:r>
        <w:rPr>
          <w:rFonts w:ascii="Times New Roman" w:hAnsi="Times New Roman" w:eastAsia="方正仿宋_GBK" w:cs="方正仿宋_GBK"/>
          <w:sz w:val="32"/>
          <w:szCs w:val="32"/>
          <w:shd w:val="clear" w:color="auto" w:fill="FFFFFF"/>
        </w:rPr>
        <w:t>本部门2023年度一般公共预算财政拨款支出主要用于以下几个方面：</w:t>
      </w:r>
    </w:p>
    <w:p w14:paraId="7D3C8BE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FF0000"/>
          <w:sz w:val="32"/>
          <w:szCs w:val="32"/>
          <w:shd w:val="clear" w:color="auto" w:fill="FFFFFF"/>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）社会保障与就业支出</w:t>
      </w:r>
      <w:r>
        <w:rPr>
          <w:rFonts w:ascii="Times New Roman" w:hAnsi="Times New Roman" w:eastAsia="方正仿宋_GBK" w:cs="方正仿宋_GBK"/>
          <w:sz w:val="32"/>
          <w:szCs w:val="32"/>
        </w:rPr>
        <w:t>237.65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6.62</w:t>
      </w:r>
      <w:r>
        <w:rPr>
          <w:rFonts w:ascii="Times New Roman" w:hAnsi="Times New Roman" w:eastAsia="方正仿宋_GBK" w:cs="方正仿宋_GBK"/>
          <w:sz w:val="32"/>
          <w:szCs w:val="32"/>
          <w:shd w:val="clear" w:color="auto" w:fill="FFFFFF"/>
        </w:rPr>
        <w:t>%，较年初预算数增加80.11万元，增长50.85%，</w:t>
      </w:r>
      <w:r>
        <w:rPr>
          <w:rFonts w:ascii="Times New Roman" w:hAnsi="Times New Roman" w:eastAsia="方正仿宋_GBK" w:cs="方正仿宋_GBK"/>
          <w:color w:val="000000" w:themeColor="text1"/>
          <w:sz w:val="32"/>
          <w:szCs w:val="32"/>
          <w:shd w:val="clear" w:color="auto" w:fill="FFFFFF"/>
        </w:rPr>
        <w:t>主要原因是</w:t>
      </w:r>
      <w:r>
        <w:rPr>
          <w:rFonts w:hint="eastAsia" w:ascii="Times New Roman" w:hAnsi="Times New Roman" w:eastAsia="方正仿宋_GBK" w:cs="方正仿宋_GBK"/>
          <w:color w:val="000000" w:themeColor="text1"/>
          <w:sz w:val="32"/>
          <w:szCs w:val="32"/>
          <w:shd w:val="clear" w:color="auto" w:fill="FFFFFF"/>
          <w:lang w:eastAsia="zh-CN"/>
        </w:rPr>
        <w:t>人员增加和社保基数调整。</w:t>
      </w:r>
    </w:p>
    <w:p w14:paraId="526E1B0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000000" w:themeColor="text1"/>
          <w:sz w:val="32"/>
          <w:szCs w:val="32"/>
          <w:shd w:val="clear" w:color="auto" w:fill="FFFFFF"/>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ascii="Times New Roman" w:hAnsi="Times New Roman" w:eastAsia="方正仿宋_GBK" w:cs="方正仿宋_GBK"/>
          <w:sz w:val="32"/>
          <w:szCs w:val="32"/>
          <w:shd w:val="clear" w:color="auto" w:fill="FFFFFF"/>
        </w:rPr>
        <w:t>）卫生健康支出</w:t>
      </w:r>
      <w:r>
        <w:rPr>
          <w:rFonts w:ascii="Times New Roman" w:hAnsi="Times New Roman" w:eastAsia="方正仿宋_GBK" w:cs="方正仿宋_GBK"/>
          <w:sz w:val="32"/>
          <w:szCs w:val="32"/>
        </w:rPr>
        <w:t>68.23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1.90</w:t>
      </w:r>
      <w:r>
        <w:rPr>
          <w:rFonts w:ascii="Times New Roman" w:hAnsi="Times New Roman" w:eastAsia="方正仿宋_GBK" w:cs="方正仿宋_GBK"/>
          <w:sz w:val="32"/>
          <w:szCs w:val="32"/>
          <w:shd w:val="clear" w:color="auto" w:fill="FFFFFF"/>
        </w:rPr>
        <w:t>%，较年初预算数增加10.16万元，增长17.50%，主要原因是</w:t>
      </w:r>
      <w:r>
        <w:rPr>
          <w:rFonts w:hint="eastAsia" w:ascii="Times New Roman" w:hAnsi="Times New Roman" w:eastAsia="方正仿宋_GBK" w:cs="方正仿宋_GBK"/>
          <w:color w:val="000000" w:themeColor="text1"/>
          <w:sz w:val="32"/>
          <w:szCs w:val="32"/>
          <w:shd w:val="clear" w:color="auto" w:fill="FFFFFF"/>
          <w:lang w:eastAsia="zh-CN"/>
        </w:rPr>
        <w:t>人员增加和医保基数调整。</w:t>
      </w:r>
    </w:p>
    <w:p w14:paraId="747247A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）节能环保支出</w:t>
      </w:r>
      <w:r>
        <w:rPr>
          <w:rFonts w:ascii="Times New Roman" w:hAnsi="Times New Roman" w:eastAsia="方正仿宋_GBK" w:cs="方正仿宋_GBK"/>
          <w:sz w:val="32"/>
          <w:szCs w:val="32"/>
        </w:rPr>
        <w:t>2881.86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80.27</w:t>
      </w:r>
      <w:r>
        <w:rPr>
          <w:rFonts w:ascii="Times New Roman" w:hAnsi="Times New Roman" w:eastAsia="方正仿宋_GBK" w:cs="方正仿宋_GBK"/>
          <w:sz w:val="32"/>
          <w:szCs w:val="32"/>
          <w:shd w:val="clear" w:color="auto" w:fill="FFFFFF"/>
        </w:rPr>
        <w:t>%，较年初预算数减少6697.99万元，下降69.92%，主要原因是</w:t>
      </w:r>
      <w:r>
        <w:rPr>
          <w:rFonts w:hint="eastAsia" w:ascii="Times New Roman" w:hAnsi="Times New Roman" w:eastAsia="方正仿宋_GBK" w:cs="方正仿宋_GBK"/>
          <w:sz w:val="32"/>
          <w:szCs w:val="32"/>
          <w:shd w:val="clear" w:color="auto" w:fill="FFFFFF"/>
          <w:lang w:eastAsia="zh-CN"/>
        </w:rPr>
        <w:t>龙潭乡烂磨子及刘家大洞废弃矿渣综合处置工程、龙河流域附近农村环境整治、龙河流域水环境保护及生态修复等项目资金未完工尚未支付</w:t>
      </w:r>
      <w:r>
        <w:rPr>
          <w:rFonts w:ascii="Times New Roman" w:hAnsi="Times New Roman" w:eastAsia="方正仿宋_GBK" w:cs="方正仿宋_GBK"/>
          <w:sz w:val="32"/>
          <w:szCs w:val="32"/>
          <w:shd w:val="clear" w:color="auto" w:fill="FFFFFF"/>
        </w:rPr>
        <w:t>。</w:t>
      </w:r>
    </w:p>
    <w:p w14:paraId="10D8325D">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）农林水支出</w:t>
      </w:r>
      <w:r>
        <w:rPr>
          <w:rFonts w:ascii="Times New Roman" w:hAnsi="Times New Roman" w:eastAsia="方正仿宋_GBK" w:cs="方正仿宋_GBK"/>
          <w:sz w:val="32"/>
          <w:szCs w:val="32"/>
        </w:rPr>
        <w:t>6.21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0.17</w:t>
      </w:r>
      <w:r>
        <w:rPr>
          <w:rFonts w:ascii="Times New Roman" w:hAnsi="Times New Roman" w:eastAsia="方正仿宋_GBK" w:cs="方正仿宋_GBK"/>
          <w:sz w:val="32"/>
          <w:szCs w:val="32"/>
          <w:shd w:val="clear" w:color="auto" w:fill="FFFFFF"/>
        </w:rPr>
        <w:t>%，较年初预算数增加6.21万元，增长100.00%，主要原因是</w:t>
      </w:r>
      <w:r>
        <w:rPr>
          <w:rFonts w:hint="eastAsia" w:ascii="Times New Roman" w:hAnsi="Times New Roman" w:eastAsia="方正仿宋_GBK" w:cs="方正仿宋_GBK"/>
          <w:sz w:val="32"/>
          <w:szCs w:val="32"/>
          <w:shd w:val="clear" w:color="auto" w:fill="FFFFFF"/>
          <w:lang w:eastAsia="zh-CN"/>
        </w:rPr>
        <w:t>驻乡驻村干部乡镇工作补贴年初未预算，实际按组织部要求进行清算</w:t>
      </w:r>
      <w:r>
        <w:rPr>
          <w:rFonts w:ascii="Times New Roman" w:hAnsi="Times New Roman" w:eastAsia="方正仿宋_GBK" w:cs="方正仿宋_GBK"/>
          <w:sz w:val="32"/>
          <w:szCs w:val="32"/>
          <w:shd w:val="clear" w:color="auto" w:fill="FFFFFF"/>
        </w:rPr>
        <w:t>。</w:t>
      </w:r>
    </w:p>
    <w:p w14:paraId="06153FA9">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5</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自然资源海洋气象等支出316.03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8.80</w:t>
      </w:r>
      <w:r>
        <w:rPr>
          <w:rFonts w:ascii="Times New Roman" w:hAnsi="Times New Roman" w:eastAsia="方正仿宋_GBK" w:cs="方正仿宋_GBK"/>
          <w:sz w:val="32"/>
          <w:szCs w:val="32"/>
          <w:shd w:val="clear" w:color="auto" w:fill="FFFFFF"/>
        </w:rPr>
        <w:t>%，较年初预算数增加316.03万元，增长100.00%，</w:t>
      </w:r>
      <w:r>
        <w:rPr>
          <w:rFonts w:ascii="Times New Roman" w:hAnsi="Times New Roman" w:eastAsia="方正仿宋_GBK" w:cs="方正仿宋_GBK"/>
          <w:color w:val="000000" w:themeColor="text1"/>
          <w:sz w:val="32"/>
          <w:szCs w:val="32"/>
          <w:shd w:val="clear" w:color="auto" w:fill="FFFFFF"/>
        </w:rPr>
        <w:t>主要原因是</w:t>
      </w:r>
      <w:r>
        <w:rPr>
          <w:rFonts w:hint="eastAsia" w:ascii="Times New Roman" w:hAnsi="Times New Roman" w:eastAsia="方正仿宋_GBK" w:cs="方正仿宋_GBK"/>
          <w:color w:val="000000" w:themeColor="text1"/>
          <w:sz w:val="32"/>
          <w:szCs w:val="32"/>
          <w:shd w:val="clear" w:color="auto" w:fill="FFFFFF"/>
          <w:lang w:eastAsia="zh-CN"/>
        </w:rPr>
        <w:t>新增了藤子沟综合治理项目</w:t>
      </w:r>
      <w:r>
        <w:rPr>
          <w:rFonts w:ascii="Times New Roman" w:hAnsi="Times New Roman" w:eastAsia="方正仿宋_GBK" w:cs="方正仿宋_GBK"/>
          <w:color w:val="000000" w:themeColor="text1"/>
          <w:sz w:val="32"/>
          <w:szCs w:val="32"/>
          <w:shd w:val="clear" w:color="auto" w:fill="FFFFFF"/>
        </w:rPr>
        <w:t>。</w:t>
      </w:r>
    </w:p>
    <w:p w14:paraId="1D857857">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6</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住房保障支出80.21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2.23</w:t>
      </w:r>
      <w:r>
        <w:rPr>
          <w:rFonts w:ascii="Times New Roman" w:hAnsi="Times New Roman" w:eastAsia="方正仿宋_GBK" w:cs="方正仿宋_GBK"/>
          <w:sz w:val="32"/>
          <w:szCs w:val="32"/>
          <w:shd w:val="clear" w:color="auto" w:fill="FFFFFF"/>
        </w:rPr>
        <w:t>%，较年初预算数增加0.58万元，增长0.73%，主要原因是</w:t>
      </w:r>
      <w:r>
        <w:rPr>
          <w:rFonts w:hint="eastAsia" w:ascii="Times New Roman" w:hAnsi="Times New Roman" w:eastAsia="方正仿宋_GBK" w:cs="方正仿宋_GBK"/>
          <w:sz w:val="32"/>
          <w:szCs w:val="32"/>
          <w:shd w:val="clear" w:color="auto" w:fill="FFFFFF"/>
          <w:lang w:eastAsia="zh-CN"/>
        </w:rPr>
        <w:t>人员变动调整。</w:t>
      </w:r>
    </w:p>
    <w:p w14:paraId="48719CD3">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（四）一般公共预算财政拨款基本支出决算情况说明</w:t>
      </w:r>
    </w:p>
    <w:p w14:paraId="78E66A13">
      <w:pPr>
        <w:pStyle w:val="6"/>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2023年度一般公共财政拨款基本支出</w:t>
      </w:r>
      <w:r>
        <w:rPr>
          <w:rFonts w:ascii="Times New Roman" w:hAnsi="Times New Roman" w:eastAsia="方正仿宋_GBK" w:cs="方正仿宋_GBK"/>
          <w:sz w:val="32"/>
          <w:szCs w:val="32"/>
        </w:rPr>
        <w:t>1419.23</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1198.37</w:t>
      </w:r>
      <w:r>
        <w:rPr>
          <w:rFonts w:ascii="Times New Roman" w:hAnsi="Times New Roman" w:eastAsia="方正仿宋_GBK" w:cs="方正仿宋_GBK"/>
          <w:sz w:val="32"/>
          <w:szCs w:val="32"/>
          <w:shd w:val="clear" w:color="auto" w:fill="FFFFFF"/>
        </w:rPr>
        <w:t>万元，较上年决算数增加223.24万元，增长22.89%</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要原因是</w:t>
      </w:r>
      <w:r>
        <w:rPr>
          <w:rFonts w:ascii="Times New Roman" w:hAnsi="Times New Roman" w:eastAsia="方正仿宋_GBK" w:cs="Times New Roman"/>
          <w:color w:val="333333"/>
          <w:sz w:val="32"/>
          <w:szCs w:val="32"/>
          <w:shd w:val="clear" w:color="auto" w:fill="FFFFFF"/>
        </w:rPr>
        <w:t>人员工资调整、社保基数、公积金调整、基本养老保险增加，以及准备期职业年金项目增加32.7万元。</w:t>
      </w:r>
      <w:r>
        <w:rPr>
          <w:rFonts w:ascii="Times New Roman" w:hAnsi="Times New Roman" w:eastAsia="方正仿宋_GBK" w:cs="Times New Roman"/>
          <w:sz w:val="32"/>
          <w:szCs w:val="32"/>
        </w:rPr>
        <w:t>人员经费用途主要包括</w:t>
      </w:r>
      <w:r>
        <w:rPr>
          <w:rFonts w:ascii="Times New Roman" w:hAnsi="Times New Roman" w:eastAsia="方正仿宋_GBK" w:cs="Times New Roman"/>
          <w:color w:val="333333"/>
          <w:sz w:val="32"/>
          <w:szCs w:val="32"/>
          <w:shd w:val="clear" w:color="auto" w:fill="FFFFFF"/>
        </w:rPr>
        <w:t>基本工资、津贴补贴、奖金、伙食补助费、绩效工资、机关事业单位基本养老保险费、职业年金缴费、</w:t>
      </w:r>
      <w:r>
        <w:rPr>
          <w:rFonts w:ascii="Times New Roman" w:hAnsi="Times New Roman" w:eastAsia="方正仿宋_GBK" w:cs="Times New Roman"/>
          <w:sz w:val="32"/>
          <w:szCs w:val="32"/>
        </w:rPr>
        <w:t>职工基本医疗保</w:t>
      </w:r>
      <w:r>
        <w:rPr>
          <w:rFonts w:ascii="Times New Roman" w:hAnsi="Times New Roman" w:eastAsia="方正仿宋_GBK" w:cs="Times New Roman"/>
          <w:color w:val="333333"/>
          <w:sz w:val="32"/>
          <w:szCs w:val="32"/>
          <w:shd w:val="clear" w:color="auto" w:fill="FFFFFF"/>
        </w:rPr>
        <w:t>险缴费，其他社会保险缴费、住房公积金等</w:t>
      </w:r>
      <w:r>
        <w:rPr>
          <w:rFonts w:hint="eastAsia" w:ascii="Times New Roman" w:hAnsi="Times New Roman" w:eastAsia="方正仿宋_GBK" w:cs="Times New Roman"/>
          <w:color w:val="333333"/>
          <w:sz w:val="32"/>
          <w:szCs w:val="32"/>
          <w:shd w:val="clear" w:color="auto" w:fill="FFFFFF"/>
          <w:lang w:eastAsia="zh-CN"/>
        </w:rPr>
        <w:t>。</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220.85</w:t>
      </w:r>
      <w:r>
        <w:rPr>
          <w:rFonts w:ascii="Times New Roman" w:hAnsi="Times New Roman" w:eastAsia="方正仿宋_GBK" w:cs="方正仿宋_GBK"/>
          <w:sz w:val="32"/>
          <w:szCs w:val="32"/>
          <w:shd w:val="clear" w:color="auto" w:fill="FFFFFF"/>
        </w:rPr>
        <w:t>万元，较上年决算数减少69.68万元，下降23.98%，主要原因是</w:t>
      </w:r>
      <w:r>
        <w:rPr>
          <w:rFonts w:hint="eastAsia" w:ascii="Times New Roman" w:hAnsi="Times New Roman" w:eastAsia="方正仿宋_GBK" w:cs="方正仿宋_GBK"/>
          <w:sz w:val="32"/>
          <w:szCs w:val="32"/>
          <w:shd w:val="clear" w:color="auto" w:fill="FFFFFF"/>
          <w:lang w:eastAsia="zh-CN"/>
        </w:rPr>
        <w:t>严格控制办公、公务接待及差旅等费用</w:t>
      </w:r>
      <w:r>
        <w:rPr>
          <w:rFonts w:ascii="Times New Roman" w:hAnsi="Times New Roman" w:eastAsia="方正仿宋_GBK" w:cs="方正仿宋_GBK"/>
          <w:sz w:val="32"/>
          <w:szCs w:val="32"/>
          <w:shd w:val="clear" w:color="auto" w:fill="FFFFFF"/>
        </w:rPr>
        <w:t>。</w:t>
      </w:r>
      <w:r>
        <w:rPr>
          <w:rFonts w:ascii="Times New Roman" w:hAnsi="Times New Roman" w:eastAsia="方正仿宋_GBK" w:cs="Times New Roman"/>
          <w:sz w:val="32"/>
          <w:szCs w:val="32"/>
        </w:rPr>
        <w:t>公用经费用途主要包括</w:t>
      </w:r>
      <w:r>
        <w:rPr>
          <w:rFonts w:ascii="Times New Roman" w:hAnsi="Times New Roman" w:eastAsia="方正仿宋_GBK" w:cs="Times New Roman"/>
          <w:color w:val="333333"/>
          <w:sz w:val="32"/>
          <w:szCs w:val="32"/>
          <w:shd w:val="clear" w:color="auto" w:fill="FFFFFF"/>
        </w:rPr>
        <w:t>办公费、印刷费、水费、电费、邮电费、差旅费、维修（护）费、会议费、培训费、公务接待费、劳务费、委托业务费、工会经费、公务车运行维护费、其他交通费用以及其他商品和服务支出费用。</w:t>
      </w:r>
    </w:p>
    <w:p w14:paraId="23412C04">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（五）政府性基金预算收支决算情况说明</w:t>
      </w:r>
    </w:p>
    <w:p w14:paraId="1EA29F1D">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2023年度政府性基金预算财政拨款年初结转结余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万元，年末结转结余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万元。本年收入</w:t>
      </w:r>
      <w:r>
        <w:rPr>
          <w:rFonts w:ascii="Times New Roman" w:hAnsi="Times New Roman" w:eastAsia="方正仿宋_GBK" w:cs="方正仿宋_GBK"/>
          <w:sz w:val="32"/>
          <w:szCs w:val="32"/>
        </w:rPr>
        <w:t>499.80</w:t>
      </w:r>
      <w:r>
        <w:rPr>
          <w:rFonts w:ascii="Times New Roman" w:hAnsi="Times New Roman" w:eastAsia="方正仿宋_GBK" w:cs="方正仿宋_GBK"/>
          <w:sz w:val="32"/>
          <w:szCs w:val="32"/>
          <w:shd w:val="clear" w:color="auto" w:fill="FFFFFF"/>
        </w:rPr>
        <w:t>万元，较上年决算数增加283.75万元，增长131.34%，主要原因是</w:t>
      </w:r>
      <w:r>
        <w:rPr>
          <w:rFonts w:hint="eastAsia" w:ascii="Times New Roman" w:hAnsi="Times New Roman" w:eastAsia="方正仿宋_GBK" w:cs="方正仿宋_GBK"/>
          <w:sz w:val="32"/>
          <w:szCs w:val="32"/>
          <w:shd w:val="clear" w:color="auto" w:fill="FFFFFF"/>
          <w:lang w:eastAsia="zh-CN"/>
        </w:rPr>
        <w:t>安排在</w:t>
      </w:r>
      <w:r>
        <w:rPr>
          <w:rFonts w:ascii="Times New Roman" w:hAnsi="Times New Roman" w:eastAsia="方正仿宋_GBK" w:cs="方正仿宋_GBK"/>
          <w:sz w:val="32"/>
          <w:szCs w:val="32"/>
          <w:shd w:val="clear" w:color="auto" w:fill="FFFFFF"/>
        </w:rPr>
        <w:t>石柱县双岔河遗留废弃矿渣清运工程，村级污水处理</w:t>
      </w:r>
      <w:r>
        <w:rPr>
          <w:rFonts w:hint="eastAsia" w:ascii="Times New Roman" w:hAnsi="Times New Roman" w:eastAsia="方正仿宋_GBK" w:cs="方正仿宋_GBK"/>
          <w:sz w:val="32"/>
          <w:szCs w:val="32"/>
          <w:shd w:val="clear" w:color="auto" w:fill="FFFFFF"/>
          <w:lang w:eastAsia="zh-CN"/>
        </w:rPr>
        <w:t>站管</w:t>
      </w:r>
      <w:r>
        <w:rPr>
          <w:rFonts w:ascii="Times New Roman" w:hAnsi="Times New Roman" w:eastAsia="方正仿宋_GBK" w:cs="方正仿宋_GBK"/>
          <w:sz w:val="32"/>
          <w:szCs w:val="32"/>
          <w:shd w:val="clear" w:color="auto" w:fill="FFFFFF"/>
        </w:rPr>
        <w:t>网运行、农村污水处理站运行</w:t>
      </w:r>
      <w:r>
        <w:rPr>
          <w:rFonts w:hint="eastAsia" w:ascii="Times New Roman" w:hAnsi="Times New Roman" w:eastAsia="方正仿宋_GBK" w:cs="方正仿宋_GBK"/>
          <w:sz w:val="32"/>
          <w:szCs w:val="32"/>
          <w:shd w:val="clear" w:color="auto" w:fill="FFFFFF"/>
          <w:lang w:eastAsia="zh-CN"/>
        </w:rPr>
        <w:t>项目的</w:t>
      </w:r>
      <w:r>
        <w:rPr>
          <w:rFonts w:ascii="Times New Roman" w:hAnsi="Times New Roman" w:eastAsia="方正仿宋_GBK" w:cs="方正仿宋_GBK"/>
          <w:sz w:val="32"/>
          <w:szCs w:val="32"/>
          <w:shd w:val="clear" w:color="auto" w:fill="FFFFFF"/>
        </w:rPr>
        <w:t>政府性基金财政拨款增加。本年支出</w:t>
      </w:r>
      <w:r>
        <w:rPr>
          <w:rFonts w:ascii="Times New Roman" w:hAnsi="Times New Roman" w:eastAsia="方正仿宋_GBK" w:cs="方正仿宋_GBK"/>
          <w:sz w:val="32"/>
          <w:szCs w:val="32"/>
        </w:rPr>
        <w:t>499.80</w:t>
      </w:r>
      <w:r>
        <w:rPr>
          <w:rFonts w:ascii="Times New Roman" w:hAnsi="Times New Roman" w:eastAsia="方正仿宋_GBK" w:cs="方正仿宋_GBK"/>
          <w:sz w:val="32"/>
          <w:szCs w:val="32"/>
          <w:shd w:val="clear" w:color="auto" w:fill="FFFFFF"/>
        </w:rPr>
        <w:t>万元，较上年决算数增加283.75万元，增长131.34%，主要原因是</w:t>
      </w:r>
      <w:r>
        <w:rPr>
          <w:rFonts w:hint="eastAsia" w:ascii="Times New Roman" w:hAnsi="Times New Roman" w:eastAsia="方正仿宋_GBK" w:cs="方正仿宋_GBK"/>
          <w:sz w:val="32"/>
          <w:szCs w:val="32"/>
          <w:shd w:val="clear" w:color="auto" w:fill="FFFFFF"/>
          <w:lang w:eastAsia="zh-CN"/>
        </w:rPr>
        <w:t>安排在</w:t>
      </w:r>
      <w:r>
        <w:rPr>
          <w:rFonts w:ascii="Times New Roman" w:hAnsi="Times New Roman" w:eastAsia="方正仿宋_GBK" w:cs="方正仿宋_GBK"/>
          <w:sz w:val="32"/>
          <w:szCs w:val="32"/>
          <w:shd w:val="clear" w:color="auto" w:fill="FFFFFF"/>
        </w:rPr>
        <w:t>石柱县双岔河遗留废弃矿渣清运工程，村级污水处理</w:t>
      </w:r>
      <w:r>
        <w:rPr>
          <w:rFonts w:hint="eastAsia" w:ascii="Times New Roman" w:hAnsi="Times New Roman" w:eastAsia="方正仿宋_GBK" w:cs="方正仿宋_GBK"/>
          <w:sz w:val="32"/>
          <w:szCs w:val="32"/>
          <w:shd w:val="clear" w:color="auto" w:fill="FFFFFF"/>
          <w:lang w:eastAsia="zh-CN"/>
        </w:rPr>
        <w:t>站管</w:t>
      </w:r>
      <w:r>
        <w:rPr>
          <w:rFonts w:ascii="Times New Roman" w:hAnsi="Times New Roman" w:eastAsia="方正仿宋_GBK" w:cs="方正仿宋_GBK"/>
          <w:sz w:val="32"/>
          <w:szCs w:val="32"/>
          <w:shd w:val="clear" w:color="auto" w:fill="FFFFFF"/>
        </w:rPr>
        <w:t>网运行、农村污水处理站运行</w:t>
      </w:r>
      <w:r>
        <w:rPr>
          <w:rFonts w:hint="eastAsia" w:ascii="Times New Roman" w:hAnsi="Times New Roman" w:eastAsia="方正仿宋_GBK" w:cs="方正仿宋_GBK"/>
          <w:sz w:val="32"/>
          <w:szCs w:val="32"/>
          <w:shd w:val="clear" w:color="auto" w:fill="FFFFFF"/>
          <w:lang w:eastAsia="zh-CN"/>
        </w:rPr>
        <w:t>项目的</w:t>
      </w:r>
      <w:r>
        <w:rPr>
          <w:rFonts w:ascii="Times New Roman" w:hAnsi="Times New Roman" w:eastAsia="方正仿宋_GBK" w:cs="方正仿宋_GBK"/>
          <w:sz w:val="32"/>
          <w:szCs w:val="32"/>
          <w:shd w:val="clear" w:color="auto" w:fill="FFFFFF"/>
        </w:rPr>
        <w:t>政府性基金财政拨款增加</w:t>
      </w:r>
      <w:r>
        <w:rPr>
          <w:rFonts w:hint="eastAsia" w:ascii="Times New Roman" w:hAnsi="Times New Roman" w:eastAsia="方正仿宋_GBK" w:cs="方正仿宋_GBK"/>
          <w:sz w:val="32"/>
          <w:szCs w:val="32"/>
          <w:shd w:val="clear" w:color="auto" w:fill="FFFFFF"/>
          <w:lang w:eastAsia="zh-CN"/>
        </w:rPr>
        <w:t>。</w:t>
      </w:r>
    </w:p>
    <w:p w14:paraId="76582CDC">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（六）国有资本经营预算财政拨款支出决算情况说明</w:t>
      </w:r>
    </w:p>
    <w:p w14:paraId="3333C40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本部门2023年度无国有资本经营预算财政拨款支出。</w:t>
      </w:r>
    </w:p>
    <w:p w14:paraId="59D21BF9">
      <w:pPr>
        <w:pageBreakBefore w:val="0"/>
        <w:widowControl/>
        <w:kinsoku/>
        <w:wordWrap/>
        <w:overflowPunct/>
        <w:topLinePunct w:val="0"/>
        <w:bidi w:val="0"/>
        <w:spacing w:afterAutospacing="0" w:line="594"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三、“三公”经费情况说明</w:t>
      </w:r>
    </w:p>
    <w:p w14:paraId="5FBADF77">
      <w:pPr>
        <w:pageBreakBefore w:val="0"/>
        <w:widowControl/>
        <w:kinsoku/>
        <w:wordWrap/>
        <w:overflowPunct/>
        <w:topLinePunct w:val="0"/>
        <w:bidi w:val="0"/>
        <w:spacing w:afterAutospacing="0" w:line="594"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（一）“三公”经费支出总体情况说明</w:t>
      </w:r>
    </w:p>
    <w:p w14:paraId="702D48BE">
      <w:pPr>
        <w:pageBreakBefore w:val="0"/>
        <w:widowControl/>
        <w:kinsoku/>
        <w:wordWrap/>
        <w:overflowPunct/>
        <w:topLinePunct w:val="0"/>
        <w:bidi w:val="0"/>
        <w:spacing w:afterAutospacing="0"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2023年度“三公”经费支出共计10.80万元，较年初预算数无增减</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较上年支出数增加3.85万元，增长55.40%，主要原因是</w:t>
      </w:r>
      <w:r>
        <w:rPr>
          <w:rFonts w:hint="eastAsia" w:ascii="Times New Roman" w:hAnsi="Times New Roman" w:eastAsia="方正仿宋_GBK" w:cs="方正仿宋_GBK"/>
          <w:sz w:val="32"/>
          <w:szCs w:val="32"/>
          <w:lang w:eastAsia="zh-CN"/>
        </w:rPr>
        <w:t>新增藤子沟综合整治、龙潭片区铅锌污染综合治理技术服务、重庆市石柱县入河排污口规范化建设等项目工作任务。</w:t>
      </w:r>
    </w:p>
    <w:p w14:paraId="2795EE4B">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（二）“三公”经费分项支出情况</w:t>
      </w:r>
    </w:p>
    <w:p w14:paraId="002DABB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2023年度本部门</w:t>
      </w:r>
      <w:r>
        <w:rPr>
          <w:rFonts w:hint="eastAsia" w:ascii="Times New Roman" w:hAnsi="Times New Roman" w:eastAsia="方正仿宋_GBK" w:cs="方正仿宋_GBK"/>
          <w:sz w:val="32"/>
          <w:szCs w:val="32"/>
          <w:shd w:val="clear" w:color="auto" w:fill="FFFFFF"/>
          <w:lang w:eastAsia="zh-CN"/>
        </w:rPr>
        <w:t>无</w:t>
      </w:r>
      <w:r>
        <w:rPr>
          <w:rFonts w:ascii="Times New Roman" w:hAnsi="Times New Roman" w:eastAsia="方正仿宋_GBK" w:cs="方正仿宋_GBK"/>
          <w:sz w:val="32"/>
          <w:szCs w:val="32"/>
          <w:shd w:val="clear" w:color="auto" w:fill="FFFFFF"/>
        </w:rPr>
        <w:t>因公出国（境）</w:t>
      </w:r>
      <w:r>
        <w:rPr>
          <w:rFonts w:hint="eastAsia" w:ascii="Times New Roman" w:hAnsi="Times New Roman" w:eastAsia="方正仿宋_GBK" w:cs="方正仿宋_GBK"/>
          <w:sz w:val="32"/>
          <w:szCs w:val="32"/>
          <w:shd w:val="clear" w:color="auto" w:fill="FFFFFF"/>
          <w:lang w:eastAsia="zh-CN"/>
        </w:rPr>
        <w:t>和</w:t>
      </w:r>
      <w:r>
        <w:rPr>
          <w:rFonts w:ascii="Times New Roman" w:hAnsi="Times New Roman" w:eastAsia="方正仿宋_GBK" w:cs="方正仿宋_GBK"/>
          <w:sz w:val="32"/>
          <w:szCs w:val="32"/>
          <w:shd w:val="clear" w:color="auto" w:fill="FFFFFF"/>
        </w:rPr>
        <w:t>公务车购置费用</w:t>
      </w:r>
      <w:r>
        <w:rPr>
          <w:rFonts w:hint="eastAsia" w:ascii="Times New Roman" w:hAnsi="Times New Roman" w:eastAsia="方正仿宋_GBK" w:cs="方正仿宋_GBK"/>
          <w:sz w:val="32"/>
          <w:szCs w:val="32"/>
          <w:shd w:val="clear" w:color="auto" w:fill="FFFFFF"/>
          <w:lang w:eastAsia="zh-CN"/>
        </w:rPr>
        <w:t>支出</w:t>
      </w:r>
      <w:r>
        <w:rPr>
          <w:rFonts w:ascii="Times New Roman" w:hAnsi="Times New Roman" w:eastAsia="方正仿宋_GBK" w:cs="方正仿宋_GBK"/>
          <w:sz w:val="32"/>
          <w:szCs w:val="32"/>
          <w:shd w:val="clear" w:color="auto" w:fill="FFFFFF"/>
        </w:rPr>
        <w:t>，费用支出较年初预算数无增减，较上年支出数无增减</w:t>
      </w:r>
      <w:r>
        <w:rPr>
          <w:rFonts w:hint="eastAsia" w:ascii="Times New Roman" w:hAnsi="Times New Roman" w:eastAsia="方正仿宋_GBK" w:cs="方正仿宋_GBK"/>
          <w:sz w:val="32"/>
          <w:szCs w:val="32"/>
          <w:shd w:val="clear" w:color="auto" w:fill="FFFFFF"/>
          <w:lang w:eastAsia="zh-CN"/>
        </w:rPr>
        <w:t>。</w:t>
      </w:r>
    </w:p>
    <w:p w14:paraId="49D34EA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ascii="Times New Roman" w:hAnsi="Times New Roman" w:eastAsia="方正仿宋_GBK" w:cs="方正仿宋_GBK"/>
          <w:sz w:val="32"/>
          <w:szCs w:val="32"/>
          <w:shd w:val="clear" w:color="auto" w:fill="FFFFFF"/>
        </w:rPr>
        <w:t>公务车运行维护费</w:t>
      </w:r>
      <w:r>
        <w:rPr>
          <w:rFonts w:ascii="Times New Roman" w:hAnsi="Times New Roman" w:eastAsia="方正仿宋_GBK" w:cs="方正仿宋_GBK"/>
          <w:sz w:val="32"/>
          <w:szCs w:val="32"/>
        </w:rPr>
        <w:t>6.90</w:t>
      </w:r>
      <w:r>
        <w:rPr>
          <w:rFonts w:ascii="Times New Roman" w:hAnsi="Times New Roman" w:eastAsia="方正仿宋_GBK" w:cs="方正仿宋_GBK"/>
          <w:sz w:val="32"/>
          <w:szCs w:val="32"/>
          <w:shd w:val="clear" w:color="auto" w:fill="FFFFFF"/>
        </w:rPr>
        <w:t>万元，</w:t>
      </w:r>
      <w:r>
        <w:rPr>
          <w:rFonts w:ascii="Times New Roman" w:hAnsi="Times New Roman" w:eastAsia="方正仿宋_GBK" w:cs="Times New Roman"/>
          <w:color w:val="333333"/>
          <w:sz w:val="32"/>
          <w:szCs w:val="32"/>
          <w:shd w:val="clear" w:color="auto" w:fill="FFFFFF"/>
        </w:rPr>
        <w:t>开展环境执法、环境监测、各项专项检查、处理信访投诉等工作的油料费、维修费、过路过桥费、保险费等费用。</w:t>
      </w:r>
      <w:r>
        <w:rPr>
          <w:rFonts w:ascii="Times New Roman" w:hAnsi="Times New Roman" w:eastAsia="方正仿宋_GBK" w:cs="方正仿宋_GBK"/>
          <w:sz w:val="32"/>
          <w:szCs w:val="32"/>
          <w:shd w:val="clear" w:color="auto" w:fill="FFFFFF"/>
        </w:rPr>
        <w:t>费用支出较年初预算数无增减，较上年支出数增加2.95万元，增长74.68%，主要原因是新增藤子沟综合整治、龙潭片区铅锌污染综合治理技术服务、重庆市石柱县入河排污口规范化建设等项目</w:t>
      </w:r>
      <w:r>
        <w:rPr>
          <w:rFonts w:hint="eastAsia" w:ascii="Times New Roman" w:hAnsi="Times New Roman" w:eastAsia="方正仿宋_GBK" w:cs="方正仿宋_GBK"/>
          <w:sz w:val="32"/>
          <w:szCs w:val="32"/>
          <w:shd w:val="clear" w:color="auto" w:fill="FFFFFF"/>
          <w:lang w:eastAsia="zh-CN"/>
        </w:rPr>
        <w:t>工作任务</w:t>
      </w:r>
      <w:r>
        <w:rPr>
          <w:rFonts w:ascii="Times New Roman" w:hAnsi="Times New Roman" w:eastAsia="方正仿宋_GBK" w:cs="方正仿宋_GBK"/>
          <w:sz w:val="32"/>
          <w:szCs w:val="32"/>
          <w:shd w:val="clear" w:color="auto" w:fill="FFFFFF"/>
        </w:rPr>
        <w:t>增多</w:t>
      </w:r>
      <w:r>
        <w:rPr>
          <w:rFonts w:hint="eastAsia" w:ascii="Times New Roman" w:hAnsi="Times New Roman" w:eastAsia="方正仿宋_GBK" w:cs="方正仿宋_GBK"/>
          <w:sz w:val="32"/>
          <w:szCs w:val="32"/>
          <w:shd w:val="clear" w:color="auto" w:fill="FFFFFF"/>
          <w:lang w:eastAsia="zh-CN"/>
        </w:rPr>
        <w:t>。</w:t>
      </w:r>
    </w:p>
    <w:p w14:paraId="2C3431A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sz w:val="32"/>
          <w:szCs w:val="32"/>
          <w:lang w:eastAsia="zh-CN"/>
        </w:rPr>
      </w:pPr>
      <w:r>
        <w:rPr>
          <w:rFonts w:ascii="Times New Roman" w:hAnsi="Times New Roman" w:eastAsia="方正仿宋_GBK" w:cs="方正仿宋_GBK"/>
          <w:sz w:val="32"/>
          <w:szCs w:val="32"/>
          <w:shd w:val="clear" w:color="auto" w:fill="FFFFFF"/>
        </w:rPr>
        <w:t> 公务接待费</w:t>
      </w:r>
      <w:r>
        <w:rPr>
          <w:rFonts w:ascii="Times New Roman" w:hAnsi="Times New Roman" w:eastAsia="方正仿宋_GBK" w:cs="方正仿宋_GBK"/>
          <w:sz w:val="32"/>
          <w:szCs w:val="32"/>
        </w:rPr>
        <w:t>3.90</w:t>
      </w:r>
      <w:r>
        <w:rPr>
          <w:rFonts w:ascii="Times New Roman" w:hAnsi="Times New Roman" w:eastAsia="方正仿宋_GBK" w:cs="方正仿宋_GBK"/>
          <w:color w:val="000000" w:themeColor="text1"/>
          <w:sz w:val="32"/>
          <w:szCs w:val="32"/>
          <w:shd w:val="clear" w:color="auto" w:fill="FFFFFF"/>
        </w:rPr>
        <w:t>万元，</w:t>
      </w:r>
      <w:r>
        <w:rPr>
          <w:rFonts w:ascii="Times New Roman" w:hAnsi="Times New Roman" w:eastAsia="方正仿宋_GBK" w:cs="方正仿宋_GBK"/>
          <w:sz w:val="32"/>
          <w:szCs w:val="32"/>
          <w:shd w:val="clear" w:color="auto" w:fill="FFFFFF"/>
        </w:rPr>
        <w:t>主要用于接待</w:t>
      </w:r>
      <w:r>
        <w:rPr>
          <w:rFonts w:ascii="Times New Roman" w:hAnsi="Times New Roman" w:eastAsia="方正仿宋_GBK" w:cs="Times New Roman"/>
          <w:color w:val="333333"/>
          <w:sz w:val="32"/>
          <w:szCs w:val="32"/>
          <w:shd w:val="clear" w:color="auto" w:fill="FFFFFF"/>
        </w:rPr>
        <w:t>上级执法检查、环保督察、学习调研等工作发生的接待支出费用</w:t>
      </w:r>
      <w:r>
        <w:rPr>
          <w:rFonts w:ascii="Times New Roman" w:hAnsi="Times New Roman" w:eastAsia="方正仿宋_GBK" w:cs="方正仿宋_GBK"/>
          <w:color w:val="000000" w:themeColor="text1"/>
          <w:sz w:val="32"/>
          <w:szCs w:val="32"/>
          <w:shd w:val="clear" w:color="auto" w:fill="FFFFFF"/>
        </w:rPr>
        <w:t>。费用支出较年初预算数无增减，较上年支出数增加0.90万元，增长30.00%，主要原因是</w:t>
      </w:r>
      <w:r>
        <w:rPr>
          <w:rFonts w:hint="eastAsia" w:ascii="Times New Roman" w:hAnsi="Times New Roman" w:eastAsia="方正仿宋_GBK" w:cs="方正仿宋_GBK"/>
          <w:color w:val="000000" w:themeColor="text1"/>
          <w:sz w:val="32"/>
          <w:szCs w:val="32"/>
          <w:shd w:val="clear" w:color="auto" w:fill="FFFFFF"/>
          <w:lang w:eastAsia="zh-CN"/>
        </w:rPr>
        <w:t>执法、监测、项目工作任务增加。</w:t>
      </w:r>
    </w:p>
    <w:p w14:paraId="116DFE61">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（三）“三公”经费实物量情况</w:t>
      </w:r>
    </w:p>
    <w:p w14:paraId="1D43C85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2023年度本部门因公出国（境）共计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4</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180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570</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人。2023年本部门人均接待费</w:t>
      </w:r>
      <w:r>
        <w:rPr>
          <w:rFonts w:ascii="Times New Roman" w:hAnsi="Times New Roman" w:eastAsia="方正仿宋_GBK" w:cs="方正仿宋_GBK"/>
          <w:sz w:val="32"/>
          <w:szCs w:val="32"/>
        </w:rPr>
        <w:t>68.42</w:t>
      </w:r>
      <w:r>
        <w:rPr>
          <w:rFonts w:ascii="Times New Roman" w:hAnsi="Times New Roman" w:eastAsia="方正仿宋_GBK" w:cs="方正仿宋_GBK"/>
          <w:sz w:val="32"/>
          <w:szCs w:val="32"/>
          <w:shd w:val="clear" w:color="auto" w:fill="FFFFFF"/>
        </w:rPr>
        <w:t>元，</w:t>
      </w:r>
      <w:r>
        <w:rPr>
          <w:rFonts w:ascii="Times New Roman" w:hAnsi="Times New Roman" w:eastAsia="方正仿宋_GBK" w:cs="方正仿宋_GBK"/>
          <w:color w:val="000000" w:themeColor="text1"/>
          <w:sz w:val="32"/>
          <w:szCs w:val="32"/>
          <w:shd w:val="clear" w:color="auto" w:fill="FFFFFF"/>
        </w:rPr>
        <w:t>车均购置费</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万元，车</w:t>
      </w:r>
      <w:r>
        <w:rPr>
          <w:rFonts w:ascii="Times New Roman" w:hAnsi="Times New Roman" w:eastAsia="方正仿宋_GBK" w:cs="方正仿宋_GBK"/>
          <w:sz w:val="32"/>
          <w:szCs w:val="32"/>
          <w:shd w:val="clear" w:color="auto" w:fill="FFFFFF"/>
        </w:rPr>
        <w:t>均维护费</w:t>
      </w:r>
      <w:r>
        <w:rPr>
          <w:rFonts w:ascii="Times New Roman" w:hAnsi="Times New Roman" w:eastAsia="方正仿宋_GBK" w:cs="方正仿宋_GBK"/>
          <w:sz w:val="32"/>
          <w:szCs w:val="32"/>
        </w:rPr>
        <w:t>1.73</w:t>
      </w:r>
      <w:r>
        <w:rPr>
          <w:rFonts w:ascii="Times New Roman" w:hAnsi="Times New Roman" w:eastAsia="方正仿宋_GBK" w:cs="方正仿宋_GBK"/>
          <w:sz w:val="32"/>
          <w:szCs w:val="32"/>
          <w:shd w:val="clear" w:color="auto" w:fill="FFFFFF"/>
        </w:rPr>
        <w:t>万元。</w:t>
      </w:r>
    </w:p>
    <w:p w14:paraId="06BC5356">
      <w:pPr>
        <w:keepNext w:val="0"/>
        <w:keepLines w:val="0"/>
        <w:pageBreakBefore w:val="0"/>
        <w:widowControl/>
        <w:kinsoku/>
        <w:wordWrap/>
        <w:overflowPunct/>
        <w:topLinePunct w:val="0"/>
        <w:autoSpaceDN/>
        <w:bidi w:val="0"/>
        <w:adjustRightInd/>
        <w:spacing w:afterAutospacing="0" w:line="594"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四、其他需要说明的事项</w:t>
      </w:r>
    </w:p>
    <w:p w14:paraId="14B45102">
      <w:pPr>
        <w:keepNext w:val="0"/>
        <w:keepLines w:val="0"/>
        <w:pageBreakBefore w:val="0"/>
        <w:widowControl/>
        <w:kinsoku/>
        <w:wordWrap/>
        <w:overflowPunct/>
        <w:topLinePunct w:val="0"/>
        <w:autoSpaceDN/>
        <w:bidi w:val="0"/>
        <w:adjustRightInd/>
        <w:spacing w:afterAutospacing="0" w:line="594" w:lineRule="exact"/>
        <w:ind w:firstLine="640" w:firstLineChars="200"/>
        <w:textAlignment w:val="auto"/>
        <w:rPr>
          <w:rFonts w:hint="eastAsia" w:ascii="Times New Roman" w:hAnsi="Times New Roman"/>
          <w:sz w:val="32"/>
          <w:szCs w:val="32"/>
        </w:rPr>
      </w:pPr>
      <w:r>
        <w:rPr>
          <w:rFonts w:hint="eastAsia" w:ascii="Times New Roman" w:hAnsi="Times New Roman" w:eastAsia="方正楷体_GBK" w:cs="方正楷体_GBK"/>
          <w:sz w:val="32"/>
          <w:szCs w:val="32"/>
        </w:rPr>
        <w:t>（一）财政拨款会议费和培训费情况说明</w:t>
      </w:r>
    </w:p>
    <w:p w14:paraId="708A1452">
      <w:pPr>
        <w:keepNext w:val="0"/>
        <w:keepLines w:val="0"/>
        <w:pageBreakBefore w:val="0"/>
        <w:widowControl/>
        <w:kinsoku/>
        <w:wordWrap/>
        <w:overflowPunct/>
        <w:topLinePunct w:val="0"/>
        <w:autoSpaceDN/>
        <w:bidi w:val="0"/>
        <w:adjustRightInd/>
        <w:spacing w:afterAutospacing="0"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本年度会议费支出10.61万元，较上年决算数增加8.18万元，增长336.63%，主要原因是新增</w:t>
      </w:r>
      <w:r>
        <w:rPr>
          <w:rFonts w:hint="eastAsia" w:ascii="Times New Roman" w:hAnsi="Times New Roman" w:eastAsia="方正仿宋_GBK" w:cs="方正仿宋_GBK"/>
          <w:sz w:val="32"/>
          <w:szCs w:val="32"/>
          <w:lang w:eastAsia="zh-CN"/>
        </w:rPr>
        <w:t>执法、监测，以及</w:t>
      </w:r>
      <w:r>
        <w:rPr>
          <w:rFonts w:hint="eastAsia" w:ascii="Times New Roman" w:hAnsi="Times New Roman" w:eastAsia="方正仿宋_GBK" w:cs="方正仿宋_GBK"/>
          <w:sz w:val="32"/>
          <w:szCs w:val="32"/>
        </w:rPr>
        <w:t>项目</w:t>
      </w:r>
      <w:r>
        <w:rPr>
          <w:rFonts w:hint="eastAsia" w:ascii="Times New Roman" w:hAnsi="Times New Roman" w:eastAsia="方正仿宋_GBK" w:cs="方正仿宋_GBK"/>
          <w:sz w:val="32"/>
          <w:szCs w:val="32"/>
          <w:lang w:eastAsia="zh-CN"/>
        </w:rPr>
        <w:t>工作会议</w:t>
      </w:r>
      <w:r>
        <w:rPr>
          <w:rFonts w:hint="eastAsia" w:ascii="Times New Roman" w:hAnsi="Times New Roman" w:eastAsia="方正仿宋_GBK" w:cs="方正仿宋_GBK"/>
          <w:sz w:val="32"/>
          <w:szCs w:val="32"/>
        </w:rPr>
        <w:t>增多。本年度培训费支出2.95万元，较上年决算数增加2.48万元，增长527.66%，主要原因是新增</w:t>
      </w:r>
      <w:r>
        <w:rPr>
          <w:rFonts w:hint="eastAsia" w:ascii="Times New Roman" w:hAnsi="Times New Roman" w:eastAsia="方正仿宋_GBK" w:cs="方正仿宋_GBK"/>
          <w:sz w:val="32"/>
          <w:szCs w:val="32"/>
          <w:lang w:eastAsia="zh-CN"/>
        </w:rPr>
        <w:t>执法、监测，以及</w:t>
      </w:r>
      <w:r>
        <w:rPr>
          <w:rFonts w:hint="eastAsia" w:ascii="Times New Roman" w:hAnsi="Times New Roman" w:eastAsia="方正仿宋_GBK" w:cs="方正仿宋_GBK"/>
          <w:sz w:val="32"/>
          <w:szCs w:val="32"/>
        </w:rPr>
        <w:t>项目</w:t>
      </w:r>
      <w:r>
        <w:rPr>
          <w:rFonts w:hint="eastAsia" w:ascii="Times New Roman" w:hAnsi="Times New Roman" w:eastAsia="方正仿宋_GBK" w:cs="方正仿宋_GBK"/>
          <w:sz w:val="32"/>
          <w:szCs w:val="32"/>
          <w:lang w:eastAsia="zh-CN"/>
        </w:rPr>
        <w:t>工作培训</w:t>
      </w:r>
      <w:r>
        <w:rPr>
          <w:rFonts w:hint="eastAsia" w:ascii="Times New Roman" w:hAnsi="Times New Roman" w:eastAsia="方正仿宋_GBK" w:cs="方正仿宋_GBK"/>
          <w:sz w:val="32"/>
          <w:szCs w:val="32"/>
        </w:rPr>
        <w:t>增多。</w:t>
      </w:r>
    </w:p>
    <w:p w14:paraId="47ABDE5D">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（二）机关运行经费情况说明</w:t>
      </w:r>
    </w:p>
    <w:p w14:paraId="2EE645B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2023年度本部门机关运行经费支出</w:t>
      </w:r>
      <w:r>
        <w:rPr>
          <w:rFonts w:ascii="Times New Roman" w:hAnsi="Times New Roman" w:eastAsia="方正仿宋_GBK" w:cs="方正仿宋_GBK"/>
          <w:sz w:val="32"/>
          <w:szCs w:val="32"/>
        </w:rPr>
        <w:t>148.30</w:t>
      </w:r>
      <w:r>
        <w:rPr>
          <w:rFonts w:ascii="Times New Roman" w:hAnsi="Times New Roman" w:eastAsia="方正仿宋_GBK" w:cs="方正仿宋_GBK"/>
          <w:sz w:val="32"/>
          <w:szCs w:val="32"/>
          <w:shd w:val="clear" w:color="auto" w:fill="FFFFFF"/>
        </w:rPr>
        <w:t>万元，机关运行经费主要用于开支</w:t>
      </w:r>
      <w:r>
        <w:rPr>
          <w:rFonts w:ascii="Times New Roman" w:hAnsi="Times New Roman" w:eastAsia="方正仿宋_GBK" w:cs="Times New Roman"/>
          <w:sz w:val="32"/>
          <w:szCs w:val="32"/>
        </w:rPr>
        <w:t>办公费、水费、电费、物业管理费、咨询费、邮电费等费用。</w:t>
      </w:r>
      <w:r>
        <w:rPr>
          <w:rFonts w:ascii="Times New Roman" w:hAnsi="Times New Roman" w:eastAsia="方正仿宋_GBK" w:cs="方正仿宋_GBK"/>
          <w:sz w:val="32"/>
          <w:szCs w:val="32"/>
          <w:shd w:val="clear" w:color="auto" w:fill="FFFFFF"/>
        </w:rPr>
        <w:t>机关运行经费较上年支出数减少131.20万元，下降46.94%，主要原因是调整了差旅费用</w:t>
      </w:r>
      <w:r>
        <w:rPr>
          <w:rFonts w:hint="eastAsia" w:ascii="Times New Roman" w:hAnsi="Times New Roman" w:eastAsia="方正仿宋_GBK" w:cs="方正仿宋_GBK"/>
          <w:sz w:val="32"/>
          <w:szCs w:val="32"/>
          <w:shd w:val="clear" w:color="auto" w:fill="FFFFFF"/>
          <w:lang w:eastAsia="zh-CN"/>
        </w:rPr>
        <w:t>，并</w:t>
      </w:r>
      <w:r>
        <w:rPr>
          <w:rFonts w:ascii="Times New Roman" w:hAnsi="Times New Roman" w:eastAsia="方正仿宋_GBK" w:cs="方正仿宋_GBK"/>
          <w:sz w:val="32"/>
          <w:szCs w:val="32"/>
          <w:shd w:val="clear" w:color="auto" w:fill="FFFFFF"/>
        </w:rPr>
        <w:t>严格控制设备采购</w:t>
      </w:r>
      <w:r>
        <w:rPr>
          <w:rFonts w:hint="eastAsia" w:ascii="Times New Roman" w:hAnsi="Times New Roman" w:eastAsia="方正仿宋_GBK" w:cs="方正仿宋_GBK"/>
          <w:sz w:val="32"/>
          <w:szCs w:val="32"/>
          <w:shd w:val="clear" w:color="auto" w:fill="FFFFFF"/>
          <w:lang w:eastAsia="zh-CN"/>
        </w:rPr>
        <w:t>等支出</w:t>
      </w:r>
      <w:r>
        <w:rPr>
          <w:rFonts w:ascii="Times New Roman" w:hAnsi="Times New Roman" w:eastAsia="方正仿宋_GBK" w:cs="方正仿宋_GBK"/>
          <w:sz w:val="32"/>
          <w:szCs w:val="32"/>
          <w:shd w:val="clear" w:color="auto" w:fill="FFFFFF"/>
        </w:rPr>
        <w:t>。</w:t>
      </w:r>
    </w:p>
    <w:p w14:paraId="205F56E9">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（三）国有资产占用情况说明</w:t>
      </w:r>
    </w:p>
    <w:p w14:paraId="6402C69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截至2023年12月31日，本部门共有车辆</w:t>
      </w:r>
      <w:r>
        <w:rPr>
          <w:rFonts w:ascii="Times New Roman" w:hAnsi="Times New Roman" w:eastAsia="方正仿宋_GBK" w:cs="方正仿宋_GBK"/>
          <w:sz w:val="32"/>
          <w:szCs w:val="32"/>
        </w:rPr>
        <w:t>4</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4</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14:paraId="56D143CC">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0" w:firstLineChars="200"/>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（四）政府采购支出情况说明</w:t>
      </w:r>
    </w:p>
    <w:p w14:paraId="601E27C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color w:val="000000" w:themeColor="text1"/>
          <w:sz w:val="32"/>
          <w:szCs w:val="32"/>
          <w:shd w:val="clear" w:color="auto" w:fill="FFFFFF"/>
          <w:lang w:eastAsia="zh-CN"/>
        </w:rPr>
      </w:pPr>
      <w:r>
        <w:rPr>
          <w:rFonts w:ascii="Times New Roman" w:hAnsi="Times New Roman" w:eastAsia="方正仿宋_GBK" w:cs="方正仿宋_GBK"/>
          <w:sz w:val="32"/>
          <w:szCs w:val="32"/>
          <w:shd w:val="clear" w:color="auto" w:fill="FFFFFF"/>
        </w:rPr>
        <w:t>2023年度本部门政府采购支出总额</w:t>
      </w:r>
      <w:r>
        <w:rPr>
          <w:rFonts w:ascii="Times New Roman" w:hAnsi="Times New Roman" w:eastAsia="方正仿宋_GBK" w:cs="方正仿宋_GBK"/>
          <w:sz w:val="32"/>
          <w:szCs w:val="32"/>
        </w:rPr>
        <w:t>5870.68</w:t>
      </w:r>
      <w:r>
        <w:rPr>
          <w:rFonts w:ascii="Times New Roman" w:hAnsi="Times New Roman" w:eastAsia="方正仿宋_GBK" w:cs="方正仿宋_GBK"/>
          <w:sz w:val="32"/>
          <w:szCs w:val="32"/>
          <w:shd w:val="clear" w:color="auto" w:fill="FFFFFF"/>
        </w:rPr>
        <w:t>万元，其中：政府采购货物支出</w:t>
      </w:r>
      <w:r>
        <w:rPr>
          <w:rFonts w:ascii="Times New Roman" w:hAnsi="Times New Roman" w:eastAsia="方正仿宋_GBK" w:cs="方正仿宋_GBK"/>
          <w:sz w:val="32"/>
          <w:szCs w:val="32"/>
        </w:rPr>
        <w:t>104.74</w:t>
      </w:r>
      <w:r>
        <w:rPr>
          <w:rFonts w:ascii="Times New Roman" w:hAnsi="Times New Roman" w:eastAsia="方正仿宋_GBK" w:cs="方正仿宋_GBK"/>
          <w:sz w:val="32"/>
          <w:szCs w:val="32"/>
          <w:shd w:val="clear" w:color="auto" w:fill="FFFFFF"/>
        </w:rPr>
        <w:t>万元、政府采购工程支出</w:t>
      </w:r>
      <w:r>
        <w:rPr>
          <w:rFonts w:ascii="Times New Roman" w:hAnsi="Times New Roman" w:eastAsia="方正仿宋_GBK" w:cs="方正仿宋_GBK"/>
          <w:sz w:val="32"/>
          <w:szCs w:val="32"/>
        </w:rPr>
        <w:t>5062.13</w:t>
      </w:r>
      <w:r>
        <w:rPr>
          <w:rFonts w:ascii="Times New Roman" w:hAnsi="Times New Roman" w:eastAsia="方正仿宋_GBK" w:cs="方正仿宋_GBK"/>
          <w:sz w:val="32"/>
          <w:szCs w:val="32"/>
          <w:shd w:val="clear" w:color="auto" w:fill="FFFFFF"/>
        </w:rPr>
        <w:t>万元、政府采购服务支出</w:t>
      </w:r>
      <w:r>
        <w:rPr>
          <w:rFonts w:ascii="Times New Roman" w:hAnsi="Times New Roman" w:eastAsia="方正仿宋_GBK" w:cs="方正仿宋_GBK"/>
          <w:sz w:val="32"/>
          <w:szCs w:val="32"/>
        </w:rPr>
        <w:t>703.80</w:t>
      </w:r>
      <w:r>
        <w:rPr>
          <w:rFonts w:ascii="Times New Roman" w:hAnsi="Times New Roman" w:eastAsia="方正仿宋_GBK" w:cs="方正仿宋_GBK"/>
          <w:sz w:val="32"/>
          <w:szCs w:val="32"/>
          <w:shd w:val="clear" w:color="auto" w:fill="FFFFFF"/>
        </w:rPr>
        <w:t>万元。授予中小企业合同金额</w:t>
      </w:r>
      <w:r>
        <w:rPr>
          <w:rFonts w:ascii="Times New Roman" w:hAnsi="Times New Roman" w:eastAsia="方正仿宋_GBK" w:cs="方正仿宋_GBK"/>
          <w:sz w:val="32"/>
          <w:szCs w:val="32"/>
        </w:rPr>
        <w:t>1126.64万</w:t>
      </w:r>
      <w:r>
        <w:rPr>
          <w:rFonts w:ascii="Times New Roman" w:hAnsi="Times New Roman" w:eastAsia="方正仿宋_GBK" w:cs="方正仿宋_GBK"/>
          <w:sz w:val="32"/>
          <w:szCs w:val="32"/>
          <w:shd w:val="clear" w:color="auto" w:fill="FFFFFF"/>
        </w:rPr>
        <w:t>元，占政府采购支出总额的</w:t>
      </w:r>
      <w:r>
        <w:rPr>
          <w:rFonts w:ascii="Times New Roman" w:hAnsi="Times New Roman" w:eastAsia="方正仿宋_GBK" w:cs="方正仿宋_GBK"/>
          <w:sz w:val="32"/>
          <w:szCs w:val="32"/>
        </w:rPr>
        <w:t>19.19</w:t>
      </w:r>
      <w:r>
        <w:rPr>
          <w:rFonts w:ascii="Times New Roman" w:hAnsi="Times New Roman" w:eastAsia="方正仿宋_GBK" w:cs="方正仿宋_GBK"/>
          <w:sz w:val="32"/>
          <w:szCs w:val="32"/>
          <w:shd w:val="clear" w:color="auto" w:fill="FFFFFF"/>
        </w:rPr>
        <w:t>%，其中：授予小微企业合同金额</w:t>
      </w:r>
      <w:r>
        <w:rPr>
          <w:rFonts w:ascii="Times New Roman" w:hAnsi="Times New Roman" w:eastAsia="方正仿宋_GBK" w:cs="方正仿宋_GBK"/>
          <w:sz w:val="32"/>
          <w:szCs w:val="32"/>
        </w:rPr>
        <w:t>164.54</w:t>
      </w:r>
      <w:r>
        <w:rPr>
          <w:rFonts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rPr>
        <w:t>2.80</w:t>
      </w:r>
      <w:r>
        <w:rPr>
          <w:rFonts w:ascii="Times New Roman" w:hAnsi="Times New Roman" w:eastAsia="方正仿宋_GBK" w:cs="方正仿宋_GBK"/>
          <w:sz w:val="32"/>
          <w:szCs w:val="32"/>
          <w:shd w:val="clear" w:color="auto" w:fill="FFFFFF"/>
        </w:rPr>
        <w:t xml:space="preserve"> %。</w:t>
      </w:r>
      <w:r>
        <w:rPr>
          <w:rFonts w:ascii="Times New Roman" w:hAnsi="Times New Roman" w:eastAsia="方正仿宋_GBK" w:cs="方正仿宋_GBK"/>
          <w:color w:val="000000" w:themeColor="text1"/>
          <w:sz w:val="32"/>
          <w:szCs w:val="32"/>
          <w:shd w:val="clear" w:color="auto" w:fill="FFFFFF"/>
        </w:rPr>
        <w:t>主要用于采购</w:t>
      </w:r>
      <w:r>
        <w:rPr>
          <w:rFonts w:hint="eastAsia" w:ascii="Times New Roman" w:hAnsi="Times New Roman" w:eastAsia="方正仿宋_GBK" w:cs="方正仿宋_GBK"/>
          <w:color w:val="000000" w:themeColor="text1"/>
          <w:sz w:val="32"/>
          <w:szCs w:val="32"/>
          <w:shd w:val="clear" w:color="auto" w:fill="FFFFFF"/>
          <w:lang w:eastAsia="zh-CN"/>
        </w:rPr>
        <w:t>监测专用设备和项目采购服务等。</w:t>
      </w:r>
    </w:p>
    <w:p w14:paraId="405B67D2">
      <w:pPr>
        <w:pStyle w:val="6"/>
        <w:keepNext w:val="0"/>
        <w:keepLines w:val="0"/>
        <w:pageBreakBefore w:val="0"/>
        <w:widowControl/>
        <w:numPr>
          <w:ilvl w:val="0"/>
          <w:numId w:val="0"/>
        </w:numPr>
        <w:shd w:val="clear" w:color="auto" w:fill="FFFFFF"/>
        <w:kinsoku/>
        <w:wordWrap/>
        <w:overflowPunct/>
        <w:topLinePunct w:val="0"/>
        <w:autoSpaceDN/>
        <w:bidi w:val="0"/>
        <w:adjustRightInd/>
        <w:spacing w:before="0" w:beforeAutospacing="0" w:after="0" w:afterAutospacing="0" w:line="594" w:lineRule="exact"/>
        <w:textAlignment w:val="auto"/>
        <w:rPr>
          <w:rStyle w:val="10"/>
          <w:rFonts w:hint="eastAsia" w:ascii="Times New Roman" w:hAnsi="Times New Roman" w:eastAsia="方正黑体_GBK" w:cs="方正黑体_GBK"/>
          <w:b w:val="0"/>
          <w:bCs/>
          <w:sz w:val="32"/>
          <w:szCs w:val="32"/>
          <w:shd w:val="clear" w:color="auto" w:fill="FFFFFF"/>
        </w:rPr>
      </w:pPr>
      <w:r>
        <w:rPr>
          <w:rStyle w:val="10"/>
          <w:rFonts w:hint="eastAsia" w:ascii="Times New Roman" w:hAnsi="Times New Roman" w:eastAsia="方正黑体_GBK" w:cs="方正黑体_GBK"/>
          <w:b w:val="0"/>
          <w:bCs/>
          <w:sz w:val="32"/>
          <w:szCs w:val="32"/>
          <w:shd w:val="clear" w:color="auto" w:fill="FFFFFF"/>
          <w:lang w:val="en-US" w:eastAsia="zh-CN"/>
        </w:rPr>
        <w:t xml:space="preserve">   五、</w:t>
      </w:r>
      <w:r>
        <w:rPr>
          <w:rStyle w:val="10"/>
          <w:rFonts w:hint="eastAsia" w:ascii="Times New Roman" w:hAnsi="Times New Roman" w:eastAsia="方正黑体_GBK" w:cs="方正黑体_GBK"/>
          <w:b w:val="0"/>
          <w:bCs/>
          <w:sz w:val="32"/>
          <w:szCs w:val="32"/>
          <w:shd w:val="clear" w:color="auto" w:fill="FFFFFF"/>
        </w:rPr>
        <w:t>预算绩效管理情况说明</w:t>
      </w:r>
    </w:p>
    <w:p w14:paraId="2BECADBE">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（一）部门自评情况</w:t>
      </w:r>
    </w:p>
    <w:p w14:paraId="43D5EA94">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rPr>
        <w:t>根据预算绩效管理要求，我</w:t>
      </w:r>
      <w:r>
        <w:rPr>
          <w:rFonts w:hint="eastAsia" w:ascii="Times New Roman" w:hAnsi="Times New Roman" w:eastAsia="方正仿宋_GBK" w:cs="方正仿宋_GBK"/>
          <w:sz w:val="32"/>
          <w:szCs w:val="32"/>
          <w:shd w:val="clear" w:color="auto" w:fill="FFFFFF"/>
          <w:lang w:eastAsia="zh-CN"/>
        </w:rPr>
        <w:t>部门</w:t>
      </w:r>
      <w:r>
        <w:rPr>
          <w:rFonts w:hint="eastAsia" w:ascii="Times New Roman" w:hAnsi="Times New Roman" w:eastAsia="方正仿宋_GBK" w:cs="方正仿宋_GBK"/>
          <w:sz w:val="32"/>
          <w:szCs w:val="32"/>
          <w:shd w:val="clear" w:color="auto" w:fill="FFFFFF"/>
        </w:rPr>
        <w:t>对部门整体和</w:t>
      </w:r>
      <w:r>
        <w:rPr>
          <w:rFonts w:hint="eastAsia" w:ascii="Times New Roman" w:hAnsi="Times New Roman" w:eastAsia="方正仿宋_GBK" w:cs="方正仿宋_GBK"/>
          <w:sz w:val="32"/>
          <w:szCs w:val="32"/>
          <w:shd w:val="clear" w:color="auto" w:fill="FFFFFF"/>
          <w:lang w:val="en-US" w:eastAsia="zh-CN"/>
        </w:rPr>
        <w:t>33</w:t>
      </w:r>
      <w:r>
        <w:rPr>
          <w:rFonts w:hint="eastAsia" w:ascii="Times New Roman" w:hAnsi="Times New Roman" w:eastAsia="方正仿宋_GBK" w:cs="方正仿宋_GBK"/>
          <w:sz w:val="32"/>
          <w:szCs w:val="32"/>
          <w:shd w:val="clear" w:color="auto" w:fill="FFFFFF"/>
        </w:rPr>
        <w:t>个二级项目开展了绩效自评，涉及财政拨款项目</w:t>
      </w:r>
      <w:r>
        <w:rPr>
          <w:rFonts w:hint="eastAsia" w:ascii="Times New Roman" w:hAnsi="Times New Roman" w:eastAsia="方正仿宋_GBK" w:cs="方正仿宋_GBK"/>
          <w:sz w:val="32"/>
          <w:szCs w:val="32"/>
          <w:shd w:val="clear" w:color="auto" w:fill="FFFFFF"/>
          <w:lang w:eastAsia="zh-CN"/>
        </w:rPr>
        <w:t>支出</w:t>
      </w:r>
      <w:r>
        <w:rPr>
          <w:rFonts w:hint="eastAsia" w:ascii="Times New Roman" w:hAnsi="Times New Roman" w:eastAsia="方正仿宋_GBK" w:cs="方正仿宋_GBK"/>
          <w:sz w:val="32"/>
          <w:szCs w:val="32"/>
          <w:shd w:val="clear" w:color="auto" w:fill="FFFFFF"/>
        </w:rPr>
        <w:t>资金</w:t>
      </w:r>
      <w:r>
        <w:rPr>
          <w:rFonts w:hint="eastAsia" w:ascii="Times New Roman" w:hAnsi="Times New Roman" w:eastAsia="方正仿宋_GBK" w:cs="方正仿宋_GBK"/>
          <w:sz w:val="32"/>
          <w:szCs w:val="32"/>
          <w:shd w:val="clear" w:color="auto" w:fill="FFFFFF"/>
          <w:lang w:val="en-US" w:eastAsia="zh-CN"/>
        </w:rPr>
        <w:t>2670.77</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eastAsia="zh-CN"/>
        </w:rPr>
        <w:t>。</w:t>
      </w:r>
    </w:p>
    <w:p w14:paraId="0833EC03">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2800" w:firstLineChars="1000"/>
        <w:textAlignment w:val="auto"/>
        <w:rPr>
          <w:rFonts w:hint="eastAsia" w:ascii="Times New Roman" w:hAnsi="Times New Roman" w:eastAsia="方正楷体_GBK" w:cs="方正楷体_GBK"/>
          <w:sz w:val="28"/>
          <w:szCs w:val="28"/>
          <w:shd w:val="clear" w:color="auto" w:fill="FFFFFF"/>
        </w:rPr>
      </w:pPr>
      <w:r>
        <w:rPr>
          <w:rFonts w:hint="eastAsia" w:ascii="Times New Roman" w:hAnsi="Times New Roman" w:eastAsia="方正楷体_GBK" w:cs="方正楷体_GBK"/>
          <w:sz w:val="28"/>
          <w:szCs w:val="28"/>
          <w:shd w:val="clear" w:color="auto" w:fill="FFFFFF"/>
        </w:rPr>
        <w:t>部门整体绩效自评表</w:t>
      </w:r>
    </w:p>
    <w:tbl>
      <w:tblPr>
        <w:tblStyle w:val="7"/>
        <w:tblW w:w="9110"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620"/>
        <w:gridCol w:w="795"/>
        <w:gridCol w:w="795"/>
        <w:gridCol w:w="829"/>
        <w:gridCol w:w="1134"/>
        <w:gridCol w:w="851"/>
        <w:gridCol w:w="850"/>
        <w:gridCol w:w="567"/>
        <w:gridCol w:w="784"/>
      </w:tblGrid>
      <w:tr w14:paraId="7B11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51F48958">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b/>
                <w:sz w:val="24"/>
                <w:szCs w:val="24"/>
              </w:rPr>
            </w:pPr>
            <w:r>
              <w:rPr>
                <w:rFonts w:hint="eastAsia" w:ascii="Times New Roman" w:hAnsi="Times New Roman"/>
                <w:b/>
                <w:sz w:val="24"/>
                <w:szCs w:val="24"/>
              </w:rPr>
              <w:t>项目名称</w:t>
            </w: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top"/>
          </w:tcPr>
          <w:p w14:paraId="0575D14A">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b/>
                <w:sz w:val="24"/>
                <w:szCs w:val="24"/>
              </w:rPr>
            </w:pPr>
            <w:r>
              <w:rPr>
                <w:rFonts w:hint="eastAsia" w:ascii="Times New Roman" w:hAnsi="Times New Roman"/>
                <w:b/>
                <w:sz w:val="24"/>
                <w:szCs w:val="24"/>
              </w:rPr>
              <w:t>指标</w:t>
            </w:r>
          </w:p>
          <w:p w14:paraId="5124BD2E">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b/>
                <w:sz w:val="24"/>
                <w:szCs w:val="24"/>
              </w:rPr>
            </w:pPr>
            <w:r>
              <w:rPr>
                <w:rFonts w:hint="eastAsia" w:ascii="Times New Roman" w:hAnsi="Times New Roman"/>
                <w:b/>
                <w:sz w:val="24"/>
                <w:szCs w:val="24"/>
              </w:rPr>
              <w:t>名称</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4241A64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b/>
                <w:sz w:val="24"/>
                <w:szCs w:val="24"/>
              </w:rPr>
            </w:pPr>
            <w:r>
              <w:rPr>
                <w:rFonts w:hint="eastAsia" w:ascii="Times New Roman" w:hAnsi="Times New Roman"/>
                <w:b/>
                <w:sz w:val="24"/>
                <w:szCs w:val="24"/>
              </w:rPr>
              <w:t>计量单位</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top"/>
          </w:tcPr>
          <w:p w14:paraId="6E309ECB">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b/>
                <w:sz w:val="24"/>
                <w:szCs w:val="24"/>
              </w:rPr>
            </w:pPr>
            <w:r>
              <w:rPr>
                <w:rFonts w:hint="eastAsia" w:ascii="Times New Roman" w:hAnsi="Times New Roman"/>
                <w:b/>
                <w:sz w:val="24"/>
                <w:szCs w:val="24"/>
              </w:rPr>
              <w:t>指标性质</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top"/>
          </w:tcPr>
          <w:p w14:paraId="1D920D8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b/>
                <w:sz w:val="24"/>
                <w:szCs w:val="24"/>
              </w:rPr>
            </w:pPr>
            <w:r>
              <w:rPr>
                <w:rFonts w:hint="eastAsia" w:ascii="Times New Roman" w:hAnsi="Times New Roman"/>
                <w:b/>
                <w:sz w:val="24"/>
                <w:szCs w:val="24"/>
              </w:rPr>
              <w:t>指标</w:t>
            </w:r>
          </w:p>
          <w:p w14:paraId="74AD3A1F">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b/>
                <w:sz w:val="24"/>
                <w:szCs w:val="24"/>
              </w:rPr>
            </w:pPr>
            <w:r>
              <w:rPr>
                <w:rFonts w:hint="eastAsia" w:ascii="Times New Roman" w:hAnsi="Times New Roman"/>
                <w:b/>
                <w:sz w:val="24"/>
                <w:szCs w:val="24"/>
              </w:rPr>
              <w:t>值</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50DC808C">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b/>
                <w:sz w:val="24"/>
                <w:szCs w:val="24"/>
              </w:rPr>
            </w:pPr>
            <w:r>
              <w:rPr>
                <w:rFonts w:hint="eastAsia" w:ascii="Times New Roman" w:hAnsi="Times New Roman"/>
                <w:b/>
                <w:sz w:val="24"/>
                <w:szCs w:val="24"/>
              </w:rPr>
              <w:t>全面完成值</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57E83523">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b/>
                <w:sz w:val="24"/>
                <w:szCs w:val="24"/>
              </w:rPr>
            </w:pPr>
            <w:r>
              <w:rPr>
                <w:rFonts w:hint="eastAsia" w:ascii="Times New Roman" w:hAnsi="Times New Roman"/>
                <w:b/>
                <w:sz w:val="24"/>
                <w:szCs w:val="24"/>
              </w:rPr>
              <w:t>指标权重</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14:paraId="025C5338">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b/>
                <w:sz w:val="24"/>
                <w:szCs w:val="24"/>
              </w:rPr>
            </w:pPr>
            <w:r>
              <w:rPr>
                <w:rFonts w:hint="eastAsia" w:ascii="Times New Roman" w:hAnsi="Times New Roman"/>
                <w:b/>
                <w:sz w:val="24"/>
                <w:szCs w:val="24"/>
              </w:rPr>
              <w:t>指标得分</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49039483">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b/>
                <w:sz w:val="24"/>
                <w:szCs w:val="24"/>
              </w:rPr>
            </w:pPr>
            <w:r>
              <w:rPr>
                <w:rFonts w:hint="eastAsia" w:ascii="Times New Roman" w:hAnsi="Times New Roman"/>
                <w:b/>
                <w:sz w:val="24"/>
                <w:szCs w:val="24"/>
              </w:rPr>
              <w:t>说明</w:t>
            </w:r>
          </w:p>
        </w:tc>
        <w:tc>
          <w:tcPr>
            <w:tcW w:w="784" w:type="dxa"/>
            <w:tcBorders>
              <w:top w:val="single" w:color="auto" w:sz="4" w:space="0"/>
              <w:left w:val="single" w:color="auto" w:sz="4" w:space="0"/>
              <w:bottom w:val="single" w:color="auto" w:sz="4" w:space="0"/>
              <w:right w:val="single" w:color="auto" w:sz="4" w:space="0"/>
              <w:tl2br w:val="nil"/>
              <w:tr2bl w:val="nil"/>
            </w:tcBorders>
            <w:noWrap w:val="0"/>
            <w:vAlign w:val="top"/>
          </w:tcPr>
          <w:p w14:paraId="7370F0DF">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b/>
                <w:sz w:val="24"/>
                <w:szCs w:val="24"/>
              </w:rPr>
            </w:pPr>
            <w:r>
              <w:rPr>
                <w:rFonts w:hint="eastAsia" w:ascii="Times New Roman" w:hAnsi="Times New Roman"/>
                <w:b/>
                <w:sz w:val="24"/>
                <w:szCs w:val="24"/>
              </w:rPr>
              <w:t>自评得分</w:t>
            </w:r>
          </w:p>
        </w:tc>
      </w:tr>
      <w:tr w14:paraId="1A3E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149414F">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石柱土家族自治县生态环境局整体自评</w:t>
            </w: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4FB8C8">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空气优良</w:t>
            </w:r>
          </w:p>
          <w:p w14:paraId="544386E6">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天数</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811DA3">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天</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37F004">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3151BE">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350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2ED4B">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350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37DB30">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20</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44D3CA">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20</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D6AA62">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7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3C7830C">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100</w:t>
            </w:r>
          </w:p>
        </w:tc>
      </w:tr>
      <w:tr w14:paraId="726E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A720B6">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704F45">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受污染耕地</w:t>
            </w:r>
          </w:p>
          <w:p w14:paraId="4CF8C10A">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安全利用率</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7F16FB">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7D8318">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46FAD2">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95</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4305A">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95</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5B4AF">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10</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F228DC">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10</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55D073">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78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2F2D560">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r>
      <w:tr w14:paraId="409A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DB36F9B">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309BBB">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出境断面</w:t>
            </w:r>
          </w:p>
          <w:p w14:paraId="41311E42">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水质</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DE32B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80C807">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定性</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31BCB9">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优</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7BB4D4">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全部</w:t>
            </w:r>
          </w:p>
          <w:p w14:paraId="1151B75F">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完成</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6A5393">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20</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345F6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20</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6135A4">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78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34FD3BD">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r>
      <w:tr w14:paraId="26C2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BC766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7E0303">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完成时限</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105E6A">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年</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B62BC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0FD505">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1</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622FCA">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1</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C3837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10</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DE1455">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10</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9510C7">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78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B5D7A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r>
      <w:tr w14:paraId="3E29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608976">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DB230E">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完成考核</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5C67C">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0F167B">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定性</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FCF3B3">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优</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240793">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全部</w:t>
            </w:r>
          </w:p>
          <w:p w14:paraId="427293D3">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完成</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15DEBD">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20</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2B0C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20</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EFCEB">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78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D475EB5">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r>
      <w:tr w14:paraId="4FE7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339C1A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AE5269">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资金使用</w:t>
            </w:r>
          </w:p>
          <w:p w14:paraId="7D7D5A85">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成本</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81537C">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万元</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D4307C">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868289">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1830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BB12C4">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1059.8</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CF49B5">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10</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A7B096">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10</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F84AC8">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78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4CE30CE">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r>
      <w:tr w14:paraId="6267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662E7F">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804907">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群众</w:t>
            </w:r>
          </w:p>
          <w:p w14:paraId="19ED8BA3">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满意度</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0B0F2C">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w:t>
            </w:r>
          </w:p>
        </w:tc>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B03ED3">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w:t>
            </w:r>
          </w:p>
        </w:tc>
        <w:tc>
          <w:tcPr>
            <w:tcW w:w="8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690E79">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90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4F3F0C">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90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18428">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10</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F35EE4">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10</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C660E">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78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8592BD2">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r>
    </w:tbl>
    <w:p w14:paraId="6D8A954A">
      <w:pPr>
        <w:pStyle w:val="12"/>
        <w:keepNext w:val="0"/>
        <w:keepLines w:val="0"/>
        <w:pageBreakBefore w:val="0"/>
        <w:widowControl/>
        <w:kinsoku/>
        <w:wordWrap/>
        <w:overflowPunct/>
        <w:topLinePunct w:val="0"/>
        <w:autoSpaceDN/>
        <w:bidi w:val="0"/>
        <w:adjustRightInd/>
        <w:snapToGrid/>
        <w:spacing w:before="0" w:beforeAutospacing="0" w:after="0" w:afterAutospacing="0" w:line="594" w:lineRule="exact"/>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sz w:val="32"/>
          <w:szCs w:val="32"/>
          <w:shd w:val="clear" w:color="auto" w:fill="FFFFFF"/>
          <w:lang w:val="en-US" w:eastAsia="zh-CN"/>
        </w:rPr>
        <w:t xml:space="preserve">            </w:t>
      </w:r>
    </w:p>
    <w:p w14:paraId="1EFB8D23">
      <w:pPr>
        <w:pStyle w:val="12"/>
        <w:keepNext w:val="0"/>
        <w:keepLines w:val="0"/>
        <w:pageBreakBefore w:val="0"/>
        <w:widowControl/>
        <w:kinsoku/>
        <w:wordWrap/>
        <w:overflowPunct/>
        <w:topLinePunct w:val="0"/>
        <w:autoSpaceDN/>
        <w:bidi w:val="0"/>
        <w:adjustRightInd/>
        <w:spacing w:before="0" w:beforeAutospacing="0" w:after="0" w:afterAutospacing="0" w:line="594" w:lineRule="exact"/>
        <w:textAlignment w:val="auto"/>
        <w:rPr>
          <w:rFonts w:hint="eastAsia" w:ascii="Times New Roman" w:hAnsi="Times New Roman" w:eastAsia="方正仿宋_GBK" w:cs="方正仿宋_GBK"/>
          <w:sz w:val="32"/>
          <w:szCs w:val="32"/>
          <w:shd w:val="clear" w:color="auto" w:fill="FFFFFF"/>
          <w:lang w:val="en-US" w:eastAsia="zh-CN"/>
        </w:rPr>
      </w:pPr>
    </w:p>
    <w:p w14:paraId="3C197664">
      <w:pPr>
        <w:pStyle w:val="12"/>
        <w:keepNext w:val="0"/>
        <w:keepLines w:val="0"/>
        <w:pageBreakBefore w:val="0"/>
        <w:widowControl/>
        <w:kinsoku/>
        <w:wordWrap/>
        <w:overflowPunct/>
        <w:topLinePunct w:val="0"/>
        <w:autoSpaceDN/>
        <w:bidi w:val="0"/>
        <w:adjustRightInd/>
        <w:spacing w:before="0" w:beforeAutospacing="0" w:after="0" w:afterAutospacing="0" w:line="594" w:lineRule="exact"/>
        <w:textAlignment w:val="auto"/>
        <w:rPr>
          <w:rFonts w:hint="eastAsia" w:ascii="Times New Roman" w:hAnsi="Times New Roman" w:eastAsia="方正仿宋_GBK" w:cs="方正仿宋_GBK"/>
          <w:sz w:val="32"/>
          <w:szCs w:val="32"/>
          <w:shd w:val="clear" w:color="auto" w:fill="FFFFFF"/>
          <w:lang w:val="en-US" w:eastAsia="zh-CN"/>
        </w:rPr>
      </w:pPr>
    </w:p>
    <w:p w14:paraId="5354BD01">
      <w:pPr>
        <w:pStyle w:val="12"/>
        <w:keepNext w:val="0"/>
        <w:keepLines w:val="0"/>
        <w:pageBreakBefore w:val="0"/>
        <w:widowControl/>
        <w:kinsoku/>
        <w:wordWrap/>
        <w:overflowPunct/>
        <w:topLinePunct w:val="0"/>
        <w:autoSpaceDN/>
        <w:bidi w:val="0"/>
        <w:adjustRightInd/>
        <w:spacing w:before="0" w:beforeAutospacing="0" w:after="0" w:afterAutospacing="0" w:line="594" w:lineRule="exact"/>
        <w:textAlignment w:val="auto"/>
        <w:rPr>
          <w:rFonts w:hint="eastAsia" w:ascii="Times New Roman" w:hAnsi="Times New Roman" w:eastAsia="方正仿宋_GBK" w:cs="方正仿宋_GBK"/>
          <w:sz w:val="32"/>
          <w:szCs w:val="32"/>
          <w:shd w:val="clear" w:color="auto" w:fill="FFFFFF"/>
          <w:lang w:val="en-US" w:eastAsia="zh-CN"/>
        </w:rPr>
      </w:pPr>
    </w:p>
    <w:p w14:paraId="3D010259">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1960" w:firstLineChars="700"/>
        <w:textAlignment w:val="auto"/>
        <w:rPr>
          <w:rFonts w:hint="eastAsia" w:ascii="Times New Roman" w:hAnsi="Times New Roman" w:eastAsia="方正仿宋_GBK" w:cs="方正仿宋_GBK"/>
          <w:sz w:val="28"/>
          <w:szCs w:val="28"/>
          <w:shd w:val="clear" w:color="auto" w:fill="FFFFFF"/>
        </w:rPr>
      </w:pPr>
    </w:p>
    <w:p w14:paraId="684EA65A">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1960" w:firstLineChars="700"/>
        <w:textAlignment w:val="auto"/>
        <w:rPr>
          <w:rFonts w:hint="eastAsia" w:ascii="Times New Roman" w:hAnsi="Times New Roman" w:eastAsia="方正楷体_GBK" w:cs="方正楷体_GBK"/>
          <w:sz w:val="28"/>
          <w:szCs w:val="28"/>
          <w:shd w:val="clear" w:color="auto" w:fill="FFFFFF"/>
        </w:rPr>
      </w:pPr>
    </w:p>
    <w:p w14:paraId="22199BF0">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1960" w:firstLineChars="700"/>
        <w:textAlignment w:val="auto"/>
        <w:rPr>
          <w:rFonts w:hint="eastAsia" w:ascii="Times New Roman" w:hAnsi="Times New Roman" w:eastAsia="方正楷体_GBK" w:cs="方正楷体_GBK"/>
          <w:sz w:val="28"/>
          <w:szCs w:val="28"/>
          <w:shd w:val="clear" w:color="auto" w:fill="FFFFFF"/>
        </w:rPr>
      </w:pPr>
    </w:p>
    <w:p w14:paraId="65D06B92">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1960" w:firstLineChars="700"/>
        <w:textAlignment w:val="auto"/>
        <w:rPr>
          <w:rFonts w:hint="eastAsia" w:ascii="Times New Roman" w:hAnsi="Times New Roman" w:eastAsia="方正楷体_GBK" w:cs="方正楷体_GBK"/>
          <w:sz w:val="28"/>
          <w:szCs w:val="28"/>
          <w:shd w:val="clear" w:color="auto" w:fill="FFFFFF"/>
        </w:rPr>
      </w:pPr>
    </w:p>
    <w:p w14:paraId="63C37079">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1960" w:firstLineChars="700"/>
        <w:textAlignment w:val="auto"/>
        <w:rPr>
          <w:rFonts w:hint="eastAsia" w:ascii="Times New Roman" w:hAnsi="Times New Roman" w:eastAsia="方正楷体_GBK" w:cs="方正楷体_GBK"/>
          <w:sz w:val="28"/>
          <w:szCs w:val="28"/>
          <w:shd w:val="clear" w:color="auto" w:fill="FFFFFF"/>
        </w:rPr>
      </w:pPr>
    </w:p>
    <w:p w14:paraId="64E00FAE">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1960" w:firstLineChars="700"/>
        <w:textAlignment w:val="auto"/>
        <w:rPr>
          <w:rFonts w:hint="eastAsia" w:ascii="Times New Roman" w:hAnsi="Times New Roman" w:eastAsia="方正楷体_GBK" w:cs="方正楷体_GBK"/>
          <w:color w:val="FF0000"/>
          <w:sz w:val="28"/>
          <w:szCs w:val="28"/>
          <w:shd w:val="clear" w:color="auto" w:fill="FFFFFF"/>
        </w:rPr>
      </w:pPr>
      <w:r>
        <w:rPr>
          <w:rFonts w:hint="eastAsia" w:ascii="Times New Roman" w:hAnsi="Times New Roman" w:eastAsia="方正楷体_GBK" w:cs="方正楷体_GBK"/>
          <w:sz w:val="28"/>
          <w:szCs w:val="28"/>
          <w:shd w:val="clear" w:color="auto" w:fill="FFFFFF"/>
        </w:rPr>
        <w:t>项目支出绩效自评</w:t>
      </w:r>
      <w:r>
        <w:rPr>
          <w:rFonts w:hint="eastAsia" w:ascii="Times New Roman" w:hAnsi="Times New Roman" w:eastAsia="方正楷体_GBK" w:cs="方正楷体_GBK"/>
          <w:color w:val="auto"/>
          <w:sz w:val="28"/>
          <w:szCs w:val="28"/>
          <w:shd w:val="clear" w:color="auto" w:fill="FFFFFF"/>
        </w:rPr>
        <w:t>表（</w:t>
      </w:r>
      <w:r>
        <w:rPr>
          <w:rFonts w:hint="eastAsia" w:ascii="Times New Roman" w:hAnsi="Times New Roman" w:eastAsia="方正楷体_GBK" w:cs="方正楷体_GBK"/>
          <w:color w:val="auto"/>
          <w:sz w:val="28"/>
          <w:szCs w:val="28"/>
          <w:shd w:val="clear" w:color="auto" w:fill="FFFFFF"/>
          <w:lang w:eastAsia="zh-CN"/>
        </w:rPr>
        <w:t>二</w:t>
      </w:r>
      <w:r>
        <w:rPr>
          <w:rFonts w:hint="eastAsia" w:ascii="Times New Roman" w:hAnsi="Times New Roman" w:eastAsia="方正楷体_GBK" w:cs="方正楷体_GBK"/>
          <w:color w:val="auto"/>
          <w:sz w:val="28"/>
          <w:szCs w:val="28"/>
          <w:shd w:val="clear" w:color="auto" w:fill="FFFFFF"/>
        </w:rPr>
        <w:t>级项目）</w:t>
      </w:r>
    </w:p>
    <w:tbl>
      <w:tblPr>
        <w:tblStyle w:val="7"/>
        <w:tblW w:w="88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31"/>
        <w:gridCol w:w="855"/>
        <w:gridCol w:w="840"/>
        <w:gridCol w:w="845"/>
        <w:gridCol w:w="1133"/>
        <w:gridCol w:w="851"/>
        <w:gridCol w:w="850"/>
        <w:gridCol w:w="521"/>
        <w:gridCol w:w="830"/>
      </w:tblGrid>
      <w:tr w14:paraId="2557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14:paraId="0E6D4084">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b/>
                <w:sz w:val="24"/>
                <w:szCs w:val="24"/>
              </w:rPr>
            </w:pPr>
            <w:r>
              <w:rPr>
                <w:rFonts w:hint="eastAsia" w:ascii="Times New Roman" w:hAnsi="Times New Roman" w:eastAsia="方正仿宋_GBK"/>
                <w:b/>
                <w:sz w:val="24"/>
                <w:szCs w:val="24"/>
              </w:rPr>
              <w:t>项目名称</w:t>
            </w: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top"/>
          </w:tcPr>
          <w:p w14:paraId="1DEBE884">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b/>
                <w:sz w:val="24"/>
                <w:szCs w:val="24"/>
              </w:rPr>
            </w:pPr>
            <w:r>
              <w:rPr>
                <w:rFonts w:hint="eastAsia" w:ascii="Times New Roman" w:hAnsi="Times New Roman" w:eastAsia="方正仿宋_GBK"/>
                <w:b/>
                <w:sz w:val="24"/>
                <w:szCs w:val="24"/>
              </w:rPr>
              <w:t>指标</w:t>
            </w:r>
          </w:p>
          <w:p w14:paraId="563A5ABA">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b/>
                <w:sz w:val="24"/>
                <w:szCs w:val="24"/>
              </w:rPr>
            </w:pPr>
            <w:r>
              <w:rPr>
                <w:rFonts w:hint="eastAsia" w:ascii="Times New Roman" w:hAnsi="Times New Roman" w:eastAsia="方正仿宋_GBK"/>
                <w:b/>
                <w:sz w:val="24"/>
                <w:szCs w:val="24"/>
              </w:rPr>
              <w:t>名称</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top"/>
          </w:tcPr>
          <w:p w14:paraId="4258C95D">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b/>
                <w:sz w:val="24"/>
                <w:szCs w:val="24"/>
              </w:rPr>
            </w:pPr>
            <w:r>
              <w:rPr>
                <w:rFonts w:hint="eastAsia" w:ascii="Times New Roman" w:hAnsi="Times New Roman" w:eastAsia="方正仿宋_GBK"/>
                <w:b/>
                <w:sz w:val="24"/>
                <w:szCs w:val="24"/>
              </w:rPr>
              <w:t>计量</w:t>
            </w:r>
          </w:p>
          <w:p w14:paraId="12A48B0F">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b/>
                <w:sz w:val="24"/>
                <w:szCs w:val="24"/>
              </w:rPr>
            </w:pPr>
            <w:r>
              <w:rPr>
                <w:rFonts w:hint="eastAsia" w:ascii="Times New Roman" w:hAnsi="Times New Roman" w:eastAsia="方正仿宋_GBK"/>
                <w:b/>
                <w:sz w:val="24"/>
                <w:szCs w:val="24"/>
              </w:rPr>
              <w:t>单位</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top"/>
          </w:tcPr>
          <w:p w14:paraId="5C1CEB58">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b/>
                <w:sz w:val="24"/>
                <w:szCs w:val="24"/>
              </w:rPr>
            </w:pPr>
            <w:r>
              <w:rPr>
                <w:rFonts w:hint="eastAsia" w:ascii="Times New Roman" w:hAnsi="Times New Roman" w:eastAsia="方正仿宋_GBK"/>
                <w:b/>
                <w:sz w:val="24"/>
                <w:szCs w:val="24"/>
              </w:rPr>
              <w:t>指标性质</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top"/>
          </w:tcPr>
          <w:p w14:paraId="19C32156">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b/>
                <w:sz w:val="24"/>
                <w:szCs w:val="24"/>
              </w:rPr>
            </w:pPr>
            <w:r>
              <w:rPr>
                <w:rFonts w:hint="eastAsia" w:ascii="Times New Roman" w:hAnsi="Times New Roman" w:eastAsia="方正仿宋_GBK"/>
                <w:b/>
                <w:sz w:val="24"/>
                <w:szCs w:val="24"/>
              </w:rPr>
              <w:t>指标值</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14:paraId="0EBB5240">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b/>
                <w:sz w:val="24"/>
                <w:szCs w:val="24"/>
              </w:rPr>
            </w:pPr>
            <w:r>
              <w:rPr>
                <w:rFonts w:hint="eastAsia" w:ascii="Times New Roman" w:hAnsi="Times New Roman" w:eastAsia="方正仿宋_GBK"/>
                <w:b/>
                <w:sz w:val="24"/>
                <w:szCs w:val="24"/>
              </w:rPr>
              <w:t>全面完成值</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0BAF3EC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b/>
                <w:sz w:val="24"/>
                <w:szCs w:val="24"/>
              </w:rPr>
            </w:pPr>
            <w:r>
              <w:rPr>
                <w:rFonts w:hint="eastAsia" w:ascii="Times New Roman" w:hAnsi="Times New Roman" w:eastAsia="方正仿宋_GBK"/>
                <w:b/>
                <w:sz w:val="24"/>
                <w:szCs w:val="24"/>
              </w:rPr>
              <w:t>指标权重</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14:paraId="60BBBCDB">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b/>
                <w:sz w:val="24"/>
                <w:szCs w:val="24"/>
              </w:rPr>
            </w:pPr>
            <w:r>
              <w:rPr>
                <w:rFonts w:hint="eastAsia" w:ascii="Times New Roman" w:hAnsi="Times New Roman" w:eastAsia="方正仿宋_GBK"/>
                <w:b/>
                <w:sz w:val="24"/>
                <w:szCs w:val="24"/>
              </w:rPr>
              <w:t>指标得分</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14:paraId="6A1D7FBD">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b/>
                <w:sz w:val="24"/>
                <w:szCs w:val="24"/>
              </w:rPr>
            </w:pPr>
            <w:r>
              <w:rPr>
                <w:rFonts w:hint="eastAsia" w:ascii="Times New Roman" w:hAnsi="Times New Roman" w:eastAsia="方正仿宋_GBK"/>
                <w:b/>
                <w:sz w:val="24"/>
                <w:szCs w:val="24"/>
              </w:rPr>
              <w:t>说明</w:t>
            </w:r>
          </w:p>
        </w:tc>
        <w:tc>
          <w:tcPr>
            <w:tcW w:w="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CBE17B3">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b/>
                <w:sz w:val="24"/>
                <w:szCs w:val="24"/>
              </w:rPr>
            </w:pPr>
            <w:r>
              <w:rPr>
                <w:rFonts w:hint="eastAsia" w:ascii="Times New Roman" w:hAnsi="Times New Roman" w:eastAsia="方正仿宋_GBK"/>
                <w:b/>
                <w:sz w:val="24"/>
                <w:szCs w:val="24"/>
              </w:rPr>
              <w:t>自评得分</w:t>
            </w:r>
          </w:p>
        </w:tc>
      </w:tr>
      <w:tr w14:paraId="0A5E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2805569">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农林水基础设施建设项目（藤子沟水库综合治理）</w:t>
            </w: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87FD32">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污染治理</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869E63">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亩</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787882">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B8C79">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700</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A43B5B">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232</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49D41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20</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3DC4FD">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20</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D459C5">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分期</w:t>
            </w:r>
          </w:p>
        </w:tc>
        <w:tc>
          <w:tcPr>
            <w:tcW w:w="83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3B03198">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sz w:val="24"/>
                <w:szCs w:val="24"/>
              </w:rPr>
            </w:pPr>
            <w:r>
              <w:rPr>
                <w:rFonts w:hint="default" w:ascii="Times New Roman" w:hAnsi="Times New Roman" w:eastAsia="方正仿宋_GBK"/>
                <w:sz w:val="24"/>
                <w:szCs w:val="24"/>
              </w:rPr>
              <w:t>100</w:t>
            </w:r>
          </w:p>
        </w:tc>
      </w:tr>
      <w:tr w14:paraId="24EA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0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249EAE">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1517CF">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验收合格率</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6489AA">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9E34E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A2210">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100</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291494">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100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06B2B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20</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BB856D">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20</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08ABE8">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83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C905842">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sz w:val="24"/>
                <w:szCs w:val="24"/>
              </w:rPr>
            </w:pPr>
          </w:p>
        </w:tc>
      </w:tr>
      <w:tr w14:paraId="1C8E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37A8127">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CC5CD0">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完成时限</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51BECB">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eastAsia" w:ascii="Times New Roman" w:hAnsi="Times New Roman" w:eastAsia="方正仿宋_GBK"/>
                <w:sz w:val="24"/>
                <w:szCs w:val="24"/>
              </w:rPr>
              <w:t>年</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5EF767">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948992">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eastAsia"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1</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E6C82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val="en-US" w:eastAsia="zh-CN"/>
              </w:rPr>
              <w:t>1</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735E7">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10</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96355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10</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ED947">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83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0A2ABB5">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sz w:val="24"/>
                <w:szCs w:val="24"/>
              </w:rPr>
            </w:pPr>
          </w:p>
        </w:tc>
      </w:tr>
      <w:tr w14:paraId="28BA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0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6F221D">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754B55">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生态环境质量</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F8CDBA">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A9FEB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定性</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72A7E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明显提升</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C9329F">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生态环境质量提升</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8C0F72">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20</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3036F3">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20</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F51418">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83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18C0A68">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sz w:val="24"/>
                <w:szCs w:val="24"/>
              </w:rPr>
            </w:pPr>
          </w:p>
        </w:tc>
      </w:tr>
      <w:tr w14:paraId="389F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0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1589A5">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8BB87B">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群众满意度</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01C6C3">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19D910">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331ECB">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90</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DB849C">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90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1787B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10</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932386">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10</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E9A108">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83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87E9B4B">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sz w:val="24"/>
                <w:szCs w:val="24"/>
              </w:rPr>
            </w:pPr>
          </w:p>
        </w:tc>
      </w:tr>
      <w:tr w14:paraId="09B6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88ACE8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14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D52C22">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整治成本</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90F275">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eastAsia" w:ascii="Times New Roman" w:hAnsi="Times New Roman" w:eastAsia="方正仿宋_GBK"/>
                <w:sz w:val="24"/>
                <w:szCs w:val="24"/>
                <w:lang w:eastAsia="zh-CN"/>
              </w:rPr>
            </w:pPr>
            <w:r>
              <w:rPr>
                <w:rFonts w:hint="eastAsia" w:ascii="Times New Roman" w:hAnsi="Times New Roman" w:eastAsia="方正仿宋_GBK"/>
                <w:sz w:val="24"/>
                <w:szCs w:val="24"/>
                <w:lang w:eastAsia="zh-CN"/>
              </w:rPr>
              <w:t>万元</w:t>
            </w:r>
          </w:p>
        </w:tc>
        <w:tc>
          <w:tcPr>
            <w:tcW w:w="8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7CBF3F">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r>
              <w:rPr>
                <w:rFonts w:hint="default" w:ascii="Times New Roman" w:hAnsi="Times New Roman" w:eastAsia="方正仿宋_GBK"/>
                <w:sz w:val="24"/>
                <w:szCs w:val="24"/>
              </w:rPr>
              <w:t>≤</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F6941D">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686</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C78613">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686</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134ABD">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10</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20BD3E">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lang w:val="en-US" w:eastAsia="zh-CN"/>
              </w:rPr>
            </w:pPr>
            <w:r>
              <w:rPr>
                <w:rFonts w:hint="eastAsia" w:ascii="Times New Roman" w:hAnsi="Times New Roman" w:eastAsia="方正仿宋_GBK"/>
                <w:sz w:val="24"/>
                <w:szCs w:val="24"/>
                <w:lang w:val="en-US" w:eastAsia="zh-CN"/>
              </w:rPr>
              <w:t>10</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95C48">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eastAsia="方正仿宋_GBK"/>
                <w:sz w:val="24"/>
                <w:szCs w:val="24"/>
              </w:rPr>
            </w:pPr>
          </w:p>
        </w:tc>
        <w:tc>
          <w:tcPr>
            <w:tcW w:w="83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732ED1">
            <w:pPr>
              <w:keepNext/>
              <w:keepLines/>
              <w:pageBreakBefore w:val="0"/>
              <w:widowControl/>
              <w:suppressLineNumbers/>
              <w:kinsoku/>
              <w:wordWrap/>
              <w:overflowPunct/>
              <w:topLinePunct w:val="0"/>
              <w:autoSpaceDE w:val="0"/>
              <w:autoSpaceDN w:val="0"/>
              <w:bidi w:val="0"/>
              <w:adjustRightInd w:val="0"/>
              <w:snapToGrid/>
              <w:spacing w:afterAutospacing="0" w:line="400" w:lineRule="exact"/>
              <w:jc w:val="center"/>
              <w:textAlignment w:val="auto"/>
              <w:rPr>
                <w:rFonts w:hint="default" w:ascii="Times New Roman" w:hAnsi="Times New Roman"/>
                <w:sz w:val="24"/>
                <w:szCs w:val="24"/>
              </w:rPr>
            </w:pPr>
          </w:p>
        </w:tc>
      </w:tr>
    </w:tbl>
    <w:p w14:paraId="26C624D7">
      <w:pPr>
        <w:pStyle w:val="11"/>
        <w:keepNext w:val="0"/>
        <w:keepLines w:val="0"/>
        <w:pageBreakBefore w:val="0"/>
        <w:widowControl/>
        <w:kinsoku/>
        <w:wordWrap/>
        <w:overflowPunct/>
        <w:topLinePunct w:val="0"/>
        <w:autoSpaceDE w:val="0"/>
        <w:autoSpaceDN/>
        <w:bidi w:val="0"/>
        <w:adjustRightInd/>
        <w:spacing w:afterAutospacing="0" w:line="594" w:lineRule="exact"/>
        <w:ind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（二）部门绩效评价情况</w:t>
      </w:r>
    </w:p>
    <w:p w14:paraId="15D903B8">
      <w:pPr>
        <w:pStyle w:val="11"/>
        <w:keepNext w:val="0"/>
        <w:keepLines w:val="0"/>
        <w:pageBreakBefore w:val="0"/>
        <w:widowControl/>
        <w:kinsoku/>
        <w:wordWrap/>
        <w:overflowPunct/>
        <w:topLinePunct w:val="0"/>
        <w:autoSpaceDE w:val="0"/>
        <w:autoSpaceDN/>
        <w:bidi w:val="0"/>
        <w:adjustRightInd/>
        <w:spacing w:afterAutospacing="0" w:line="594" w:lineRule="exact"/>
        <w:ind w:firstLine="643"/>
        <w:textAlignment w:val="auto"/>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我部门未组织开展绩效评价。</w:t>
      </w:r>
    </w:p>
    <w:p w14:paraId="1F7A6E37">
      <w:pPr>
        <w:pStyle w:val="11"/>
        <w:keepNext w:val="0"/>
        <w:keepLines w:val="0"/>
        <w:pageBreakBefore w:val="0"/>
        <w:widowControl/>
        <w:kinsoku/>
        <w:wordWrap/>
        <w:overflowPunct/>
        <w:topLinePunct w:val="0"/>
        <w:autoSpaceDE w:val="0"/>
        <w:autoSpaceDN/>
        <w:bidi w:val="0"/>
        <w:adjustRightInd/>
        <w:spacing w:afterAutospacing="0" w:line="594" w:lineRule="exact"/>
        <w:ind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（三）财政绩效评价情况</w:t>
      </w:r>
    </w:p>
    <w:p w14:paraId="413DD86B">
      <w:pPr>
        <w:pStyle w:val="11"/>
        <w:pageBreakBefore w:val="0"/>
        <w:widowControl/>
        <w:kinsoku/>
        <w:wordWrap/>
        <w:overflowPunct/>
        <w:topLinePunct w:val="0"/>
        <w:autoSpaceDE w:val="0"/>
        <w:bidi w:val="0"/>
        <w:spacing w:afterAutospacing="0" w:line="594" w:lineRule="exact"/>
        <w:ind w:firstLine="643"/>
        <w:textAlignment w:val="auto"/>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市财政局未委托第三方对我部门开展绩效评价。</w:t>
      </w:r>
    </w:p>
    <w:p w14:paraId="0C9E0E83">
      <w:pPr>
        <w:pageBreakBefore w:val="0"/>
        <w:widowControl/>
        <w:kinsoku/>
        <w:wordWrap/>
        <w:overflowPunct/>
        <w:topLinePunct w:val="0"/>
        <w:bidi w:val="0"/>
        <w:spacing w:afterAutospacing="0" w:line="594" w:lineRule="exact"/>
        <w:ind w:firstLine="640" w:firstLineChars="200"/>
        <w:textAlignment w:val="auto"/>
        <w:rPr>
          <w:rFonts w:hint="default" w:ascii="Times New Roman" w:hAnsi="Times New Roman"/>
          <w:sz w:val="32"/>
          <w:szCs w:val="32"/>
        </w:rPr>
      </w:pPr>
      <w:r>
        <w:rPr>
          <w:rFonts w:hint="eastAsia" w:ascii="Times New Roman" w:hAnsi="Times New Roman" w:eastAsia="方正黑体_GBK" w:cs="方正黑体_GBK"/>
          <w:sz w:val="32"/>
          <w:szCs w:val="32"/>
        </w:rPr>
        <w:t>六、专业名词解释</w:t>
      </w:r>
    </w:p>
    <w:p w14:paraId="28CEF974">
      <w:pPr>
        <w:pageBreakBefore w:val="0"/>
        <w:widowControl/>
        <w:kinsoku/>
        <w:wordWrap/>
        <w:overflowPunct/>
        <w:topLinePunct w:val="0"/>
        <w:bidi w:val="0"/>
        <w:spacing w:afterAutospacing="0" w:line="594" w:lineRule="exact"/>
        <w:textAlignment w:val="auto"/>
        <w:rPr>
          <w:rFonts w:hint="default" w:ascii="Times New Roman" w:hAnsi="Times New Roman" w:eastAsia="方正仿宋_GBK" w:cs="方正仿宋_GBK"/>
          <w:sz w:val="32"/>
          <w:szCs w:val="32"/>
        </w:rPr>
      </w:pPr>
      <w:r>
        <w:rPr>
          <w:rFonts w:ascii="Times New Roman" w:hAnsi="Times New Roman"/>
          <w:sz w:val="32"/>
          <w:szCs w:val="32"/>
        </w:rPr>
        <w:t>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（一）财政拨款收入：</w:t>
      </w:r>
      <w:r>
        <w:rPr>
          <w:rFonts w:hint="eastAsia" w:ascii="Times New Roman" w:hAnsi="Times New Roman" w:eastAsia="方正仿宋_GBK" w:cs="方正仿宋_GBK"/>
          <w:sz w:val="32"/>
          <w:szCs w:val="32"/>
        </w:rPr>
        <w:t>指本年度从本级财政部门取得的财政拨款，包括一般公共预算财政拨款和政府性基金预算财政拨款。</w:t>
      </w:r>
    </w:p>
    <w:p w14:paraId="55DC6BD7">
      <w:pPr>
        <w:pageBreakBefore w:val="0"/>
        <w:widowControl/>
        <w:kinsoku/>
        <w:wordWrap/>
        <w:overflowPunct/>
        <w:topLinePunct w:val="0"/>
        <w:bidi w:val="0"/>
        <w:spacing w:afterAutospacing="0" w:line="594" w:lineRule="exact"/>
        <w:textAlignment w:val="auto"/>
        <w:rPr>
          <w:rFonts w:hint="default" w:ascii="Times New Roman" w:hAnsi="Times New Roman"/>
          <w:sz w:val="32"/>
          <w:szCs w:val="32"/>
        </w:rPr>
      </w:pPr>
      <w:r>
        <w:rPr>
          <w:rFonts w:ascii="Times New Roman" w:hAnsi="Times New Roman"/>
          <w:sz w:val="32"/>
          <w:szCs w:val="32"/>
        </w:rPr>
        <w:t> </w:t>
      </w:r>
      <w:r>
        <w:rPr>
          <w:rFonts w:hint="eastAsia" w:ascii="Times New Roman" w:hAnsi="Times New Roman"/>
          <w:sz w:val="32"/>
          <w:szCs w:val="32"/>
          <w:lang w:val="en-US" w:eastAsia="zh-CN"/>
        </w:rPr>
        <w:t xml:space="preserve">   </w:t>
      </w:r>
      <w:r>
        <w:rPr>
          <w:rFonts w:hint="eastAsia" w:ascii="Times New Roman" w:hAnsi="Times New Roman" w:eastAsia="方正仿宋_GBK" w:cs="方正仿宋_GBK"/>
          <w:b/>
          <w:bCs/>
          <w:sz w:val="32"/>
          <w:szCs w:val="32"/>
          <w:lang w:val="en-US" w:eastAsia="zh-CN"/>
        </w:rPr>
        <w:t>（二）事业收入：</w:t>
      </w:r>
      <w:r>
        <w:rPr>
          <w:rFonts w:hint="eastAsia" w:ascii="Times New Roman" w:hAnsi="Times New Roman" w:eastAsia="方正仿宋_GBK" w:cs="方正仿宋_GBK"/>
          <w:sz w:val="32"/>
          <w:szCs w:val="32"/>
        </w:rPr>
        <w:t>指事业单位开展专业业务活动及其辅助活动取得的现金流入；事业单位收到的财政专户实际核拨的教育收费等资金在此反映。</w:t>
      </w:r>
    </w:p>
    <w:p w14:paraId="43F5A040">
      <w:pPr>
        <w:pageBreakBefore w:val="0"/>
        <w:widowControl/>
        <w:kinsoku/>
        <w:wordWrap/>
        <w:overflowPunct/>
        <w:topLinePunct w:val="0"/>
        <w:bidi w:val="0"/>
        <w:spacing w:afterAutospacing="0" w:line="594" w:lineRule="exact"/>
        <w:textAlignment w:val="auto"/>
        <w:rPr>
          <w:rFonts w:hint="default" w:ascii="Times New Roman" w:hAnsi="Times New Roman"/>
          <w:sz w:val="32"/>
          <w:szCs w:val="32"/>
        </w:rPr>
      </w:pPr>
      <w:r>
        <w:rPr>
          <w:rFonts w:ascii="Times New Roman" w:hAnsi="Times New Roman"/>
          <w:sz w:val="32"/>
          <w:szCs w:val="32"/>
        </w:rPr>
        <w:t> </w:t>
      </w:r>
      <w:r>
        <w:rPr>
          <w:rFonts w:hint="eastAsia" w:ascii="Times New Roman" w:hAnsi="Times New Roman"/>
          <w:sz w:val="32"/>
          <w:szCs w:val="32"/>
          <w:lang w:val="en-US" w:eastAsia="zh-CN"/>
        </w:rPr>
        <w:t xml:space="preserve">   </w:t>
      </w:r>
      <w:r>
        <w:rPr>
          <w:rFonts w:hint="eastAsia" w:ascii="Times New Roman" w:hAnsi="Times New Roman" w:eastAsia="方正仿宋_GBK" w:cs="方正仿宋_GBK"/>
          <w:b/>
          <w:bCs/>
          <w:sz w:val="32"/>
          <w:szCs w:val="32"/>
          <w:lang w:val="en-US" w:eastAsia="zh-CN"/>
        </w:rPr>
        <w:t>（三）经营收入：</w:t>
      </w:r>
      <w:r>
        <w:rPr>
          <w:rFonts w:hint="eastAsia" w:ascii="Times New Roman" w:hAnsi="Times New Roman" w:eastAsia="方正仿宋_GBK" w:cs="方正仿宋_GBK"/>
          <w:sz w:val="32"/>
          <w:szCs w:val="32"/>
        </w:rPr>
        <w:t>指事业单位在专业业务活动及其辅助活动之外开展非独立核算经营活动取得的现金流入。</w:t>
      </w:r>
    </w:p>
    <w:p w14:paraId="6AE56F04">
      <w:pPr>
        <w:pageBreakBefore w:val="0"/>
        <w:widowControl/>
        <w:kinsoku/>
        <w:wordWrap/>
        <w:overflowPunct/>
        <w:topLinePunct w:val="0"/>
        <w:bidi w:val="0"/>
        <w:spacing w:afterAutospacing="0" w:line="594" w:lineRule="exact"/>
        <w:textAlignment w:val="auto"/>
        <w:rPr>
          <w:rFonts w:hint="default" w:ascii="Times New Roman" w:hAnsi="Times New Roman"/>
          <w:sz w:val="32"/>
          <w:szCs w:val="32"/>
        </w:rPr>
      </w:pPr>
      <w:r>
        <w:rPr>
          <w:rFonts w:hint="eastAsia" w:ascii="Times New Roman" w:hAnsi="Times New Roman" w:eastAsia="方正仿宋_GBK" w:cs="方正仿宋_GBK"/>
          <w:b/>
          <w:bCs/>
          <w:sz w:val="32"/>
          <w:szCs w:val="32"/>
          <w:lang w:val="en-US" w:eastAsia="zh-CN"/>
        </w:rPr>
        <w:t>    （四）其他收入：</w:t>
      </w:r>
      <w:r>
        <w:rPr>
          <w:rFonts w:hint="eastAsia" w:ascii="Times New Roman" w:hAnsi="Times New Roman"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53E4638">
      <w:pPr>
        <w:pageBreakBefore w:val="0"/>
        <w:widowControl/>
        <w:kinsoku/>
        <w:wordWrap/>
        <w:overflowPunct/>
        <w:topLinePunct w:val="0"/>
        <w:bidi w:val="0"/>
        <w:spacing w:afterAutospacing="0" w:line="594" w:lineRule="exact"/>
        <w:ind w:firstLine="643" w:firstLineChars="200"/>
        <w:textAlignment w:val="auto"/>
        <w:rPr>
          <w:rFonts w:hint="default" w:ascii="Times New Roman" w:hAnsi="Times New Roman"/>
          <w:sz w:val="32"/>
          <w:szCs w:val="32"/>
        </w:rPr>
      </w:pPr>
      <w:r>
        <w:rPr>
          <w:rFonts w:hint="eastAsia" w:ascii="Times New Roman" w:hAnsi="Times New Roman" w:eastAsia="方正仿宋_GBK" w:cs="方正仿宋_GBK"/>
          <w:b/>
          <w:bCs/>
          <w:sz w:val="32"/>
          <w:szCs w:val="32"/>
        </w:rPr>
        <w:t>（五）使用非财政拨款结余：</w:t>
      </w:r>
      <w:r>
        <w:rPr>
          <w:rFonts w:hint="eastAsia" w:ascii="Times New Roman" w:hAnsi="Times New Roman"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14:paraId="3BD4DF2A">
      <w:pPr>
        <w:pageBreakBefore w:val="0"/>
        <w:widowControl/>
        <w:kinsoku/>
        <w:wordWrap/>
        <w:overflowPunct/>
        <w:topLinePunct w:val="0"/>
        <w:bidi w:val="0"/>
        <w:spacing w:afterAutospacing="0" w:line="594" w:lineRule="exact"/>
        <w:textAlignment w:val="auto"/>
        <w:rPr>
          <w:rFonts w:hint="default" w:ascii="Times New Roman" w:hAnsi="Times New Roman"/>
          <w:sz w:val="32"/>
          <w:szCs w:val="32"/>
        </w:rPr>
      </w:pPr>
      <w:r>
        <w:rPr>
          <w:rFonts w:ascii="Times New Roman" w:hAnsi="Times New Roman"/>
          <w:sz w:val="32"/>
          <w:szCs w:val="32"/>
        </w:rPr>
        <w:t>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（六）年初结转和结余：</w:t>
      </w:r>
      <w:r>
        <w:rPr>
          <w:rFonts w:hint="eastAsia" w:ascii="Times New Roman" w:hAnsi="Times New Roman" w:eastAsia="方正仿宋_GBK" w:cs="方正仿宋_GBK"/>
          <w:sz w:val="32"/>
          <w:szCs w:val="32"/>
        </w:rPr>
        <w:t>指单位上年结转本年使用的基本支出结转、项目支出结转和结余、经营结余。</w:t>
      </w:r>
    </w:p>
    <w:p w14:paraId="1BC8378C">
      <w:pPr>
        <w:pageBreakBefore w:val="0"/>
        <w:widowControl/>
        <w:kinsoku/>
        <w:wordWrap/>
        <w:overflowPunct/>
        <w:topLinePunct w:val="0"/>
        <w:bidi w:val="0"/>
        <w:spacing w:afterAutospacing="0" w:line="594" w:lineRule="exact"/>
        <w:textAlignment w:val="auto"/>
        <w:rPr>
          <w:rFonts w:hint="default" w:ascii="Times New Roman" w:hAnsi="Times New Roman" w:eastAsia="方正仿宋_GBK" w:cs="方正仿宋_GBK"/>
          <w:sz w:val="32"/>
          <w:szCs w:val="32"/>
        </w:rPr>
      </w:pPr>
      <w:r>
        <w:rPr>
          <w:rFonts w:ascii="Times New Roman" w:hAnsi="Times New Roman"/>
          <w:sz w:val="32"/>
          <w:szCs w:val="32"/>
        </w:rPr>
        <w:t> </w:t>
      </w:r>
      <w:r>
        <w:rPr>
          <w:rFonts w:hint="eastAsia" w:ascii="Times New Roman" w:hAnsi="Times New Roman"/>
          <w:sz w:val="32"/>
          <w:szCs w:val="32"/>
          <w:lang w:val="en-US" w:eastAsia="zh-CN"/>
        </w:rPr>
        <w:t xml:space="preserve">   </w:t>
      </w:r>
      <w:r>
        <w:rPr>
          <w:rFonts w:hint="eastAsia" w:ascii="Times New Roman" w:hAnsi="Times New Roman" w:eastAsia="方正仿宋_GBK" w:cs="方正仿宋_GBK"/>
          <w:b/>
          <w:bCs/>
          <w:sz w:val="32"/>
          <w:szCs w:val="32"/>
          <w:lang w:val="en-US" w:eastAsia="zh-CN"/>
        </w:rPr>
        <w:t>（七）结余分配：</w:t>
      </w:r>
      <w:r>
        <w:rPr>
          <w:rFonts w:hint="eastAsia" w:ascii="Times New Roman" w:hAnsi="Times New Roman" w:eastAsia="方正仿宋_GBK" w:cs="方正仿宋_GBK"/>
          <w:sz w:val="32"/>
          <w:szCs w:val="32"/>
        </w:rPr>
        <w:t>指单位按照国家有关规定，缴纳所得税、提取专用基金、转入非财政拨款结余等当年结余的分配情况。</w:t>
      </w:r>
    </w:p>
    <w:p w14:paraId="70864176">
      <w:pPr>
        <w:pageBreakBefore w:val="0"/>
        <w:widowControl/>
        <w:kinsoku/>
        <w:wordWrap/>
        <w:overflowPunct/>
        <w:topLinePunct w:val="0"/>
        <w:bidi w:val="0"/>
        <w:spacing w:afterAutospacing="0" w:line="594" w:lineRule="exact"/>
        <w:textAlignment w:val="auto"/>
        <w:rPr>
          <w:rFonts w:hint="default" w:ascii="Times New Roman" w:hAnsi="Times New Roman"/>
          <w:sz w:val="32"/>
          <w:szCs w:val="32"/>
        </w:rPr>
      </w:pPr>
      <w:r>
        <w:rPr>
          <w:rFonts w:ascii="Times New Roman" w:hAnsi="Times New Roman"/>
          <w:sz w:val="32"/>
          <w:szCs w:val="32"/>
        </w:rPr>
        <w:t> </w:t>
      </w:r>
      <w:r>
        <w:rPr>
          <w:rFonts w:hint="eastAsia" w:ascii="Times New Roman" w:hAnsi="Times New Roman"/>
          <w:sz w:val="32"/>
          <w:szCs w:val="32"/>
          <w:lang w:val="en-US" w:eastAsia="zh-CN"/>
        </w:rPr>
        <w:t xml:space="preserve">   </w:t>
      </w:r>
      <w:r>
        <w:rPr>
          <w:rFonts w:hint="eastAsia" w:ascii="Times New Roman" w:hAnsi="Times New Roman" w:eastAsia="方正仿宋_GBK" w:cs="方正仿宋_GBK"/>
          <w:b/>
          <w:bCs/>
          <w:sz w:val="32"/>
          <w:szCs w:val="32"/>
          <w:lang w:val="en-US" w:eastAsia="zh-CN"/>
        </w:rPr>
        <w:t>（八）年末结转和结余：</w:t>
      </w:r>
      <w:r>
        <w:rPr>
          <w:rFonts w:hint="eastAsia" w:ascii="Times New Roman" w:hAnsi="Times New Roman" w:eastAsia="方正仿宋_GBK" w:cs="方正仿宋_GBK"/>
          <w:sz w:val="32"/>
          <w:szCs w:val="32"/>
        </w:rPr>
        <w:t>指单位结转下年的基本支出结转、项目支出结转和结余、经营结余。</w:t>
      </w:r>
    </w:p>
    <w:p w14:paraId="5AA34918">
      <w:pPr>
        <w:pageBreakBefore w:val="0"/>
        <w:widowControl/>
        <w:kinsoku/>
        <w:wordWrap/>
        <w:overflowPunct/>
        <w:topLinePunct w:val="0"/>
        <w:bidi w:val="0"/>
        <w:spacing w:afterAutospacing="0" w:line="594" w:lineRule="exact"/>
        <w:textAlignment w:val="auto"/>
        <w:rPr>
          <w:rFonts w:hint="default" w:ascii="Times New Roman" w:hAnsi="Times New Roman" w:eastAsia="方正仿宋_GBK" w:cs="方正仿宋_GBK"/>
          <w:b/>
          <w:bCs/>
          <w:sz w:val="32"/>
          <w:szCs w:val="32"/>
          <w:lang w:val="en-US" w:eastAsia="zh-CN"/>
        </w:rPr>
      </w:pPr>
      <w:r>
        <w:rPr>
          <w:rFonts w:ascii="Times New Roman" w:hAnsi="Times New Roman"/>
          <w:sz w:val="32"/>
          <w:szCs w:val="32"/>
        </w:rPr>
        <w:t> </w:t>
      </w:r>
      <w:r>
        <w:rPr>
          <w:rFonts w:hint="eastAsia" w:ascii="Times New Roman" w:hAnsi="Times New Roman"/>
          <w:sz w:val="32"/>
          <w:szCs w:val="32"/>
          <w:lang w:val="en-US" w:eastAsia="zh-CN"/>
        </w:rPr>
        <w:t xml:space="preserve">   </w:t>
      </w:r>
      <w:r>
        <w:rPr>
          <w:rFonts w:hint="eastAsia" w:ascii="Times New Roman" w:hAnsi="Times New Roman" w:eastAsia="方正仿宋_GBK" w:cs="方正仿宋_GBK"/>
          <w:b/>
          <w:bCs/>
          <w:sz w:val="32"/>
          <w:szCs w:val="32"/>
          <w:lang w:val="en-US" w:eastAsia="zh-CN"/>
        </w:rPr>
        <w:t>（九）基本支出：</w:t>
      </w:r>
      <w:r>
        <w:rPr>
          <w:rFonts w:hint="eastAsia" w:ascii="Times New Roman" w:hAnsi="Times New Roman"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w:t>
      </w:r>
      <w:r>
        <w:rPr>
          <w:rFonts w:hint="eastAsia" w:ascii="Times New Roman" w:hAnsi="Times New Roman" w:eastAsia="方正仿宋_GBK" w:cs="方正仿宋_GBK"/>
          <w:sz w:val="32"/>
          <w:szCs w:val="32"/>
          <w:lang w:val="en-US" w:eastAsia="zh-CN"/>
        </w:rPr>
        <w:t>福利支出”和“对个人和家庭的补助”外的其他支出。</w:t>
      </w:r>
    </w:p>
    <w:p w14:paraId="4EB1AEE5">
      <w:pPr>
        <w:pageBreakBefore w:val="0"/>
        <w:widowControl/>
        <w:kinsoku/>
        <w:wordWrap/>
        <w:overflowPunct/>
        <w:topLinePunct w:val="0"/>
        <w:bidi w:val="0"/>
        <w:spacing w:afterAutospacing="0" w:line="594" w:lineRule="exact"/>
        <w:textAlignment w:val="auto"/>
        <w:rPr>
          <w:rFonts w:hint="default" w:ascii="Times New Roman" w:hAnsi="Times New Roman"/>
          <w:sz w:val="32"/>
          <w:szCs w:val="32"/>
        </w:rPr>
      </w:pPr>
      <w:r>
        <w:rPr>
          <w:rFonts w:hint="eastAsia" w:ascii="Times New Roman" w:hAnsi="Times New Roman" w:eastAsia="方正仿宋_GBK" w:cs="方正仿宋_GBK"/>
          <w:b/>
          <w:bCs/>
          <w:sz w:val="32"/>
          <w:szCs w:val="32"/>
          <w:lang w:val="en-US" w:eastAsia="zh-CN"/>
        </w:rPr>
        <w:t>    （十）项目支出：</w:t>
      </w:r>
      <w:r>
        <w:rPr>
          <w:rFonts w:hint="eastAsia" w:ascii="Times New Roman" w:hAnsi="Times New Roman" w:eastAsia="方正仿宋_GBK" w:cs="方正仿宋_GBK"/>
          <w:sz w:val="32"/>
          <w:szCs w:val="32"/>
        </w:rPr>
        <w:t>指在基本支出之外为完成特定行政任务和事业发展目标所发生的支出。</w:t>
      </w:r>
    </w:p>
    <w:p w14:paraId="47432B2B">
      <w:pPr>
        <w:pageBreakBefore w:val="0"/>
        <w:widowControl/>
        <w:kinsoku/>
        <w:wordWrap/>
        <w:overflowPunct/>
        <w:topLinePunct w:val="0"/>
        <w:bidi w:val="0"/>
        <w:spacing w:afterAutospacing="0" w:line="594" w:lineRule="exact"/>
        <w:textAlignment w:val="auto"/>
        <w:rPr>
          <w:rFonts w:hint="default" w:ascii="Times New Roman" w:hAnsi="Times New Roman"/>
          <w:sz w:val="32"/>
          <w:szCs w:val="32"/>
        </w:rPr>
      </w:pPr>
      <w:r>
        <w:rPr>
          <w:rFonts w:hint="eastAsia" w:ascii="Times New Roman" w:hAnsi="Times New Roman" w:eastAsia="方正仿宋_GBK" w:cs="方正仿宋_GBK"/>
          <w:b/>
          <w:bCs/>
          <w:sz w:val="32"/>
          <w:szCs w:val="32"/>
          <w:lang w:val="en-US" w:eastAsia="zh-CN"/>
        </w:rPr>
        <w:t>    （十一）经营支出：</w:t>
      </w:r>
      <w:r>
        <w:rPr>
          <w:rFonts w:hint="eastAsia" w:ascii="Times New Roman" w:hAnsi="Times New Roman" w:eastAsia="方正仿宋_GBK" w:cs="方正仿宋_GBK"/>
          <w:sz w:val="32"/>
          <w:szCs w:val="32"/>
        </w:rPr>
        <w:t>指事业单位在专业业务活动及其辅助活动之外开展非独立核算经营活动发生的支出。</w:t>
      </w:r>
    </w:p>
    <w:p w14:paraId="4B3148EB">
      <w:pPr>
        <w:pageBreakBefore w:val="0"/>
        <w:widowControl/>
        <w:kinsoku/>
        <w:wordWrap/>
        <w:overflowPunct/>
        <w:topLinePunct w:val="0"/>
        <w:bidi w:val="0"/>
        <w:spacing w:afterAutospacing="0" w:line="594" w:lineRule="exact"/>
        <w:textAlignment w:val="auto"/>
        <w:rPr>
          <w:rFonts w:hint="default" w:ascii="Times New Roman" w:hAnsi="Times New Roman" w:eastAsia="方正仿宋_GBK" w:cs="方正仿宋_GBK"/>
          <w:sz w:val="32"/>
          <w:szCs w:val="32"/>
        </w:rPr>
      </w:pPr>
      <w:r>
        <w:rPr>
          <w:rFonts w:ascii="Times New Roman" w:hAnsi="Times New Roman"/>
          <w:sz w:val="32"/>
          <w:szCs w:val="32"/>
        </w:rPr>
        <w:t> </w:t>
      </w:r>
      <w:r>
        <w:rPr>
          <w:rFonts w:hint="eastAsia" w:ascii="Times New Roman" w:hAnsi="Times New Roman"/>
          <w:sz w:val="32"/>
          <w:szCs w:val="32"/>
          <w:lang w:val="en-US" w:eastAsia="zh-CN"/>
        </w:rPr>
        <w:t xml:space="preserve">   </w:t>
      </w:r>
      <w:r>
        <w:rPr>
          <w:rFonts w:hint="eastAsia" w:ascii="Times New Roman" w:hAnsi="Times New Roman" w:eastAsia="方正仿宋_GBK" w:cs="方正仿宋_GBK"/>
          <w:b/>
          <w:bCs/>
          <w:sz w:val="32"/>
          <w:szCs w:val="32"/>
          <w:lang w:val="en-US" w:eastAsia="zh-CN"/>
        </w:rPr>
        <w:t>（十二）“三公”经费：</w:t>
      </w:r>
      <w:r>
        <w:rPr>
          <w:rFonts w:hint="eastAsia" w:ascii="Times New Roman" w:hAnsi="Times New Roman"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587EE70">
      <w:pPr>
        <w:pageBreakBefore w:val="0"/>
        <w:widowControl/>
        <w:kinsoku/>
        <w:wordWrap/>
        <w:overflowPunct/>
        <w:topLinePunct w:val="0"/>
        <w:bidi w:val="0"/>
        <w:spacing w:afterAutospacing="0" w:line="594" w:lineRule="exact"/>
        <w:textAlignment w:val="auto"/>
        <w:rPr>
          <w:rFonts w:hint="default" w:ascii="Times New Roman" w:hAnsi="Times New Roman"/>
          <w:sz w:val="32"/>
          <w:szCs w:val="32"/>
        </w:rPr>
      </w:pPr>
      <w:r>
        <w:rPr>
          <w:rFonts w:ascii="Times New Roman" w:hAnsi="Times New Roman"/>
          <w:sz w:val="32"/>
          <w:szCs w:val="32"/>
        </w:rPr>
        <w:t> </w:t>
      </w:r>
      <w:r>
        <w:rPr>
          <w:rFonts w:hint="eastAsia" w:ascii="Times New Roman" w:hAnsi="Times New Roman"/>
          <w:sz w:val="32"/>
          <w:szCs w:val="32"/>
          <w:lang w:val="en-US" w:eastAsia="zh-CN"/>
        </w:rPr>
        <w:t xml:space="preserve">   </w:t>
      </w:r>
      <w:r>
        <w:rPr>
          <w:rFonts w:hint="eastAsia" w:ascii="Times New Roman" w:hAnsi="Times New Roman" w:eastAsia="方正仿宋_GBK" w:cs="方正仿宋_GBK"/>
          <w:b/>
          <w:bCs/>
          <w:sz w:val="32"/>
          <w:szCs w:val="32"/>
          <w:lang w:val="en-US" w:eastAsia="zh-CN"/>
        </w:rPr>
        <w:t>（十三）机关运行经费：</w:t>
      </w:r>
      <w:r>
        <w:rPr>
          <w:rFonts w:hint="eastAsia" w:ascii="Times New Roman" w:hAnsi="Times New Roman"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8166CCB">
      <w:pPr>
        <w:pageBreakBefore w:val="0"/>
        <w:widowControl/>
        <w:kinsoku/>
        <w:wordWrap/>
        <w:overflowPunct/>
        <w:topLinePunct w:val="0"/>
        <w:bidi w:val="0"/>
        <w:spacing w:afterAutospacing="0" w:line="594" w:lineRule="exact"/>
        <w:textAlignment w:val="auto"/>
        <w:rPr>
          <w:rFonts w:hint="default" w:ascii="Times New Roman" w:hAnsi="Times New Roman" w:eastAsia="方正仿宋_GBK" w:cs="方正仿宋_GBK"/>
          <w:sz w:val="32"/>
          <w:szCs w:val="32"/>
        </w:rPr>
      </w:pPr>
      <w:r>
        <w:rPr>
          <w:rFonts w:ascii="Times New Roman" w:hAnsi="Times New Roman"/>
          <w:sz w:val="32"/>
          <w:szCs w:val="32"/>
        </w:rPr>
        <w:t> </w:t>
      </w:r>
      <w:r>
        <w:rPr>
          <w:rFonts w:hint="eastAsia" w:ascii="Times New Roman" w:hAnsi="Times New Roman"/>
          <w:sz w:val="32"/>
          <w:szCs w:val="32"/>
          <w:lang w:val="en-US" w:eastAsia="zh-CN"/>
        </w:rPr>
        <w:t xml:space="preserve">   </w:t>
      </w:r>
      <w:r>
        <w:rPr>
          <w:rFonts w:hint="eastAsia" w:ascii="Times New Roman" w:hAnsi="Times New Roman" w:eastAsia="方正仿宋_GBK" w:cs="方正仿宋_GBK"/>
          <w:b/>
          <w:bCs/>
          <w:sz w:val="32"/>
          <w:szCs w:val="32"/>
          <w:lang w:val="en-US" w:eastAsia="zh-CN"/>
        </w:rPr>
        <w:t>（十四）工资福利支出（支出经济分类科目类级）：</w:t>
      </w:r>
      <w:r>
        <w:rPr>
          <w:rFonts w:hint="eastAsia" w:ascii="Times New Roman" w:hAnsi="Times New Roman" w:eastAsia="方正仿宋_GBK" w:cs="方正仿宋_GBK"/>
          <w:sz w:val="32"/>
          <w:szCs w:val="32"/>
        </w:rPr>
        <w:t>反映单位开支的在职职工和编制外长期聘用人员的各类劳动报酬，以及为上述人员缴纳的各项社会保险费等。</w:t>
      </w:r>
    </w:p>
    <w:p w14:paraId="1CD8E4A8">
      <w:pPr>
        <w:pageBreakBefore w:val="0"/>
        <w:widowControl/>
        <w:kinsoku/>
        <w:wordWrap/>
        <w:overflowPunct/>
        <w:topLinePunct w:val="0"/>
        <w:bidi w:val="0"/>
        <w:spacing w:afterAutospacing="0" w:line="594" w:lineRule="exact"/>
        <w:textAlignment w:val="auto"/>
        <w:rPr>
          <w:rFonts w:hint="default" w:ascii="Times New Roman" w:hAnsi="Times New Roman"/>
          <w:sz w:val="32"/>
          <w:szCs w:val="32"/>
        </w:rPr>
      </w:pPr>
      <w:r>
        <w:rPr>
          <w:rFonts w:ascii="Times New Roman" w:hAnsi="Times New Roman"/>
          <w:sz w:val="32"/>
          <w:szCs w:val="32"/>
        </w:rPr>
        <w:t> </w:t>
      </w:r>
      <w:r>
        <w:rPr>
          <w:rFonts w:hint="eastAsia" w:ascii="Times New Roman" w:hAnsi="Times New Roman"/>
          <w:sz w:val="32"/>
          <w:szCs w:val="32"/>
          <w:lang w:val="en-US" w:eastAsia="zh-CN"/>
        </w:rPr>
        <w:t xml:space="preserve"> </w:t>
      </w:r>
      <w:r>
        <w:rPr>
          <w:rFonts w:hint="eastAsia" w:ascii="Times New Roman" w:hAnsi="Times New Roman" w:eastAsia="方正仿宋_GBK" w:cs="方正仿宋_GBK"/>
          <w:b/>
          <w:bCs/>
          <w:sz w:val="32"/>
          <w:szCs w:val="32"/>
          <w:lang w:val="en-US" w:eastAsia="zh-CN"/>
        </w:rPr>
        <w:t xml:space="preserve">  （十五）商品和服务支出（支出经济分类科目类级）：</w:t>
      </w:r>
      <w:r>
        <w:rPr>
          <w:rFonts w:hint="eastAsia" w:ascii="Times New Roman" w:hAnsi="Times New Roman" w:eastAsia="方正仿宋_GBK" w:cs="方正仿宋_GBK"/>
          <w:sz w:val="32"/>
          <w:szCs w:val="32"/>
        </w:rPr>
        <w:t>反映单位购买商品和服务的支出（不包括用于购置固定资产的支出、战略性和应急储备支出）。</w:t>
      </w:r>
    </w:p>
    <w:p w14:paraId="261AC1AD">
      <w:pPr>
        <w:pageBreakBefore w:val="0"/>
        <w:widowControl/>
        <w:kinsoku/>
        <w:wordWrap/>
        <w:overflowPunct/>
        <w:topLinePunct w:val="0"/>
        <w:bidi w:val="0"/>
        <w:spacing w:afterAutospacing="0" w:line="594" w:lineRule="exact"/>
        <w:textAlignment w:val="auto"/>
        <w:rPr>
          <w:rFonts w:hint="default" w:ascii="Times New Roman" w:hAnsi="Times New Roman"/>
          <w:sz w:val="32"/>
          <w:szCs w:val="32"/>
        </w:rPr>
      </w:pPr>
      <w:r>
        <w:rPr>
          <w:rFonts w:ascii="Times New Roman" w:hAnsi="Times New Roman"/>
          <w:sz w:val="32"/>
          <w:szCs w:val="32"/>
        </w:rPr>
        <w:t> </w:t>
      </w:r>
      <w:r>
        <w:rPr>
          <w:rFonts w:hint="eastAsia" w:ascii="Times New Roman" w:hAnsi="Times New Roman"/>
          <w:sz w:val="32"/>
          <w:szCs w:val="32"/>
          <w:lang w:val="en-US" w:eastAsia="zh-CN"/>
        </w:rPr>
        <w:t xml:space="preserve">  </w:t>
      </w:r>
      <w:bookmarkStart w:id="0" w:name="_GoBack"/>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（十六）对个人和家庭的补助（支出经济分类科目类级）</w:t>
      </w:r>
      <w:bookmarkEnd w:id="0"/>
      <w:r>
        <w:rPr>
          <w:rFonts w:hint="eastAsia" w:ascii="Times New Roman" w:hAnsi="Times New Roman" w:eastAsia="方正仿宋_GBK" w:cs="方正仿宋_GBK"/>
          <w:b/>
          <w:bCs/>
          <w:sz w:val="32"/>
          <w:szCs w:val="32"/>
        </w:rPr>
        <w:t>：</w:t>
      </w:r>
      <w:r>
        <w:rPr>
          <w:rFonts w:hint="eastAsia" w:ascii="Times New Roman" w:hAnsi="Times New Roman" w:eastAsia="方正仿宋_GBK" w:cs="方正仿宋_GBK"/>
          <w:sz w:val="32"/>
          <w:szCs w:val="32"/>
        </w:rPr>
        <w:t>反映用于对个人和家庭的补助支出。</w:t>
      </w:r>
    </w:p>
    <w:p w14:paraId="315570A6">
      <w:pPr>
        <w:pageBreakBefore w:val="0"/>
        <w:widowControl/>
        <w:kinsoku/>
        <w:wordWrap/>
        <w:overflowPunct/>
        <w:topLinePunct w:val="0"/>
        <w:bidi w:val="0"/>
        <w:spacing w:afterAutospacing="0" w:line="594" w:lineRule="exact"/>
        <w:textAlignment w:val="auto"/>
        <w:rPr>
          <w:rFonts w:hint="default" w:ascii="Times New Roman" w:hAnsi="Times New Roman" w:eastAsia="方正仿宋_GBK" w:cs="方正仿宋_GBK"/>
          <w:sz w:val="32"/>
          <w:szCs w:val="32"/>
        </w:rPr>
      </w:pPr>
      <w:r>
        <w:rPr>
          <w:rFonts w:ascii="Times New Roman" w:hAnsi="Times New Roman"/>
          <w:sz w:val="32"/>
          <w:szCs w:val="32"/>
        </w:rPr>
        <w:t> </w:t>
      </w:r>
      <w:r>
        <w:rPr>
          <w:rFonts w:hint="eastAsia" w:ascii="Times New Roman" w:hAnsi="Times New Roman"/>
          <w:sz w:val="32"/>
          <w:szCs w:val="32"/>
          <w:lang w:val="en-US" w:eastAsia="zh-CN"/>
        </w:rPr>
        <w:t xml:space="preserve">   </w:t>
      </w:r>
      <w:r>
        <w:rPr>
          <w:rFonts w:hint="eastAsia" w:ascii="Times New Roman" w:hAnsi="Times New Roman" w:eastAsia="方正仿宋_GBK" w:cs="方正仿宋_GBK"/>
          <w:b/>
          <w:bCs/>
          <w:sz w:val="32"/>
          <w:szCs w:val="32"/>
        </w:rPr>
        <w:t>（十七）其他资本性支出（支出经济分类科目类级）：</w:t>
      </w:r>
      <w:r>
        <w:rPr>
          <w:rFonts w:hint="eastAsia" w:ascii="Times New Roman" w:hAnsi="Times New Roman"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14:paraId="656C5935">
      <w:pPr>
        <w:pageBreakBefore w:val="0"/>
        <w:widowControl/>
        <w:kinsoku/>
        <w:wordWrap/>
        <w:overflowPunct/>
        <w:topLinePunct w:val="0"/>
        <w:bidi w:val="0"/>
        <w:spacing w:afterAutospacing="0" w:line="594" w:lineRule="exact"/>
        <w:textAlignment w:val="auto"/>
        <w:rPr>
          <w:rFonts w:hint="eastAsia" w:ascii="Times New Roman" w:hAnsi="Times New Roman" w:eastAsia="方正黑体_GBK" w:cs="方正黑体_GBK"/>
          <w:sz w:val="32"/>
          <w:szCs w:val="32"/>
        </w:rPr>
      </w:pPr>
      <w:r>
        <w:rPr>
          <w:rFonts w:ascii="Times New Roman" w:hAnsi="Times New Roman"/>
          <w:sz w:val="32"/>
          <w:szCs w:val="32"/>
        </w:rPr>
        <w:t> </w:t>
      </w:r>
      <w:r>
        <w:rPr>
          <w:rFonts w:hint="eastAsia" w:ascii="Times New Roman" w:hAnsi="Times New Roman" w:eastAsia="方正黑体_GBK" w:cs="方正黑体_GBK"/>
          <w:sz w:val="32"/>
          <w:szCs w:val="32"/>
        </w:rPr>
        <w:t xml:space="preserve"> </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七、决算公开联系方式及信息反馈渠道</w:t>
      </w:r>
    </w:p>
    <w:p w14:paraId="5E4BA664">
      <w:pPr>
        <w:pageBreakBefore w:val="0"/>
        <w:widowControl/>
        <w:kinsoku/>
        <w:wordWrap/>
        <w:overflowPunct/>
        <w:topLinePunct w:val="0"/>
        <w:bidi w:val="0"/>
        <w:spacing w:afterAutospacing="0" w:line="594" w:lineRule="exact"/>
        <w:textAlignment w:val="auto"/>
        <w:rPr>
          <w:rFonts w:hint="eastAsia" w:ascii="Times New Roman" w:hAnsi="Times New Roman" w:eastAsia="方正仿宋_GBK" w:cs="方正仿宋_GBK"/>
          <w:sz w:val="32"/>
          <w:szCs w:val="32"/>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sz w:val="32"/>
          <w:szCs w:val="32"/>
        </w:rPr>
        <w:t>本单位决算公开信息反馈和联系方式：</w:t>
      </w:r>
      <w:r>
        <w:rPr>
          <w:rFonts w:hint="eastAsia" w:ascii="Times New Roman" w:hAnsi="Times New Roman" w:eastAsia="方正仿宋_GBK" w:cs="方正仿宋_GBK"/>
          <w:sz w:val="32"/>
          <w:szCs w:val="32"/>
          <w:lang w:val="en-US" w:eastAsia="zh-CN"/>
        </w:rPr>
        <w:t>023-73373369。</w:t>
      </w:r>
    </w:p>
    <w:p w14:paraId="399F0450">
      <w:pPr>
        <w:rPr>
          <w:rFonts w:hint="default" w:ascii="Times New Roman" w:hAnsi="Times New Roman"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23F48A7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B0EEB0F">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14:paraId="1A586E61">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0DA06F2">
            <w:pPr>
              <w:spacing w:line="200" w:lineRule="exact"/>
              <w:rPr>
                <w:rFonts w:hint="default" w:ascii="Times New Roman" w:hAnsi="Times New Roman"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002091A">
            <w:pPr>
              <w:spacing w:line="200" w:lineRule="exact"/>
              <w:jc w:val="right"/>
              <w:rPr>
                <w:rFonts w:hint="default" w:ascii="Times New Roman" w:hAnsi="Times New Roman"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BC42FB8">
            <w:pPr>
              <w:spacing w:line="200" w:lineRule="exact"/>
              <w:rPr>
                <w:rFonts w:hint="default" w:ascii="Times New Roman" w:hAnsi="Times New Roman"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6CB48C9">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公开01表</w:t>
            </w:r>
          </w:p>
        </w:tc>
      </w:tr>
      <w:tr w14:paraId="0507943F">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9689EC1">
            <w:pPr>
              <w:spacing w:line="200" w:lineRule="exact"/>
              <w:rPr>
                <w:rFonts w:hint="default" w:ascii="Times New Roman" w:hAnsi="Times New Roman" w:cs="Arial"/>
                <w:color w:val="000000"/>
                <w:sz w:val="22"/>
                <w:szCs w:val="22"/>
              </w:rPr>
            </w:pPr>
            <w:r>
              <w:rPr>
                <w:rFonts w:ascii="Times New Roman" w:hAnsi="Times New Roman" w:cs="宋体"/>
                <w:sz w:val="20"/>
                <w:szCs w:val="20"/>
              </w:rPr>
              <w:t>公开部门：</w:t>
            </w:r>
            <w:r>
              <w:rPr>
                <w:rFonts w:ascii="Times New Roman" w:hAnsi="Times New Roman"/>
                <w:sz w:val="20"/>
                <w:u w:color="auto"/>
              </w:rPr>
              <w:t>重庆市石柱土家族自治县生态环境局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798CCEC">
            <w:pPr>
              <w:spacing w:line="200" w:lineRule="exact"/>
              <w:rPr>
                <w:rFonts w:hint="default" w:ascii="Times New Roman" w:hAnsi="Times New Roman"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D18F319">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45EFB47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D845F">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994705F">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14:paraId="27E1B4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0E9BB">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FC0591">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C6A486">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5F704E">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14:paraId="0612E9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73EF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43310">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3,590.20</w:t>
            </w: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3FEFB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F1A3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02DF8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1B6C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D1A62">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499.80</w:t>
            </w: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761EA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DAE1E">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AC25B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3D264">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43B7B">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06206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EF30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38E2D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FDA02">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08573">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08859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CBCAD">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78A1F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D445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EC5F5">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D9CCD2">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5C26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199C0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85B92">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DEBC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78C85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8D469">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9C8B4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204E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E681C">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A98C92">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85D6C">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426F1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E3F8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2D3EBE5">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0F3740">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6FF4A">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237.65</w:t>
            </w:r>
            <w:r>
              <w:rPr>
                <w:rFonts w:ascii="Times New Roman" w:hAnsi="Times New Roman"/>
                <w:color w:val="000000"/>
                <w:sz w:val="20"/>
                <w:u w:color="auto"/>
              </w:rPr>
              <w:t xml:space="preserve"> </w:t>
            </w:r>
          </w:p>
        </w:tc>
      </w:tr>
      <w:tr w14:paraId="54EFDF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9DFD4">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05FC23">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9DDB5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C2D13">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68.23</w:t>
            </w:r>
            <w:r>
              <w:rPr>
                <w:rFonts w:ascii="Times New Roman" w:hAnsi="Times New Roman"/>
                <w:color w:val="000000"/>
                <w:sz w:val="20"/>
                <w:u w:color="auto"/>
              </w:rPr>
              <w:t xml:space="preserve"> </w:t>
            </w:r>
          </w:p>
        </w:tc>
      </w:tr>
      <w:tr w14:paraId="6AACF5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D943F">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7691C1">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782A39">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B0553">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2,881.86</w:t>
            </w:r>
            <w:r>
              <w:rPr>
                <w:rFonts w:ascii="Times New Roman" w:hAnsi="Times New Roman"/>
                <w:color w:val="000000"/>
                <w:sz w:val="20"/>
                <w:u w:color="auto"/>
              </w:rPr>
              <w:t xml:space="preserve"> </w:t>
            </w:r>
          </w:p>
        </w:tc>
      </w:tr>
      <w:tr w14:paraId="6C9C1E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9E3D3">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E0C7E0">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99404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CD295">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499.80</w:t>
            </w:r>
            <w:r>
              <w:rPr>
                <w:rFonts w:ascii="Times New Roman" w:hAnsi="Times New Roman"/>
                <w:color w:val="000000"/>
                <w:sz w:val="20"/>
                <w:u w:color="auto"/>
              </w:rPr>
              <w:t xml:space="preserve"> </w:t>
            </w:r>
          </w:p>
        </w:tc>
      </w:tr>
      <w:tr w14:paraId="0AEE2B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F55C1">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D227F8">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F76CBD">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B52F7">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6.21</w:t>
            </w:r>
            <w:r>
              <w:rPr>
                <w:rFonts w:ascii="Times New Roman" w:hAnsi="Times New Roman"/>
                <w:color w:val="000000"/>
                <w:sz w:val="20"/>
                <w:u w:color="auto"/>
              </w:rPr>
              <w:t xml:space="preserve"> </w:t>
            </w:r>
          </w:p>
        </w:tc>
      </w:tr>
      <w:tr w14:paraId="647569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A083E">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917E">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1DDB8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32E7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483A5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90DB0">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FD718">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D9757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7ED7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F60AB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E71C9">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968B4">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45F04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5A04E">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4858F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949CA">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7F019">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D5F10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2360C">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A1D9F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D4DCF">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2F349">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83189E">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5E22F">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22CE6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25C10">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7A4A8">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C0B2D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1AF80">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316.03</w:t>
            </w:r>
            <w:r>
              <w:rPr>
                <w:rFonts w:ascii="Times New Roman" w:hAnsi="Times New Roman"/>
                <w:color w:val="000000"/>
                <w:sz w:val="20"/>
                <w:u w:color="auto"/>
              </w:rPr>
              <w:t xml:space="preserve"> </w:t>
            </w:r>
          </w:p>
        </w:tc>
      </w:tr>
      <w:tr w14:paraId="5244F4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4B2A7">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A2A46">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9ED62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EF0D5">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80.21</w:t>
            </w:r>
            <w:r>
              <w:rPr>
                <w:rFonts w:ascii="Times New Roman" w:hAnsi="Times New Roman"/>
                <w:color w:val="000000"/>
                <w:sz w:val="20"/>
                <w:u w:color="auto"/>
              </w:rPr>
              <w:t xml:space="preserve"> </w:t>
            </w:r>
          </w:p>
        </w:tc>
      </w:tr>
      <w:tr w14:paraId="2E84B5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5929D">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92019">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9D16F2">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6F83B">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37FBA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435EF">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B9F99">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CAE22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B72E3">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72DCE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9A45C">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2DC29">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1B810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479A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F1EED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EFF58">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D183E">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C605FD">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4D4B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B262D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CD917">
            <w:pPr>
              <w:spacing w:line="240" w:lineRule="exact"/>
              <w:jc w:val="center"/>
              <w:rPr>
                <w:rFonts w:hint="default" w:ascii="Times New Roman" w:hAnsi="Times New Roman"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5532B">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35A78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5E50C">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FEA02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369D5">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8289E">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16662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4DB4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81F0E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C97C9">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F68AE">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E0AB90">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13E48">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F31D8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B7BD1">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AAAA9">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4,090.00</w:t>
            </w: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11E18C">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4EA36">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4,090.00</w:t>
            </w:r>
            <w:r>
              <w:rPr>
                <w:rFonts w:ascii="Times New Roman" w:hAnsi="Times New Roman"/>
                <w:color w:val="000000"/>
                <w:sz w:val="20"/>
                <w:u w:color="auto"/>
              </w:rPr>
              <w:t xml:space="preserve"> </w:t>
            </w:r>
          </w:p>
        </w:tc>
      </w:tr>
      <w:tr w14:paraId="36469A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2CE5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9BBE5">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CE550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2FEF4">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71CD5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15F9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5BA33">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421DA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E838038">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9BFC6E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7F10F">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7B3E">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4,090.00</w:t>
            </w: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9FDE22E">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725A3B">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4,090.00</w:t>
            </w:r>
            <w:r>
              <w:rPr>
                <w:rFonts w:ascii="Times New Roman" w:hAnsi="Times New Roman"/>
                <w:color w:val="000000"/>
                <w:sz w:val="20"/>
                <w:u w:color="auto"/>
              </w:rPr>
              <w:t xml:space="preserve"> </w:t>
            </w:r>
          </w:p>
        </w:tc>
      </w:tr>
    </w:tbl>
    <w:p w14:paraId="42CE43EE">
      <w:pPr>
        <w:spacing w:line="240" w:lineRule="exact"/>
        <w:rPr>
          <w:rFonts w:hint="default" w:ascii="Times New Roman" w:hAnsi="Times New Roman" w:cs="宋体"/>
          <w:sz w:val="20"/>
          <w:szCs w:val="20"/>
        </w:rPr>
      </w:pPr>
      <w:r>
        <w:rPr>
          <w:rFonts w:ascii="Times New Roman" w:hAnsi="Times New Roman" w:cs="宋体"/>
          <w:sz w:val="20"/>
          <w:szCs w:val="20"/>
        </w:rPr>
        <w:t>备注：1.本表反映部门本年度的总收支和年末结转结余情况。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490DFF6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AF3F6ED">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14:paraId="359F257F">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CC3D0A1">
            <w:pPr>
              <w:rPr>
                <w:rFonts w:hint="default" w:ascii="Times New Roman" w:hAnsi="Times New Roman" w:cs="宋体"/>
                <w:color w:val="000000"/>
                <w:sz w:val="20"/>
                <w:szCs w:val="20"/>
              </w:rPr>
            </w:pPr>
            <w:r>
              <w:rPr>
                <w:rFonts w:ascii="Times New Roman" w:hAnsi="Times New Roman" w:cs="宋体"/>
                <w:sz w:val="20"/>
                <w:szCs w:val="20"/>
              </w:rPr>
              <w:t>公开部门：</w:t>
            </w:r>
            <w:r>
              <w:rPr>
                <w:rFonts w:ascii="Times New Roman" w:hAnsi="Times New Roman"/>
                <w:sz w:val="20"/>
                <w:u w:color="auto"/>
              </w:rPr>
              <w:t>重庆市石柱土家族自治县生态环境局</w:t>
            </w:r>
          </w:p>
        </w:tc>
        <w:tc>
          <w:tcPr>
            <w:tcW w:w="401" w:type="pct"/>
            <w:tcBorders>
              <w:top w:val="nil"/>
              <w:left w:val="nil"/>
              <w:bottom w:val="nil"/>
              <w:right w:val="nil"/>
            </w:tcBorders>
            <w:shd w:val="clear" w:color="auto" w:fill="auto"/>
            <w:noWrap/>
            <w:tcMar>
              <w:top w:w="15" w:type="dxa"/>
              <w:left w:w="15" w:type="dxa"/>
              <w:right w:w="15" w:type="dxa"/>
            </w:tcMar>
            <w:vAlign w:val="bottom"/>
          </w:tcPr>
          <w:p w14:paraId="5CED8D10">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0C01B0E">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0C9C753">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0F4212D">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0F939B9">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FB73D06">
            <w:pPr>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A36A92A">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公开02表</w:t>
            </w:r>
          </w:p>
        </w:tc>
      </w:tr>
      <w:tr w14:paraId="6803386E">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582136A">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5B032E3">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E79EA5B">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2F675DB">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9104A2C">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8E2A7E1">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DBB4849">
            <w:pPr>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3B4F224">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429EBF6A">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3C9C483">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3595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5099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11B1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985EF0">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5AF3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E551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E450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14:paraId="059AA744">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824A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1A441D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07205">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A9FDB">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573C5">
            <w:pPr>
              <w:jc w:val="center"/>
              <w:rPr>
                <w:rFonts w:hint="default" w:ascii="Times New Roman" w:hAnsi="Times New Roman"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A106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B1A6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B0863">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5C86C">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A212B">
            <w:pPr>
              <w:jc w:val="center"/>
              <w:rPr>
                <w:rFonts w:hint="default" w:ascii="Times New Roman" w:hAnsi="Times New Roman" w:cs="宋体"/>
                <w:b/>
                <w:color w:val="000000"/>
                <w:sz w:val="20"/>
                <w:szCs w:val="20"/>
              </w:rPr>
            </w:pPr>
          </w:p>
        </w:tc>
      </w:tr>
      <w:tr w14:paraId="3949FBE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2E7AF">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FB4471D">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F7DB6">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D69CC">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95DD7">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D8409">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A6BA8">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D5A81">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7C254">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F4F91">
            <w:pPr>
              <w:jc w:val="center"/>
              <w:rPr>
                <w:rFonts w:hint="default" w:ascii="Times New Roman" w:hAnsi="Times New Roman" w:cs="宋体"/>
                <w:b/>
                <w:color w:val="000000"/>
                <w:sz w:val="20"/>
                <w:szCs w:val="20"/>
              </w:rPr>
            </w:pPr>
          </w:p>
        </w:tc>
      </w:tr>
      <w:tr w14:paraId="35B20CB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48B74">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5038473">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E9409">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42994">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FBB073">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710B2">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3947A">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DDBE7">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889DE">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BDCC9">
            <w:pPr>
              <w:jc w:val="center"/>
              <w:rPr>
                <w:rFonts w:hint="default" w:ascii="Times New Roman" w:hAnsi="Times New Roman" w:cs="宋体"/>
                <w:b/>
                <w:color w:val="000000"/>
                <w:sz w:val="20"/>
                <w:szCs w:val="20"/>
              </w:rPr>
            </w:pPr>
          </w:p>
        </w:tc>
      </w:tr>
      <w:tr w14:paraId="1B07C81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202DB">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F053621">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095A5">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2E424">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488EF">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FB181">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95E72">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70054">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94665">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ED973">
            <w:pPr>
              <w:jc w:val="center"/>
              <w:rPr>
                <w:rFonts w:hint="default" w:ascii="Times New Roman" w:hAnsi="Times New Roman" w:cs="宋体"/>
                <w:b/>
                <w:color w:val="000000"/>
                <w:sz w:val="20"/>
                <w:szCs w:val="20"/>
              </w:rPr>
            </w:pPr>
          </w:p>
        </w:tc>
      </w:tr>
      <w:tr w14:paraId="4B23FCAE">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97B8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AFBE7">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4,090.00</w:t>
            </w:r>
            <w:r>
              <w:rPr>
                <w:rFonts w:ascii="Times New Roman" w:hAnsi="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21C4B">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4,090.00</w:t>
            </w:r>
            <w:r>
              <w:rPr>
                <w:rFonts w:ascii="Times New Roman" w:hAnsi="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0BB85">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3CC1F">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806E3">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0AA43">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24421">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13FF1">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r w14:paraId="36A05F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590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EECA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C690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237.65</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646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237.65</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0BB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604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5C8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0D8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5C9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59E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F2BF8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BAF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8DC7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C41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237.65</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4D3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237.65</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240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B57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E876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659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C8D3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95D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2EDED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683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ABC4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48B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AC4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B47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ED9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858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A69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8C5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213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8B870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558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684F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290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481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CA4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BDF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C52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881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63A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A9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22D08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1AA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F7CD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16A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111.86</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897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111.86</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E94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9E9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32D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0ED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035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DB2A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E0940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D57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64BE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E35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114.50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025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114.50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48A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9A0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3C1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A204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88A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09E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E338F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D0A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8FD9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6B25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837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75AA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CC9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75A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CC2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1FD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FC9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7D52F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CAB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79BF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B8A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68.23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568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68.23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6C4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054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A623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57B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5E1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778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C7643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366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FEEB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948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8.55</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7F7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8.55</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E5B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684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DC5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5D3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F9D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8B7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028C6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692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E8FB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189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8.55</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036B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8.55</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776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425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D62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9FA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481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4B7B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FFC5D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3E3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52B3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842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59.68</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D57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59.68</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DAD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B2D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82D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1BF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3E1B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990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E04DC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C2C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A10A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C3E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28.80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F9B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28.80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2EE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53F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3A0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E84E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C31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0C8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CC052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2D1D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CA9B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92D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18.13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D05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18.13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7CB6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551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986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E72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B6A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6EB8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E238C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4AC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D710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40A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12.76</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23A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12.76</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067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B1A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9A7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927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80BD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53B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B24FC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38A8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ACEA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6C4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2,881.86</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9C6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2,881.86</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5F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AA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E5C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76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53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B74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6D04F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EB7B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6CFD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1CC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696.57</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F6D6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696.57</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941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194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648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5FE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B764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586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063E6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3C0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103B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C6D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648.09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B77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648.09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8F3A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885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42D9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96C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951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4D7A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0EA77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F00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4C78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885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0.23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B13C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0.23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EBB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80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E2E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507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6C0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CD2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231C3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DA4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9A24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生态环境保护宣传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D6C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35.46</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F72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35.46</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C865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FD1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426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28C6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A1E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F07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20530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AB42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778C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环境保护法规、规划及标准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2BD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12.80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156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12.80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5B8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F9A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D8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3B3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D3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F23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0C159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B5B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2EF1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环境监测与监察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500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143.79</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BC4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143.79</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9F05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628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85AF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25A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DFD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3D7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CE78D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396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EA8B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其他环境监测与监察支出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B598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143.79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C8B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143.79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3C9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167E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281F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9D6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851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E34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EF362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DFD8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8846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C50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1,647.91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74C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1,647.91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5ED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8BC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342D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92E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779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E4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F6EA4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CDA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BD22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大气</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FC8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37.02</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44A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37.02</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A6F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2C9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90E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175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4EA3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26C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93FA7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71A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93DD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4B9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789.09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AC4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789.09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0CF8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FE0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4E4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0D4D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43A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06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1A13A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C4D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A4AD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062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30.32</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90A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30.32</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BD1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BA6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586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4C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D5E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92D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BE25F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A74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0F14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土壤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81A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584.39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FEF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584.39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FF2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918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70AC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1D6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655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07E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3F21A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D25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17B2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其他污染防治支出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02F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207.08</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B78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207.08</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CE15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A65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238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6E3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AD13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8EA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B323E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0D3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9788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094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FF0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096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2F1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DFA0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C95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8C9B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7C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DA653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3A3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D95D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328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393.59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8DA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393.59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1A6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30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383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68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D7D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E191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E0E36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B43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0E4C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B01C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499.80</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3BF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499.80</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6D9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857B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723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8B2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FF1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0FE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A8787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531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51F9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D6C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49.80</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E95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49.80</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2C9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786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ABC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E57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1B19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A0B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6F73C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9ABE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9B35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城市公共设施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105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49.80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E4B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49.80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FCD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04C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083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8E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91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2DAE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C81C5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DDA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4894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污水处理费安排的支出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6DA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450.00</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423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450.00</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763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EE2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6E6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C79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2AC2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826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A8155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837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8E92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污水处理设施建设和运营</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0CA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450.00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CF5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450.00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76B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D6D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995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442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E85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A29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C4F30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767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01B2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929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921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A85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7FB3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1F50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0833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8514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261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53943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C75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E155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5DA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C47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8DE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1865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5C0E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26AC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D042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503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DCE3D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DB7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A433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B14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6.21</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74E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6.21</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0C2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D9E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79E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84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B37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86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BBA5F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0F7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A5FA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607F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B66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1B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2B9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F55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741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4B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6F8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4FBA9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6BC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8EF3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39A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779A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6C61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72BA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F17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D44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BA1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D5E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7B188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D2D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2EE8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EE10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316.03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9F3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316.03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197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2DF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0474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D4C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197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464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632DF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C04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7D9B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A076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80.21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961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80.21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6E2B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AFB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907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AE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11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B48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A96E4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476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7A7D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86C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80.21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291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80.21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45E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584F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41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530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0FD8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426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78781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39B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2AB7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5F1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80.21</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BB3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80.21</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069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3DF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722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576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6BA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EE68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bl>
    <w:p w14:paraId="772B9BDF">
      <w:pPr>
        <w:rPr>
          <w:rFonts w:hint="default" w:ascii="Times New Roman" w:hAnsi="Times New Roman" w:cs="宋体"/>
          <w:sz w:val="20"/>
          <w:szCs w:val="20"/>
        </w:rPr>
      </w:pPr>
      <w:r>
        <w:rPr>
          <w:rFonts w:ascii="Times New Roman" w:hAnsi="Times New Roman" w:cs="宋体"/>
          <w:sz w:val="20"/>
          <w:szCs w:val="20"/>
        </w:rPr>
        <w:t>备注：1.本表反映部门本年度取得的各项收入情况。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602FFA9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B931F55">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14:paraId="6040829E">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DF857D5">
            <w:pPr>
              <w:rPr>
                <w:rFonts w:hint="default" w:ascii="Times New Roman" w:hAnsi="Times New Roman" w:cs="宋体"/>
                <w:color w:val="000000"/>
                <w:sz w:val="20"/>
                <w:szCs w:val="20"/>
              </w:rPr>
            </w:pPr>
            <w:r>
              <w:rPr>
                <w:rFonts w:ascii="Times New Roman" w:hAnsi="Times New Roman" w:cs="宋体"/>
                <w:sz w:val="20"/>
                <w:szCs w:val="20"/>
              </w:rPr>
              <w:t>公开部门</w:t>
            </w:r>
            <w:r>
              <w:rPr>
                <w:rFonts w:ascii="Times New Roman" w:hAnsi="Times New Roman" w:cs="宋体"/>
                <w:color w:val="000000"/>
                <w:sz w:val="20"/>
                <w:szCs w:val="20"/>
              </w:rPr>
              <w:t xml:space="preserve">： </w:t>
            </w:r>
            <w:r>
              <w:rPr>
                <w:rFonts w:ascii="Times New Roman" w:hAnsi="Times New Roman"/>
                <w:color w:val="000000"/>
                <w:sz w:val="20"/>
                <w:u w:color="auto"/>
              </w:rPr>
              <w:t xml:space="preserve">重庆市石柱土家族自治县生态环境局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B85DBE3">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5AA9C3F">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ABCF661">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3F04BFE">
            <w:pPr>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0710DA3">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公开03表</w:t>
            </w:r>
          </w:p>
        </w:tc>
      </w:tr>
      <w:tr w14:paraId="2DDFA2DB">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6580733">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7A02D49">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385B7F9">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3413C47">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740185D">
            <w:pPr>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F3A2B06">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1DFAF85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E3559A">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3CA4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87DA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1DF3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B576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8D12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C5EB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14:paraId="74246E1F">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5CE4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B5BCF8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6695F">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F3F81">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E3BAB">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39AB3">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E96F2">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50B9B">
            <w:pPr>
              <w:jc w:val="center"/>
              <w:rPr>
                <w:rFonts w:hint="default" w:ascii="Times New Roman" w:hAnsi="Times New Roman" w:cs="宋体"/>
                <w:b/>
                <w:color w:val="000000"/>
                <w:sz w:val="20"/>
                <w:szCs w:val="20"/>
              </w:rPr>
            </w:pPr>
          </w:p>
        </w:tc>
      </w:tr>
      <w:tr w14:paraId="1F9C4E1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97C3A">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20FB3B6">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308B0">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A8CCD">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2042A">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EEA56">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743B1">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C2271">
            <w:pPr>
              <w:jc w:val="center"/>
              <w:rPr>
                <w:rFonts w:hint="default" w:ascii="Times New Roman" w:hAnsi="Times New Roman" w:cs="宋体"/>
                <w:b/>
                <w:color w:val="000000"/>
                <w:sz w:val="20"/>
                <w:szCs w:val="20"/>
              </w:rPr>
            </w:pPr>
          </w:p>
        </w:tc>
      </w:tr>
      <w:tr w14:paraId="3BAED68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F06A3">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067158">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7AF88">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9E446">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E3758">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57E89">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B79B2">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D9981">
            <w:pPr>
              <w:jc w:val="center"/>
              <w:rPr>
                <w:rFonts w:hint="default" w:ascii="Times New Roman" w:hAnsi="Times New Roman" w:cs="宋体"/>
                <w:b/>
                <w:color w:val="000000"/>
                <w:sz w:val="20"/>
                <w:szCs w:val="20"/>
              </w:rPr>
            </w:pPr>
          </w:p>
        </w:tc>
      </w:tr>
      <w:tr w14:paraId="4E8938F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8F30E">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A977858">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301F2">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01016">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569BD">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8A90B">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5136E">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543CC">
            <w:pPr>
              <w:jc w:val="center"/>
              <w:rPr>
                <w:rFonts w:hint="default" w:ascii="Times New Roman" w:hAnsi="Times New Roman" w:cs="宋体"/>
                <w:b/>
                <w:color w:val="000000"/>
                <w:sz w:val="20"/>
                <w:szCs w:val="20"/>
              </w:rPr>
            </w:pPr>
          </w:p>
        </w:tc>
      </w:tr>
      <w:tr w14:paraId="351697A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00CD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4B918">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4,090.00</w:t>
            </w:r>
            <w:r>
              <w:rPr>
                <w:rFonts w:ascii="Times New Roman" w:hAnsi="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15BC0">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1,419.23</w:t>
            </w:r>
            <w:r>
              <w:rPr>
                <w:rFonts w:ascii="Times New Roman" w:hAnsi="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175CB">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2,670.77</w:t>
            </w:r>
            <w:r>
              <w:rPr>
                <w:rFonts w:ascii="Times New Roman" w:hAnsi="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23491">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455F7">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84175">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r w14:paraId="6BBE86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459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BE79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739C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237.65</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656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237.65</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304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E1C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285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E4C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F3352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AFC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47F9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743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237.65</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FE4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237.65</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C42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5FE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0A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8C0F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0D0C2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F31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9FFF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72A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45D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F608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57C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8EE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862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FFE52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9A3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52BE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1B6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C122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04B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21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16E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D59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8AFD4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4BF3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552F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33B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111.86</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114C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111.86</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678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56C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C03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8B8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FC50B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E28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21E3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EEC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114.50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0DF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114.50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23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5CA4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4BD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4B8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D823A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351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0E6F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3DC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142F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017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412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159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D03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FE3B9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FD1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09F4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930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68.23</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5EE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59.68</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48B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8.55</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CF3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181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BA80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C4BC6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92D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220A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620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8.55</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99E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1A3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8.55</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310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5048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383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9D291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F14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54A5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0EA3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8.55</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74A7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590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8.55</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B178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5A0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6D2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F26F4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75F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290E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626F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59.68</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3B15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59.68</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16C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5EB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99A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90B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5BDDB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D2C1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C5BC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18F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28.80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8C09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28.80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7EF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1FE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DFA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3A5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D47EF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B65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634A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A36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18.13</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9653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18.13</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29C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E21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A7E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618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3C4E5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80E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495C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0E8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12.76</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81D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12.76</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5A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FC8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6BF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8261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60F40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EEF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5B56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D12D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2,881.86</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FF2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1,041.68</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2FA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1,840.18</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9CB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E80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012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C3D76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CAA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60DE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350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696.57</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055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648.09</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1DB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48.49</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96AD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5576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BB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E2425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4A7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1E3C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F83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648.09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476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648.09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3CE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8300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7ED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1E8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2D32F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EF1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A6F0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FD4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0.23</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86B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5BD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0.23</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BFF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0A1A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FB6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794ED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E5B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D847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生态环境保护宣传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FB5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35.46</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C7D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285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35.46</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5A8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4E3D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3B8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87F31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025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BA49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环境保护法规、规划及标准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C92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12.80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76A2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E8C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12.80</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F3F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D93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2856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BB6B1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E1B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8B20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环境监测与监察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2C4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143.79</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9BE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EB78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143.79</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602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86F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FDB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17366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53E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6932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其他环境监测与监察支出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E49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143.79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70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44B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143.79</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2D8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856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CB4F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F937A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3FB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E85A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C3C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1,647.91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17C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959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1,647.91</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A67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25A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CB7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123D2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908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3CAD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大气</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8FE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37.02</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01D1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982E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37.02</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C7F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D7E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D3F8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09CC1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9E2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96E7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AC3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789.09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D12F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9F4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789.09</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70D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971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CD7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814E1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300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1BCC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1D0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30.32</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7A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B8D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30.32</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FB0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077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D6C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100B7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F3B9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7BA6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土壤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69D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584.39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F56A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978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584.39</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89F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A97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9CF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90BE0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B0E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1C54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其他污染防治支出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6A3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207.08</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4484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9F0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207.08</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409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A51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FBF3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271AF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F201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E29E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D82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046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298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C61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31C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9BA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EFFC3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ED57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4A8A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D87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393.59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9DF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393.59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1A0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C89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2E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2EC1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37E82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F71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BA27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537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499.80</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0BE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79B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499.80</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1E7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3E75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A32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EB7C6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B28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D84C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D1B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49.80</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42A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1B3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49.80</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761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38E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B3D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E2E3E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C7A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4849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城市公共设施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532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49.80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60A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B57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49.80</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13CE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4EE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634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03E6A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B9D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F8BB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污水处理费安排的支出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060C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450.00</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FFCE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C20E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450.00</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B53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0A45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33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FC1E8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766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FBC9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污水处理设施建设和运营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744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450.00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910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8A8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450.00</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6EE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B881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88C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C991D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323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5446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976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5CD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DCE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664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33D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7F2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53F86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B8B7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6617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696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0C9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667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D97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9A2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6F0E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4557D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36E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67E1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1E6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6.21</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9D2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62E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6.21</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886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8C0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85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51C93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68E4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2791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447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291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5C78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07B6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D12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C21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ECFD5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E863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E138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5B7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6733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5B6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7D6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51F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8A3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530CD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DAB5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E467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EA2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316.03</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81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D2F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316.03</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7AC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7A4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CCD1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A4DD2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6406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3412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7BB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80.21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3FE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80.21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BC9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A970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F06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85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AA92B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AD5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33CF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C0C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80.21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28A2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80.21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070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79E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317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485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A33BE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09C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587C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0FF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80.21</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D09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80.21</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8E4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CCB9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287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0C7A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bl>
    <w:p w14:paraId="2FF9639D">
      <w:pPr>
        <w:rPr>
          <w:rFonts w:hint="default" w:ascii="Times New Roman" w:hAnsi="Times New Roman" w:cs="宋体"/>
          <w:sz w:val="20"/>
          <w:szCs w:val="20"/>
        </w:rPr>
      </w:pPr>
      <w:r>
        <w:rPr>
          <w:rFonts w:ascii="Times New Roman" w:hAnsi="Times New Roman" w:cs="宋体"/>
          <w:sz w:val="20"/>
          <w:szCs w:val="20"/>
        </w:rPr>
        <w:t>备注：1.本表反映部门本年度各项支出情况。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2B4DDDF8">
      <w:pPr>
        <w:rPr>
          <w:rFonts w:hint="default" w:ascii="Times New Roman" w:hAnsi="Times New Roman" w:cs="宋体"/>
          <w:sz w:val="21"/>
          <w:szCs w:val="21"/>
        </w:rPr>
      </w:pPr>
      <w:r>
        <w:rPr>
          <w:rFonts w:ascii="Times New Roman" w:hAnsi="Times New Roman" w:cs="宋体"/>
          <w:sz w:val="21"/>
          <w:szCs w:val="21"/>
        </w:rPr>
        <w:br w:type="page"/>
      </w:r>
    </w:p>
    <w:p w14:paraId="4A7F495C">
      <w:pPr>
        <w:rPr>
          <w:rFonts w:hint="default" w:ascii="Times New Roman" w:hAnsi="Times New Roman"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149EFC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6D05102">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14:paraId="3862CDF9">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E6B2DD0">
            <w:pPr>
              <w:spacing w:line="200" w:lineRule="exact"/>
              <w:rPr>
                <w:rFonts w:hint="default" w:ascii="Times New Roman" w:hAnsi="Times New Roman" w:cs="宋体"/>
                <w:color w:val="000000"/>
                <w:sz w:val="18"/>
                <w:szCs w:val="18"/>
              </w:rPr>
            </w:pPr>
            <w:r>
              <w:rPr>
                <w:rFonts w:ascii="Times New Roman" w:hAnsi="Times New Roman" w:cs="宋体"/>
                <w:sz w:val="20"/>
                <w:szCs w:val="20"/>
              </w:rPr>
              <w:t>公开部门</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395CD8F2">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3F5BA0">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AE643B">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6E0028B">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公开04表</w:t>
            </w:r>
          </w:p>
        </w:tc>
      </w:tr>
      <w:tr w14:paraId="3BAB598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C8DA916">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70CBCA0">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F42408E">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5008BF">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D0DC6C7">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431A236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37B60">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0D85D">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14:paraId="4F59D27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3A36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267D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099673">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1958E5">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14:paraId="7121E5D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3732C">
            <w:pPr>
              <w:spacing w:line="200" w:lineRule="exact"/>
              <w:jc w:val="center"/>
              <w:rPr>
                <w:rFonts w:hint="default" w:ascii="Times New Roman" w:hAnsi="Times New Roman"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12D49">
            <w:pPr>
              <w:spacing w:line="200" w:lineRule="exact"/>
              <w:jc w:val="center"/>
              <w:rPr>
                <w:rFonts w:hint="default" w:ascii="Times New Roman" w:hAnsi="Times New Roman"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E9487D">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8E1A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FA74E">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CE34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E92E3">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14:paraId="7CA8D4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C696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5DA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3,590.20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87A3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88C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D428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1F8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A65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8C4AA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AFD9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CCA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499.80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5413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943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694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31F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1953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BF3DE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1F34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ED4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2792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47D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A0BC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EB0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724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1F543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E3DB9">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17A981">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B29B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9CB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BC82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8CB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601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D3AE2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F7B02">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39D368">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6431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871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87D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869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64B5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B8E0D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D9B8C">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CED732">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850C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4A79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EF6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837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45D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21E99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C4475">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EA9A61">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EC84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DB4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31C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075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A4E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30C25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832A4">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CCFF8C">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B020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49A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237.65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E7C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237.65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08C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88F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8C01F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AF445">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11606C">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B631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527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68.23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6F9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68.23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014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512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D969C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B0065">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9829">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C87A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791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2,881.86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0EB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2,881.86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4D8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054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A3465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A8B89">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CE76">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9E7F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5D5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499.80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F94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888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499.80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C47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4093B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AC609">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EAD0">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113D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BFE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A978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A30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F665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723E3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C7496">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7604">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B6B0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20E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377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FC2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073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8C9BE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4B019">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9D9C">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3533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941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BDF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735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6AE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E1141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D544C">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9B0F">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59EC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2D0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41D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A19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8D2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E6374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3F685">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5DE7">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2C02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48C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76AC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8F6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B10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687BB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477EB">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BB5A">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BD90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5BC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E6C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4A0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810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32538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BE0F5">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292B">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CF5E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F9B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316.03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143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316.03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148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217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2A815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750B5">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CF61">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57C9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D07E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80.21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EA08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80.21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FB9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D28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010B2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AE106">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82A7">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8644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7F9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774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F59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C4D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75F57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134DF">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F43B">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00E0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71E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315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FF3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3CA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BE6C2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5CE1F">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971C">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8A89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5A4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F56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136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96D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F2606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07ACB">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699E">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7C8A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DFF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C8D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CD2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32A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37290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3E059E">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FB9F">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578E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11B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4D7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370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889D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31369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E833863">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96D9">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98C0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4EF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46A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B857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802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48A76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661F20">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35B5">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8CA5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EE1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B49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D9DE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572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AD006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9A750">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709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4,090.00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139B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6AE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4,090.00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B66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3,590.20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B22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499.80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77E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1F0A6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001F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8595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7EAA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ABF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EB7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C72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DAB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F99EC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6CB0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811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6F53D7">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B1A40">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988C90">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8E9A3C">
            <w:pPr>
              <w:spacing w:line="200" w:lineRule="exac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002FC6">
            <w:pPr>
              <w:spacing w:line="200" w:lineRule="exact"/>
              <w:rPr>
                <w:rFonts w:hint="default" w:ascii="Times New Roman" w:hAnsi="Times New Roman" w:cs="宋体"/>
                <w:color w:val="000000"/>
                <w:sz w:val="18"/>
                <w:szCs w:val="18"/>
              </w:rPr>
            </w:pPr>
          </w:p>
        </w:tc>
      </w:tr>
      <w:tr w14:paraId="3B6BBD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8D8B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8DD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EAFC9">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1632">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5D69">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A402">
            <w:pPr>
              <w:spacing w:line="200" w:lineRule="exact"/>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B5AF">
            <w:pPr>
              <w:spacing w:line="200" w:lineRule="exact"/>
              <w:jc w:val="right"/>
              <w:rPr>
                <w:rFonts w:hint="default" w:ascii="Times New Roman" w:hAnsi="Times New Roman" w:cs="宋体"/>
                <w:color w:val="000000"/>
                <w:sz w:val="18"/>
                <w:szCs w:val="18"/>
              </w:rPr>
            </w:pPr>
          </w:p>
        </w:tc>
      </w:tr>
      <w:tr w14:paraId="33B17D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7230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CEE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61BC9">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818D">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B09B">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A18C">
            <w:pPr>
              <w:spacing w:line="200" w:lineRule="exact"/>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C242">
            <w:pPr>
              <w:spacing w:line="200" w:lineRule="exact"/>
              <w:jc w:val="right"/>
              <w:rPr>
                <w:rFonts w:hint="default" w:ascii="Times New Roman" w:hAnsi="Times New Roman" w:cs="宋体"/>
                <w:color w:val="000000"/>
                <w:sz w:val="18"/>
                <w:szCs w:val="18"/>
              </w:rPr>
            </w:pPr>
          </w:p>
        </w:tc>
      </w:tr>
      <w:tr w14:paraId="436639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E26B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669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4,090.00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BF66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099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4,090.00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6CA3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3,590.20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6FF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499.80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753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bl>
    <w:p w14:paraId="245B82B1">
      <w:pPr>
        <w:spacing w:line="240" w:lineRule="exact"/>
        <w:rPr>
          <w:rFonts w:hint="default" w:ascii="Times New Roman" w:hAnsi="Times New Roman" w:cs="宋体"/>
          <w:sz w:val="20"/>
          <w:szCs w:val="20"/>
        </w:rPr>
      </w:pPr>
      <w:r>
        <w:rPr>
          <w:rFonts w:ascii="Times New Roman" w:hAnsi="Times New Roman" w:cs="宋体"/>
          <w:sz w:val="20"/>
          <w:szCs w:val="20"/>
        </w:rPr>
        <w:t>备注：1.本表反映部门本年度一般公共预算财政拨款、政府性基金预算财政拨款及国有资本经营预算财政拨款的总收支和年末结转结余情况。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14:paraId="07666DA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5815E45">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14:paraId="4C309003">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18C776B">
            <w:pPr>
              <w:rPr>
                <w:rFonts w:hint="default" w:ascii="Times New Roman" w:hAnsi="Times New Roman" w:cs="宋体"/>
                <w:color w:val="000000"/>
                <w:sz w:val="20"/>
                <w:szCs w:val="20"/>
              </w:rPr>
            </w:pPr>
            <w:r>
              <w:rPr>
                <w:rFonts w:ascii="Times New Roman" w:hAnsi="Times New Roman" w:cs="宋体"/>
                <w:sz w:val="20"/>
                <w:szCs w:val="20"/>
              </w:rPr>
              <w:t>公开部门</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5ED2BF8">
            <w:pPr>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70829C3">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公开05表</w:t>
            </w:r>
          </w:p>
        </w:tc>
      </w:tr>
      <w:tr w14:paraId="34BC46CC">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25AE3BF">
            <w:pPr>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9E94191">
            <w:pPr>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7B968E2">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7DF9667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BF17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A58D5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2C8E1645">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9442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97970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F5A41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F4400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BE0E7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294E62B6">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E3998">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D3A3B4">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CE887C">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5555D4">
            <w:pPr>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7C6892">
            <w:pPr>
              <w:jc w:val="center"/>
              <w:rPr>
                <w:rFonts w:hint="default" w:ascii="Times New Roman" w:hAnsi="Times New Roman" w:cs="宋体"/>
                <w:b/>
                <w:color w:val="000000"/>
                <w:sz w:val="20"/>
                <w:szCs w:val="20"/>
              </w:rPr>
            </w:pPr>
          </w:p>
        </w:tc>
      </w:tr>
      <w:tr w14:paraId="1F6144E8">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ECDD2">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3070F2">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7C28FD">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0DE9D5">
            <w:pPr>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639D55">
            <w:pPr>
              <w:jc w:val="center"/>
              <w:rPr>
                <w:rFonts w:hint="default" w:ascii="Times New Roman" w:hAnsi="Times New Roman" w:cs="宋体"/>
                <w:b/>
                <w:color w:val="000000"/>
                <w:sz w:val="20"/>
                <w:szCs w:val="20"/>
              </w:rPr>
            </w:pPr>
          </w:p>
        </w:tc>
      </w:tr>
      <w:tr w14:paraId="7A8CF058">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47EB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F4315">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3,590.20</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AD065">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1,419.23</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93E6F">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2,170.97</w:t>
            </w:r>
            <w:r>
              <w:rPr>
                <w:rFonts w:ascii="Times New Roman" w:hAnsi="Times New Roman"/>
                <w:b/>
                <w:color w:val="000000"/>
                <w:sz w:val="20"/>
                <w:u w:color="auto"/>
              </w:rPr>
              <w:t xml:space="preserve"> </w:t>
            </w:r>
          </w:p>
        </w:tc>
      </w:tr>
      <w:tr w14:paraId="0CEAA1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818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7C7C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AF83D">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237.65</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0994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237.65</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A7DC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0A1F33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686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2B07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DF39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237.65</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3BB6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237.65</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FE56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19A065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360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14A1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809D2">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0587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82B8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19AD4E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0BB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7BFA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B482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28EF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FE95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135D91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1A8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EB4F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C1F79">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111.86</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13D7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111.86</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911B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1E74B1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D19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325C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B0F2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114.50</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5B84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114.50</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16D5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54E5D9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8D4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0F88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FBDB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2.10</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9B45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2.10</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3D29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2B8872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861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D75D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4BC5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68.23</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4902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59.68</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6B92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8.55</w:t>
            </w:r>
            <w:r>
              <w:rPr>
                <w:rFonts w:ascii="Times New Roman" w:hAnsi="Times New Roman"/>
                <w:b/>
                <w:color w:val="000000"/>
                <w:sz w:val="20"/>
                <w:u w:color="auto"/>
              </w:rPr>
              <w:t xml:space="preserve"> </w:t>
            </w:r>
          </w:p>
        </w:tc>
      </w:tr>
      <w:tr w14:paraId="5E713D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AD8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5B9D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08A6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8.55</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558B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3F86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8.55</w:t>
            </w:r>
            <w:r>
              <w:rPr>
                <w:rFonts w:ascii="Times New Roman" w:hAnsi="Times New Roman"/>
                <w:b/>
                <w:color w:val="000000"/>
                <w:sz w:val="20"/>
                <w:u w:color="auto"/>
              </w:rPr>
              <w:t xml:space="preserve"> </w:t>
            </w:r>
          </w:p>
        </w:tc>
      </w:tr>
      <w:tr w14:paraId="616E78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B9D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F1C7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4D5D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8.55</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5664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BA492">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8.55</w:t>
            </w:r>
            <w:r>
              <w:rPr>
                <w:rFonts w:ascii="Times New Roman" w:hAnsi="Times New Roman"/>
                <w:color w:val="000000"/>
                <w:sz w:val="20"/>
                <w:u w:color="auto"/>
              </w:rPr>
              <w:t xml:space="preserve"> </w:t>
            </w:r>
          </w:p>
        </w:tc>
      </w:tr>
      <w:tr w14:paraId="540B3A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86A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2022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3E23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59.68</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AA47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59.68</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393D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179B9C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434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07DA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AA18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28.80</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FA7D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28.80</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D2E1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2190D7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D48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EF88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6C530">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18.13</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E9B9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18.13</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151D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755A25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291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A11D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AA72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12.76</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3F85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12.76</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D987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04E2CA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100C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497E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3187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2,881.86</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AC55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1,041.68</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C5E1D">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1,840.18</w:t>
            </w:r>
            <w:r>
              <w:rPr>
                <w:rFonts w:ascii="Times New Roman" w:hAnsi="Times New Roman"/>
                <w:b/>
                <w:color w:val="000000"/>
                <w:sz w:val="20"/>
                <w:u w:color="auto"/>
              </w:rPr>
              <w:t xml:space="preserve"> </w:t>
            </w:r>
          </w:p>
        </w:tc>
      </w:tr>
      <w:tr w14:paraId="003C41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057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1849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5D6E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696.57</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E347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648.09</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C449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48.49</w:t>
            </w:r>
            <w:r>
              <w:rPr>
                <w:rFonts w:ascii="Times New Roman" w:hAnsi="Times New Roman"/>
                <w:b/>
                <w:color w:val="000000"/>
                <w:sz w:val="20"/>
                <w:u w:color="auto"/>
              </w:rPr>
              <w:t xml:space="preserve"> </w:t>
            </w:r>
          </w:p>
        </w:tc>
      </w:tr>
      <w:tr w14:paraId="30A4CB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34A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2206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E7BC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648.09</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D6431">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648.09</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8324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03774E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BD83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60AF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CC74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0.23</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5622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E32E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0.23</w:t>
            </w:r>
            <w:r>
              <w:rPr>
                <w:rFonts w:ascii="Times New Roman" w:hAnsi="Times New Roman"/>
                <w:color w:val="000000"/>
                <w:sz w:val="20"/>
                <w:u w:color="auto"/>
              </w:rPr>
              <w:t xml:space="preserve"> </w:t>
            </w:r>
          </w:p>
        </w:tc>
      </w:tr>
      <w:tr w14:paraId="18A1EE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E636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E69F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生态环境保护宣传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E456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35.46</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DBFE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DC2C0">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35.46</w:t>
            </w:r>
            <w:r>
              <w:rPr>
                <w:rFonts w:ascii="Times New Roman" w:hAnsi="Times New Roman"/>
                <w:color w:val="000000"/>
                <w:sz w:val="20"/>
                <w:u w:color="auto"/>
              </w:rPr>
              <w:t xml:space="preserve"> </w:t>
            </w:r>
          </w:p>
        </w:tc>
      </w:tr>
      <w:tr w14:paraId="468736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848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E8C7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环境保护法规、规划及标准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A5E3A">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12.80</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B4B7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0491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12.80</w:t>
            </w:r>
            <w:r>
              <w:rPr>
                <w:rFonts w:ascii="Times New Roman" w:hAnsi="Times New Roman"/>
                <w:color w:val="000000"/>
                <w:sz w:val="20"/>
                <w:u w:color="auto"/>
              </w:rPr>
              <w:t xml:space="preserve"> </w:t>
            </w:r>
          </w:p>
        </w:tc>
      </w:tr>
      <w:tr w14:paraId="6509C6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84A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F852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环境监测与监察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7B85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143.79</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D1491">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B187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143.79</w:t>
            </w:r>
            <w:r>
              <w:rPr>
                <w:rFonts w:ascii="Times New Roman" w:hAnsi="Times New Roman"/>
                <w:b/>
                <w:color w:val="000000"/>
                <w:sz w:val="20"/>
                <w:u w:color="auto"/>
              </w:rPr>
              <w:t xml:space="preserve"> </w:t>
            </w:r>
          </w:p>
        </w:tc>
      </w:tr>
      <w:tr w14:paraId="10D5F8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788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284D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其他环境监测与监察支出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A38F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143.79</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FB74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C9F8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143.79</w:t>
            </w:r>
            <w:r>
              <w:rPr>
                <w:rFonts w:ascii="Times New Roman" w:hAnsi="Times New Roman"/>
                <w:color w:val="000000"/>
                <w:sz w:val="20"/>
                <w:u w:color="auto"/>
              </w:rPr>
              <w:t xml:space="preserve"> </w:t>
            </w:r>
          </w:p>
        </w:tc>
      </w:tr>
      <w:tr w14:paraId="2ADD9E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FCC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23D7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A7BD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1,647.91</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0B97F">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70E1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1,647.91</w:t>
            </w:r>
            <w:r>
              <w:rPr>
                <w:rFonts w:ascii="Times New Roman" w:hAnsi="Times New Roman"/>
                <w:b/>
                <w:color w:val="000000"/>
                <w:sz w:val="20"/>
                <w:u w:color="auto"/>
              </w:rPr>
              <w:t xml:space="preserve"> </w:t>
            </w:r>
          </w:p>
        </w:tc>
      </w:tr>
      <w:tr w14:paraId="4C8E77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4D4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0AEB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大气</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03A5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37.02</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DF2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4E21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37.02</w:t>
            </w:r>
            <w:r>
              <w:rPr>
                <w:rFonts w:ascii="Times New Roman" w:hAnsi="Times New Roman"/>
                <w:color w:val="000000"/>
                <w:sz w:val="20"/>
                <w:u w:color="auto"/>
              </w:rPr>
              <w:t xml:space="preserve"> </w:t>
            </w:r>
          </w:p>
        </w:tc>
      </w:tr>
      <w:tr w14:paraId="38D8CC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A08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1D82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6454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789.09</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2954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5D84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789.09</w:t>
            </w:r>
            <w:r>
              <w:rPr>
                <w:rFonts w:ascii="Times New Roman" w:hAnsi="Times New Roman"/>
                <w:color w:val="000000"/>
                <w:sz w:val="20"/>
                <w:u w:color="auto"/>
              </w:rPr>
              <w:t xml:space="preserve"> </w:t>
            </w:r>
          </w:p>
        </w:tc>
      </w:tr>
      <w:tr w14:paraId="55FAE0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F90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52B8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480C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30.32</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5A59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BDBF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30.32</w:t>
            </w:r>
            <w:r>
              <w:rPr>
                <w:rFonts w:ascii="Times New Roman" w:hAnsi="Times New Roman"/>
                <w:color w:val="000000"/>
                <w:sz w:val="20"/>
                <w:u w:color="auto"/>
              </w:rPr>
              <w:t xml:space="preserve"> </w:t>
            </w:r>
          </w:p>
        </w:tc>
      </w:tr>
      <w:tr w14:paraId="0573B0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13B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3761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土壤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9FF3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584.39</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72C4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1F2B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584.39</w:t>
            </w:r>
            <w:r>
              <w:rPr>
                <w:rFonts w:ascii="Times New Roman" w:hAnsi="Times New Roman"/>
                <w:color w:val="000000"/>
                <w:sz w:val="20"/>
                <w:u w:color="auto"/>
              </w:rPr>
              <w:t xml:space="preserve"> </w:t>
            </w:r>
          </w:p>
        </w:tc>
      </w:tr>
      <w:tr w14:paraId="253011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903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417E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其他污染防治支出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C410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207.08</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CD751">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011C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207.08</w:t>
            </w:r>
            <w:r>
              <w:rPr>
                <w:rFonts w:ascii="Times New Roman" w:hAnsi="Times New Roman"/>
                <w:color w:val="000000"/>
                <w:sz w:val="20"/>
                <w:u w:color="auto"/>
              </w:rPr>
              <w:t xml:space="preserve"> </w:t>
            </w:r>
          </w:p>
        </w:tc>
      </w:tr>
      <w:tr w14:paraId="26D639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442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1D78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5792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D57E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14ED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19EE00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3D9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415D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2E66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393.59</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D09E2">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393.59</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FFD3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5B5E15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732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DDF2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C753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F224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1A8D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r>
      <w:tr w14:paraId="179774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5E5A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7429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B9D9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4030F">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AA2F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r>
      <w:tr w14:paraId="3E7EDB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BB4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3F66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3C37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6.21</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631B1">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648F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6.21</w:t>
            </w:r>
            <w:r>
              <w:rPr>
                <w:rFonts w:ascii="Times New Roman" w:hAnsi="Times New Roman"/>
                <w:color w:val="000000"/>
                <w:sz w:val="20"/>
                <w:u w:color="auto"/>
              </w:rPr>
              <w:t xml:space="preserve"> </w:t>
            </w:r>
          </w:p>
        </w:tc>
      </w:tr>
      <w:tr w14:paraId="4A8E86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AF47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0B3C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C1F1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4180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F1E2D">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r>
      <w:tr w14:paraId="74A739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185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7E6C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6358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77EE5">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751B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r>
      <w:tr w14:paraId="0E211B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E63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F7A7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21B8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316.03</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5F52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4276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316.03</w:t>
            </w:r>
            <w:r>
              <w:rPr>
                <w:rFonts w:ascii="Times New Roman" w:hAnsi="Times New Roman"/>
                <w:color w:val="000000"/>
                <w:sz w:val="20"/>
                <w:u w:color="auto"/>
              </w:rPr>
              <w:t xml:space="preserve"> </w:t>
            </w:r>
          </w:p>
        </w:tc>
      </w:tr>
      <w:tr w14:paraId="427C28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B2D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9745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8F3F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80.21</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1013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80.21</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9F893">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6B1395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2C0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5B71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0F6EF">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80.21</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9CCA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80.21</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C065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620B75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746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9D31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532F2">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80.21</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DA5F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80.21</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6336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bl>
    <w:p w14:paraId="796F27DA">
      <w:pPr>
        <w:rPr>
          <w:rFonts w:hint="default" w:ascii="Times New Roman" w:hAnsi="Times New Roman" w:cs="宋体"/>
          <w:sz w:val="21"/>
          <w:szCs w:val="21"/>
        </w:rPr>
      </w:pPr>
      <w:r>
        <w:rPr>
          <w:rFonts w:ascii="Times New Roman" w:hAnsi="Times New Roman" w:cs="宋体"/>
          <w:sz w:val="20"/>
          <w:szCs w:val="20"/>
        </w:rPr>
        <w:t>备注：1.本表反映部门本年度一般公共预算财政拨款支出情况。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4ACFA751">
      <w:pP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5A59F2C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FF556A2">
            <w:pP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14:paraId="67509936">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25FF1E8E">
            <w:pPr>
              <w:spacing w:line="200" w:lineRule="exact"/>
              <w:rPr>
                <w:rFonts w:hint="default" w:ascii="Times New Roman" w:hAnsi="Times New Roman" w:cs="宋体"/>
                <w:color w:val="000000"/>
                <w:sz w:val="18"/>
                <w:szCs w:val="18"/>
              </w:rPr>
            </w:pPr>
            <w:r>
              <w:rPr>
                <w:rFonts w:ascii="Times New Roman" w:hAnsi="Times New Roman" w:cs="宋体"/>
                <w:sz w:val="20"/>
                <w:szCs w:val="20"/>
              </w:rPr>
              <w:t>公开部门</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重庆市石柱土家族自治县生态环境局</w:t>
            </w:r>
          </w:p>
        </w:tc>
        <w:tc>
          <w:tcPr>
            <w:tcW w:w="539" w:type="pct"/>
            <w:tcBorders>
              <w:top w:val="nil"/>
              <w:left w:val="nil"/>
              <w:bottom w:val="nil"/>
              <w:right w:val="nil"/>
            </w:tcBorders>
            <w:shd w:val="clear" w:color="auto" w:fill="auto"/>
            <w:noWrap/>
            <w:tcMar>
              <w:top w:w="15" w:type="dxa"/>
              <w:left w:w="15" w:type="dxa"/>
              <w:right w:w="15" w:type="dxa"/>
            </w:tcMar>
            <w:vAlign w:val="bottom"/>
          </w:tcPr>
          <w:p w14:paraId="22ACC66C">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D25C5F2">
            <w:pP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32E23B9">
            <w:pP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0184634">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公开06表</w:t>
            </w:r>
          </w:p>
        </w:tc>
      </w:tr>
      <w:tr w14:paraId="6CC27593">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7CA8A1B9">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C4481DA">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6D702D0">
            <w:pP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F5832C7">
            <w:pP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A22F997">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0F259E5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4B269">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587830D">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14:paraId="42B2A6B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5C3C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605C88">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B4349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9C81B">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9FF10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1366E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75765">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D43919">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D4E834">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14:paraId="55E101F0">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1AA2E">
            <w:pPr>
              <w:spacing w:line="200" w:lineRule="exact"/>
              <w:jc w:val="center"/>
              <w:rPr>
                <w:rFonts w:hint="default" w:ascii="Times New Roman" w:hAnsi="Times New Roman"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BE715B">
            <w:pPr>
              <w:spacing w:line="200" w:lineRule="exact"/>
              <w:jc w:val="center"/>
              <w:rPr>
                <w:rFonts w:hint="default" w:ascii="Times New Roman" w:hAnsi="Times New Roman"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5C6A90">
            <w:pPr>
              <w:spacing w:line="200" w:lineRule="exact"/>
              <w:jc w:val="center"/>
              <w:rPr>
                <w:rFonts w:hint="default" w:ascii="Times New Roman" w:hAnsi="Times New Roman"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563C8">
            <w:pPr>
              <w:spacing w:line="200" w:lineRule="exact"/>
              <w:jc w:val="center"/>
              <w:rPr>
                <w:rFonts w:hint="default" w:ascii="Times New Roman" w:hAnsi="Times New Roman"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E544CD">
            <w:pPr>
              <w:spacing w:line="200" w:lineRule="exact"/>
              <w:jc w:val="center"/>
              <w:rPr>
                <w:rFonts w:hint="default" w:ascii="Times New Roman" w:hAnsi="Times New Roman"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B62548">
            <w:pPr>
              <w:spacing w:line="200" w:lineRule="exact"/>
              <w:jc w:val="center"/>
              <w:rPr>
                <w:rFonts w:hint="default" w:ascii="Times New Roman" w:hAnsi="Times New Roman"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68D95">
            <w:pPr>
              <w:spacing w:line="200" w:lineRule="exact"/>
              <w:jc w:val="center"/>
              <w:rPr>
                <w:rFonts w:hint="default" w:ascii="Times New Roman" w:hAnsi="Times New Roman"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C3E2A4">
            <w:pPr>
              <w:spacing w:line="200" w:lineRule="exact"/>
              <w:jc w:val="center"/>
              <w:rPr>
                <w:rFonts w:hint="default" w:ascii="Times New Roman" w:hAnsi="Times New Roman"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1D88A6">
            <w:pPr>
              <w:spacing w:line="200" w:lineRule="exact"/>
              <w:jc w:val="center"/>
              <w:rPr>
                <w:rFonts w:hint="default" w:ascii="Times New Roman" w:hAnsi="Times New Roman" w:cs="宋体"/>
                <w:b/>
                <w:color w:val="000000"/>
                <w:sz w:val="18"/>
                <w:szCs w:val="18"/>
              </w:rPr>
            </w:pPr>
          </w:p>
        </w:tc>
      </w:tr>
      <w:tr w14:paraId="33B59F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7E6D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00B2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396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1,186.08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905F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7919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191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220.34</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68D7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6BE5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90C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0.52</w:t>
            </w:r>
            <w:r>
              <w:rPr>
                <w:rFonts w:ascii="Times New Roman" w:hAnsi="Times New Roman"/>
                <w:color w:val="000000"/>
                <w:sz w:val="18"/>
                <w:u w:color="auto"/>
              </w:rPr>
              <w:t xml:space="preserve"> </w:t>
            </w:r>
          </w:p>
        </w:tc>
      </w:tr>
      <w:tr w14:paraId="3231A9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0B63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7A50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47C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247.98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ECDD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594A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019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60.20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576B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B447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5D4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66E58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2BE5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3072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849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163.32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5AE0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D797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1B5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7.41</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4682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DA01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C43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0.52</w:t>
            </w:r>
            <w:r>
              <w:rPr>
                <w:rFonts w:ascii="Times New Roman" w:hAnsi="Times New Roman"/>
                <w:color w:val="000000"/>
                <w:sz w:val="18"/>
                <w:u w:color="auto"/>
              </w:rPr>
              <w:t xml:space="preserve"> </w:t>
            </w:r>
          </w:p>
        </w:tc>
      </w:tr>
      <w:tr w14:paraId="152B74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4143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3576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C1F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198.57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673C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521A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9B6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91D7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4355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451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EAC40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19E7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AD56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C6D6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12E9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DED3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2F0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02A6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21E2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F66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A157B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E83D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C6DA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042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204.72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FCE8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F7A3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1F5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1.23</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A031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6284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EEA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A0185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624F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FE96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50D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111.86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9E16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7F79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39CC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8.66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6490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1A2F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456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04F5E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A7C1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E0DB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831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114.50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8E66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20C8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B7A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2.99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9466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73DF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3D3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497C2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2409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17D6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AEB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49.39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CCB0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656C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874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F693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B6B0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8EBA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8CDC4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E043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3581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38BD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0B2D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3098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2A6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4.50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02A1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46A0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BCE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0D306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D5BC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3103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D5B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3.77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B3A8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12F0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E9B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24.15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1FB8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A8ED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E41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F3EE5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89C8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6B2A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BAE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80.21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D0B8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55D7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11ED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A36B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2A45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4D7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81702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7BF9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553B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0E6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11.76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01B8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5593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CC3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9AC0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F88F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4F8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3749C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F2D2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E2FB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5191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5D57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413F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FF75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9610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DB60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AE8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21FF4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3085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E3AB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B02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12.30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4EB2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A844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4CA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10.61</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4FD3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60A8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9DF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717E6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891A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D8AB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D81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11A9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D2A3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880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2.95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CA3B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D1F7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50F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0994A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7D4E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50CC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D56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84CB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153F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DB3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4725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64AB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FEE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A504C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F18F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0E12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937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3587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66FE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CA9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52C4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690A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864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7DA68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3410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33E0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B5F6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E11F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C4D3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B45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0D4E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94A1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BC2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E75D3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298B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C909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012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11.30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7911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83E5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D3B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7652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BB36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C34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AEC2E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61C4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E412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E077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3783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9D15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9ED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5.42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C0FD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9C73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7AB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2F437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8C66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E642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C75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A14A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8E7B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C0D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302B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D39D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177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F7E20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B302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D78B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CCB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0BBC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0453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AF4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19.14</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8E87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2F6B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CFD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C16BD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75E1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8AB2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166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BA74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6ECB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51E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BB82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CEE3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7BFB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40A18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CE25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FBA1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24A2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1C3D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0D51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236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6.90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A828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6181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B42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95280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86EC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2308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D4E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56B6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2B6C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D57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41.32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923C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F313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1CC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B4F35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04ED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4318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C12D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E2E2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1873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3B6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01E8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C41B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BD2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9F389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EACB8">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D9B56">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740C02">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886D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D5D3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4EF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10.96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A226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0BF1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FB8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445D8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2E5AC">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5EA3D">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A00B5C">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5CF9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40D6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194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7E53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D4BF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8F20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52C52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F5A2E">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3E3F3">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AC63F8">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3FFC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3C74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CC9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35796">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0C4A5">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65F2">
            <w:pPr>
              <w:spacing w:line="200" w:lineRule="exact"/>
              <w:jc w:val="right"/>
              <w:rPr>
                <w:rFonts w:hint="default" w:ascii="Times New Roman" w:hAnsi="Times New Roman" w:cs="宋体"/>
                <w:color w:val="000000"/>
                <w:sz w:val="18"/>
                <w:szCs w:val="18"/>
              </w:rPr>
            </w:pPr>
          </w:p>
        </w:tc>
      </w:tr>
      <w:tr w14:paraId="7A9C4F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71ECD">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FA3D1">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0A6976">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2703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8984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45F0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01CE4">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C6DD2">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6458">
            <w:pPr>
              <w:spacing w:line="200" w:lineRule="exact"/>
              <w:jc w:val="right"/>
              <w:rPr>
                <w:rFonts w:hint="default" w:ascii="Times New Roman" w:hAnsi="Times New Roman" w:cs="宋体"/>
                <w:color w:val="000000"/>
                <w:sz w:val="18"/>
                <w:szCs w:val="18"/>
              </w:rPr>
            </w:pPr>
          </w:p>
        </w:tc>
      </w:tr>
      <w:tr w14:paraId="18EEB4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386CA">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66061">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7F5DEF">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AC34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7018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25D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360FF">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2EFC2">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14A3">
            <w:pPr>
              <w:spacing w:line="200" w:lineRule="exact"/>
              <w:jc w:val="right"/>
              <w:rPr>
                <w:rFonts w:hint="default" w:ascii="Times New Roman" w:hAnsi="Times New Roman" w:cs="宋体"/>
                <w:color w:val="000000"/>
                <w:sz w:val="18"/>
                <w:szCs w:val="18"/>
              </w:rPr>
            </w:pPr>
          </w:p>
        </w:tc>
      </w:tr>
      <w:tr w14:paraId="2CCBED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BCEF0">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F647D">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1A1F98">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5703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8067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650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10675">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C4872">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9B3A">
            <w:pPr>
              <w:spacing w:line="200" w:lineRule="exact"/>
              <w:jc w:val="right"/>
              <w:rPr>
                <w:rFonts w:hint="default" w:ascii="Times New Roman" w:hAnsi="Times New Roman" w:cs="宋体"/>
                <w:color w:val="000000"/>
                <w:sz w:val="18"/>
                <w:szCs w:val="18"/>
              </w:rPr>
            </w:pPr>
          </w:p>
        </w:tc>
      </w:tr>
      <w:tr w14:paraId="278041FD">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6EA45">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A80AAB">
            <w:pPr>
              <w:wordWrap w:val="0"/>
              <w:spacing w:line="200" w:lineRule="exact"/>
              <w:jc w:val="right"/>
              <w:textAlignment w:val="bottom"/>
              <w:rPr>
                <w:rFonts w:hint="default" w:ascii="Times New Roman" w:hAnsi="Times New Roman" w:cs="宋体"/>
                <w:color w:val="000000"/>
                <w:sz w:val="18"/>
                <w:szCs w:val="18"/>
              </w:rPr>
            </w:pPr>
            <w:r>
              <w:rPr>
                <w:rFonts w:ascii="Times New Roman" w:hAnsi="Times New Roman" w:cs="宋体"/>
                <w:color w:val="000000"/>
                <w:sz w:val="18"/>
                <w:szCs w:val="18"/>
              </w:rPr>
              <w:t>1,198.37</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2F1A88">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07DA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220.85</w:t>
            </w:r>
            <w:r>
              <w:rPr>
                <w:rFonts w:ascii="Times New Roman" w:hAnsi="Times New Roman"/>
                <w:color w:val="000000"/>
                <w:sz w:val="18"/>
                <w:u w:color="auto"/>
              </w:rPr>
              <w:t xml:space="preserve"> </w:t>
            </w:r>
          </w:p>
        </w:tc>
      </w:tr>
    </w:tbl>
    <w:p w14:paraId="24F1F3B6">
      <w:pPr>
        <w:spacing w:line="280" w:lineRule="exact"/>
        <w:rPr>
          <w:rFonts w:hint="default" w:ascii="Times New Roman" w:hAnsi="Times New Roman" w:cs="宋体"/>
          <w:sz w:val="20"/>
          <w:szCs w:val="20"/>
        </w:rPr>
      </w:pPr>
      <w:r>
        <w:rPr>
          <w:rFonts w:ascii="Times New Roman" w:hAnsi="Times New Roman" w:cs="宋体"/>
          <w:sz w:val="20"/>
          <w:szCs w:val="20"/>
        </w:rPr>
        <w:t>备注：1.本表反映部门本年度一般公共预算财政拨款基本支出明细情况。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2BBCD7D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8CFF3B1">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14:paraId="735832EF">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8F0A1F2">
            <w:pPr>
              <w:rPr>
                <w:rFonts w:hint="default" w:ascii="Times New Roman" w:hAnsi="Times New Roman" w:cs="宋体"/>
                <w:color w:val="000000"/>
                <w:sz w:val="20"/>
                <w:szCs w:val="20"/>
              </w:rPr>
            </w:pPr>
            <w:r>
              <w:rPr>
                <w:rFonts w:ascii="Times New Roman" w:hAnsi="Times New Roman" w:cs="宋体"/>
                <w:sz w:val="20"/>
                <w:szCs w:val="20"/>
              </w:rPr>
              <w:t>公开部门</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52026DB0">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413C26">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0720EC">
            <w:pPr>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045E9C7">
            <w:pPr>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F01C841">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公开07表</w:t>
            </w:r>
          </w:p>
        </w:tc>
      </w:tr>
      <w:tr w14:paraId="7B2A9147">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BE6551D">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F64DFF">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3C0336">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741CC4">
            <w:pPr>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1B18385">
            <w:pPr>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D9B832A">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1E1A67A5">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AC8B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28D1C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E533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FE5B8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4E8A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14:paraId="73E8DC59">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0A2E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4205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300B1B">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A71C0">
            <w:pPr>
              <w:jc w:val="center"/>
              <w:rPr>
                <w:rFonts w:hint="default" w:ascii="Times New Roman" w:hAnsi="Times New Roman"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B310F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57555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CFE24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36E73">
            <w:pPr>
              <w:jc w:val="center"/>
              <w:rPr>
                <w:rFonts w:hint="default" w:ascii="Times New Roman" w:hAnsi="Times New Roman" w:cs="宋体"/>
                <w:b/>
                <w:color w:val="000000"/>
                <w:sz w:val="20"/>
                <w:szCs w:val="20"/>
              </w:rPr>
            </w:pPr>
          </w:p>
        </w:tc>
      </w:tr>
      <w:tr w14:paraId="6E619553">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82E92">
            <w:pPr>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C3158">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91FE20E">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3930D">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B1DADB">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738222">
            <w:pPr>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06DD58">
            <w:pPr>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E459F">
            <w:pPr>
              <w:jc w:val="center"/>
              <w:rPr>
                <w:rFonts w:hint="default" w:ascii="Times New Roman" w:hAnsi="Times New Roman" w:cs="宋体"/>
                <w:b/>
                <w:color w:val="000000"/>
                <w:sz w:val="20"/>
                <w:szCs w:val="20"/>
              </w:rPr>
            </w:pPr>
          </w:p>
        </w:tc>
      </w:tr>
      <w:tr w14:paraId="1928A60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F28FF">
            <w:pPr>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151FB">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8749F39">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8953F">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B3CFE0">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975884">
            <w:pPr>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2ED809">
            <w:pPr>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8101F">
            <w:pPr>
              <w:jc w:val="center"/>
              <w:rPr>
                <w:rFonts w:hint="default" w:ascii="Times New Roman" w:hAnsi="Times New Roman" w:cs="宋体"/>
                <w:b/>
                <w:color w:val="000000"/>
                <w:sz w:val="20"/>
                <w:szCs w:val="20"/>
              </w:rPr>
            </w:pPr>
          </w:p>
        </w:tc>
      </w:tr>
      <w:tr w14:paraId="267309A4">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C744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2B75D">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05862">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499.80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E4561">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499.80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3F60A">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369D5">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499.80</w:t>
            </w:r>
            <w:r>
              <w:rPr>
                <w:rFonts w:ascii="Times New Roman" w:hAnsi="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3141F">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r w14:paraId="1D29D85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C639">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2D029">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6F48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2F0E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499.80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7195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499.80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D600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E5296">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499.80</w:t>
            </w:r>
            <w:r>
              <w:rPr>
                <w:rFonts w:ascii="Times New Roman" w:hAnsi="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3546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5F38128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DEF6">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DFD11">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41F3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1961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49.80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F421F">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49.80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2901E">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AC00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49.80</w:t>
            </w:r>
            <w:r>
              <w:rPr>
                <w:rFonts w:ascii="Times New Roman" w:hAnsi="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7CFD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3E5668F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57B0">
            <w:pPr>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9A08E">
            <w:pPr>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BA2D3">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B094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49.80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7CEA0">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49.80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1199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F6EF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49.80</w:t>
            </w:r>
            <w:r>
              <w:rPr>
                <w:rFonts w:ascii="Times New Roman" w:hAnsi="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0DDF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48E77DF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89931">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11BD4">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污水处理费安排的支出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F529E">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2252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450.00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EAC2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450.00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51CD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D7026">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450.00</w:t>
            </w:r>
            <w:r>
              <w:rPr>
                <w:rFonts w:ascii="Times New Roman" w:hAnsi="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2A60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7344100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1F73">
            <w:pPr>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46B52">
            <w:pPr>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污水处理设施建设和运营</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4B20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97FD0">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450.00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AA15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450.00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8CCD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F510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450.00</w:t>
            </w:r>
            <w:r>
              <w:rPr>
                <w:rFonts w:ascii="Times New Roman" w:hAnsi="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0CCC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bl>
    <w:p w14:paraId="7121B166">
      <w:pPr>
        <w:rPr>
          <w:rFonts w:hint="default" w:ascii="Times New Roman" w:hAnsi="Times New Roman" w:cs="宋体"/>
          <w:sz w:val="21"/>
          <w:szCs w:val="21"/>
        </w:rPr>
      </w:pPr>
      <w:r>
        <w:rPr>
          <w:rFonts w:ascii="Times New Roman" w:hAnsi="Times New Roman" w:cs="宋体"/>
          <w:sz w:val="20"/>
          <w:szCs w:val="20"/>
        </w:rPr>
        <w:t>备注：1.本表反映部门本年度政府性基金预算财政拨款收入支出及结转和结余情况。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3EA97EF6">
      <w:pPr>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37D2251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D00E361">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14:paraId="7A95AE4D">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C389D2A">
            <w:pPr>
              <w:rPr>
                <w:rFonts w:hint="default" w:ascii="Times New Roman" w:hAnsi="Times New Roman" w:cs="宋体"/>
                <w:color w:val="000000"/>
                <w:sz w:val="20"/>
                <w:szCs w:val="20"/>
              </w:rPr>
            </w:pPr>
            <w:r>
              <w:rPr>
                <w:rFonts w:ascii="Times New Roman" w:hAnsi="Times New Roman" w:cs="宋体"/>
                <w:sz w:val="20"/>
                <w:szCs w:val="20"/>
              </w:rPr>
              <w:t>公开部门</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09EE671">
            <w:pP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2FFF66E">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公开08表</w:t>
            </w:r>
          </w:p>
        </w:tc>
      </w:tr>
      <w:tr w14:paraId="63762A60">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6A79F7A">
            <w:pPr>
              <w:rPr>
                <w:rFonts w:hint="default" w:ascii="Times New Roman" w:hAnsi="Times New Roman"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B055BE5">
            <w:pP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259CD57">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1323B0EC">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6743420">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EC6868">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426568C5">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A7BB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C6928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9148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2ADF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B1F55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5CC555B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9724F">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FDC086">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54085">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1240D8">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EFC611">
            <w:pPr>
              <w:jc w:val="center"/>
              <w:rPr>
                <w:rFonts w:hint="default" w:ascii="Times New Roman" w:hAnsi="Times New Roman" w:cs="宋体"/>
                <w:b/>
                <w:color w:val="000000"/>
                <w:sz w:val="20"/>
                <w:szCs w:val="20"/>
              </w:rPr>
            </w:pPr>
          </w:p>
        </w:tc>
      </w:tr>
      <w:tr w14:paraId="1C591F2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DAEA3">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35D893">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A76CA">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F96226">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BA27D4">
            <w:pPr>
              <w:jc w:val="center"/>
              <w:rPr>
                <w:rFonts w:hint="default" w:ascii="Times New Roman" w:hAnsi="Times New Roman" w:cs="宋体"/>
                <w:b/>
                <w:color w:val="000000"/>
                <w:sz w:val="20"/>
                <w:szCs w:val="20"/>
              </w:rPr>
            </w:pPr>
          </w:p>
        </w:tc>
      </w:tr>
      <w:tr w14:paraId="7CBE8D14">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1D940">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3D42C2">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19EBE">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20336A">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2F51BF">
            <w:pPr>
              <w:jc w:val="center"/>
              <w:rPr>
                <w:rFonts w:hint="default" w:ascii="Times New Roman" w:hAnsi="Times New Roman" w:cs="宋体"/>
                <w:b/>
                <w:color w:val="000000"/>
                <w:sz w:val="20"/>
                <w:szCs w:val="20"/>
              </w:rPr>
            </w:pPr>
          </w:p>
        </w:tc>
      </w:tr>
      <w:tr w14:paraId="7FB8686D">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856D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574E3">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11D5F">
            <w:pPr>
              <w:jc w:val="right"/>
              <w:rPr>
                <w:rFonts w:hint="default" w:ascii="Times New Roman" w:hAnsi="Times New Roman"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F9CAE">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bl>
    <w:p w14:paraId="64C00113">
      <w:pPr>
        <w:rPr>
          <w:rFonts w:hint="default" w:ascii="Times New Roman" w:hAnsi="Times New Roman" w:cs="宋体"/>
          <w:sz w:val="21"/>
          <w:szCs w:val="21"/>
        </w:rPr>
      </w:pPr>
      <w:r>
        <w:rPr>
          <w:rFonts w:ascii="Times New Roman" w:hAnsi="Times New Roman" w:cs="宋体"/>
          <w:sz w:val="20"/>
          <w:szCs w:val="20"/>
        </w:rPr>
        <w:t>备注：本表反映部门本年度国有资本经营预算财政拨款支出情况。本部门无国有资本经营收支，故本表无数据。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14:paraId="0E2906B4">
      <w:pPr>
        <w:rPr>
          <w:rFonts w:hint="default" w:ascii="Times New Roman" w:hAnsi="Times New Roman" w:cs="宋体"/>
          <w:sz w:val="21"/>
          <w:szCs w:val="21"/>
        </w:rPr>
      </w:pPr>
      <w:r>
        <w:rPr>
          <w:rFonts w:hint="default" w:ascii="Times New Roman" w:hAnsi="Times New Roman"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4B38134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5ACB3F8">
            <w:pPr>
              <w:spacing w:line="400" w:lineRule="exact"/>
              <w:jc w:val="center"/>
              <w:textAlignment w:val="bottom"/>
              <w:rPr>
                <w:rFonts w:hint="default" w:ascii="Times New Roman" w:hAnsi="Times New Roman" w:cs="宋体"/>
                <w:b/>
                <w:color w:val="000000"/>
                <w:kern w:val="2"/>
                <w:sz w:val="32"/>
                <w:szCs w:val="32"/>
              </w:rPr>
            </w:pPr>
            <w:r>
              <w:rPr>
                <w:rFonts w:ascii="Times New Roman" w:hAnsi="Times New Roman" w:cs="宋体"/>
                <w:b/>
                <w:color w:val="000000"/>
                <w:kern w:val="2"/>
                <w:sz w:val="32"/>
                <w:szCs w:val="32"/>
              </w:rPr>
              <w:t>机构运行信息表</w:t>
            </w:r>
          </w:p>
        </w:tc>
      </w:tr>
      <w:tr w14:paraId="7C395E7E">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0DC7C03B">
            <w:pPr>
              <w:spacing w:line="280" w:lineRule="exact"/>
              <w:rPr>
                <w:rFonts w:hint="default" w:ascii="Times New Roman" w:hAnsi="Times New Roman" w:cs="宋体"/>
                <w:color w:val="000000"/>
                <w:kern w:val="2"/>
                <w:sz w:val="20"/>
                <w:szCs w:val="20"/>
              </w:rPr>
            </w:pPr>
          </w:p>
        </w:tc>
        <w:tc>
          <w:tcPr>
            <w:tcW w:w="722" w:type="pct"/>
            <w:shd w:val="clear" w:color="auto" w:fill="auto"/>
            <w:noWrap/>
            <w:tcMar>
              <w:top w:w="15" w:type="dxa"/>
              <w:left w:w="15" w:type="dxa"/>
              <w:right w:w="15" w:type="dxa"/>
            </w:tcMar>
            <w:vAlign w:val="bottom"/>
          </w:tcPr>
          <w:p w14:paraId="689773DA">
            <w:pPr>
              <w:spacing w:line="280" w:lineRule="exact"/>
              <w:jc w:val="center"/>
              <w:rPr>
                <w:rFonts w:hint="default" w:ascii="Times New Roman" w:hAnsi="Times New Roman" w:cs="宋体"/>
                <w:color w:val="000000"/>
                <w:kern w:val="2"/>
                <w:sz w:val="20"/>
                <w:szCs w:val="20"/>
              </w:rPr>
            </w:pPr>
          </w:p>
        </w:tc>
        <w:tc>
          <w:tcPr>
            <w:tcW w:w="704" w:type="pct"/>
            <w:shd w:val="clear" w:color="auto" w:fill="auto"/>
            <w:noWrap/>
            <w:tcMar>
              <w:top w:w="15" w:type="dxa"/>
              <w:left w:w="15" w:type="dxa"/>
              <w:right w:w="15" w:type="dxa"/>
            </w:tcMar>
            <w:vAlign w:val="bottom"/>
          </w:tcPr>
          <w:p w14:paraId="1AB39912">
            <w:pPr>
              <w:spacing w:line="280" w:lineRule="exact"/>
              <w:jc w:val="right"/>
              <w:rPr>
                <w:rFonts w:hint="default" w:ascii="Times New Roman" w:hAnsi="Times New Roman" w:cs="宋体"/>
                <w:color w:val="000000"/>
                <w:kern w:val="2"/>
                <w:sz w:val="20"/>
                <w:szCs w:val="20"/>
              </w:rPr>
            </w:pPr>
          </w:p>
        </w:tc>
        <w:tc>
          <w:tcPr>
            <w:tcW w:w="1508" w:type="pct"/>
            <w:shd w:val="clear" w:color="auto" w:fill="auto"/>
            <w:noWrap/>
            <w:tcMar>
              <w:top w:w="15" w:type="dxa"/>
              <w:left w:w="15" w:type="dxa"/>
              <w:right w:w="15" w:type="dxa"/>
            </w:tcMar>
            <w:vAlign w:val="bottom"/>
          </w:tcPr>
          <w:p w14:paraId="145ABE16">
            <w:pPr>
              <w:spacing w:line="280" w:lineRule="exact"/>
              <w:rPr>
                <w:rFonts w:hint="default" w:ascii="Times New Roman" w:hAnsi="Times New Roman" w:cs="宋体"/>
                <w:color w:val="000000"/>
                <w:kern w:val="2"/>
                <w:sz w:val="20"/>
                <w:szCs w:val="20"/>
              </w:rPr>
            </w:pPr>
          </w:p>
        </w:tc>
        <w:tc>
          <w:tcPr>
            <w:tcW w:w="719" w:type="pct"/>
            <w:shd w:val="clear" w:color="auto" w:fill="auto"/>
            <w:noWrap/>
            <w:tcMar>
              <w:top w:w="15" w:type="dxa"/>
              <w:left w:w="15" w:type="dxa"/>
              <w:right w:w="15" w:type="dxa"/>
            </w:tcMar>
            <w:vAlign w:val="bottom"/>
          </w:tcPr>
          <w:p w14:paraId="258B3743">
            <w:pPr>
              <w:spacing w:line="280" w:lineRule="exact"/>
              <w:jc w:val="right"/>
              <w:textAlignment w:val="bottom"/>
              <w:rPr>
                <w:rFonts w:hint="default" w:ascii="Times New Roman" w:hAnsi="Times New Roman" w:cs="宋体"/>
                <w:color w:val="000000"/>
                <w:kern w:val="2"/>
                <w:sz w:val="20"/>
                <w:szCs w:val="20"/>
              </w:rPr>
            </w:pPr>
            <w:r>
              <w:rPr>
                <w:rFonts w:ascii="Times New Roman" w:hAnsi="Times New Roman" w:cs="宋体"/>
                <w:color w:val="000000"/>
                <w:kern w:val="2"/>
                <w:sz w:val="20"/>
                <w:szCs w:val="20"/>
              </w:rPr>
              <w:t>公开09表</w:t>
            </w:r>
          </w:p>
        </w:tc>
      </w:tr>
      <w:tr w14:paraId="6DB856B9">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C736DA4">
            <w:pPr>
              <w:spacing w:line="280" w:lineRule="exact"/>
              <w:rPr>
                <w:rFonts w:hint="default" w:ascii="Times New Roman" w:hAnsi="Times New Roman" w:cs="宋体"/>
                <w:color w:val="000000"/>
                <w:kern w:val="2"/>
                <w:sz w:val="20"/>
                <w:szCs w:val="20"/>
              </w:rPr>
            </w:pPr>
            <w:r>
              <w:rPr>
                <w:rFonts w:ascii="Times New Roman" w:hAnsi="Times New Roman" w:cs="宋体"/>
                <w:kern w:val="2"/>
                <w:sz w:val="20"/>
                <w:szCs w:val="20"/>
              </w:rPr>
              <w:t>公开部门</w:t>
            </w:r>
            <w:r>
              <w:rPr>
                <w:rFonts w:ascii="Times New Roman" w:hAnsi="Times New Roman" w:cs="宋体"/>
                <w:color w:val="000000"/>
                <w:kern w:val="2"/>
                <w:sz w:val="20"/>
                <w:szCs w:val="20"/>
              </w:rPr>
              <w:t xml:space="preserve">： </w:t>
            </w:r>
            <w:r>
              <w:rPr>
                <w:rFonts w:ascii="Times New Roman" w:hAnsi="Times New Roman"/>
                <w:color w:val="000000"/>
                <w:sz w:val="20"/>
                <w:u w:color="auto"/>
              </w:rPr>
              <w:t>重庆市石柱土家族自治县生态环境局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093F2E92">
            <w:pPr>
              <w:spacing w:line="280" w:lineRule="exact"/>
              <w:jc w:val="right"/>
              <w:rPr>
                <w:rFonts w:hint="default" w:ascii="Times New Roman" w:hAnsi="Times New Roman"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ECE48EC">
            <w:pPr>
              <w:spacing w:line="280" w:lineRule="exact"/>
              <w:rPr>
                <w:rFonts w:hint="default" w:ascii="Times New Roman" w:hAnsi="Times New Roman"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1A79D6D9">
            <w:pPr>
              <w:spacing w:line="280" w:lineRule="exact"/>
              <w:jc w:val="right"/>
              <w:textAlignment w:val="bottom"/>
              <w:rPr>
                <w:rFonts w:hint="default" w:ascii="Times New Roman" w:hAnsi="Times New Roman" w:cs="宋体"/>
                <w:color w:val="000000"/>
                <w:kern w:val="2"/>
                <w:sz w:val="20"/>
                <w:szCs w:val="20"/>
              </w:rPr>
            </w:pPr>
            <w:r>
              <w:rPr>
                <w:rFonts w:ascii="Times New Roman" w:hAnsi="Times New Roman" w:cs="宋体"/>
                <w:color w:val="000000"/>
                <w:kern w:val="2"/>
                <w:sz w:val="20"/>
                <w:szCs w:val="20"/>
              </w:rPr>
              <w:t>单位：</w:t>
            </w:r>
            <w:r>
              <w:rPr>
                <w:rFonts w:ascii="Times New Roman" w:hAnsi="Times New Roman" w:cs="宋体"/>
                <w:kern w:val="2"/>
                <w:sz w:val="20"/>
                <w:szCs w:val="20"/>
              </w:rPr>
              <w:t>万元</w:t>
            </w:r>
          </w:p>
        </w:tc>
      </w:tr>
      <w:tr w14:paraId="288A545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6C0021">
            <w:pPr>
              <w:spacing w:line="20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3A9861">
            <w:pPr>
              <w:spacing w:line="20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7D00D0">
            <w:pPr>
              <w:spacing w:line="20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866EAB">
            <w:pPr>
              <w:spacing w:line="20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3DFEAA">
            <w:pPr>
              <w:spacing w:line="20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r>
      <w:tr w14:paraId="067C63D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4C8671">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DE55B6">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7EFCD">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F25055">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52F8C3">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148.30</w:t>
            </w:r>
            <w:r>
              <w:rPr>
                <w:rFonts w:ascii="Times New Roman" w:hAnsi="Times New Roman"/>
                <w:color w:val="000000"/>
                <w:sz w:val="16"/>
                <w:u w:color="auto"/>
              </w:rPr>
              <w:t xml:space="preserve"> </w:t>
            </w:r>
          </w:p>
        </w:tc>
      </w:tr>
      <w:tr w14:paraId="271EBA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9D0527">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336F5A">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10.80</w:t>
            </w:r>
            <w:r>
              <w:rPr>
                <w:rFonts w:ascii="Times New Roman" w:hAnsi="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80DCB3">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10.80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0CA2F4">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5D89C8">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53.37</w:t>
            </w:r>
            <w:r>
              <w:rPr>
                <w:rFonts w:ascii="Times New Roman" w:hAnsi="Times New Roman"/>
                <w:color w:val="000000"/>
                <w:sz w:val="16"/>
                <w:u w:color="auto"/>
              </w:rPr>
              <w:t xml:space="preserve"> </w:t>
            </w:r>
          </w:p>
        </w:tc>
      </w:tr>
      <w:tr w14:paraId="185F98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FBF2DD3">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1F79FF">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623D33">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4882521">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4A49C0">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94.93</w:t>
            </w:r>
            <w:r>
              <w:rPr>
                <w:rFonts w:ascii="Times New Roman" w:hAnsi="Times New Roman"/>
                <w:color w:val="000000"/>
                <w:sz w:val="16"/>
                <w:u w:color="auto"/>
              </w:rPr>
              <w:t xml:space="preserve"> </w:t>
            </w:r>
          </w:p>
        </w:tc>
      </w:tr>
      <w:tr w14:paraId="785FD0D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ED18085">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AB2777">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6.90</w:t>
            </w:r>
            <w:r>
              <w:rPr>
                <w:rFonts w:ascii="Times New Roman" w:hAnsi="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45616">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6.90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7ECCCC">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8B826">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r>
      <w:tr w14:paraId="3A82C8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1BB136">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46CE32">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4438C9">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9E7ADD7">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B6B5D8">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4</w:t>
            </w:r>
            <w:r>
              <w:rPr>
                <w:rFonts w:ascii="Times New Roman" w:hAnsi="Times New Roman"/>
                <w:color w:val="000000"/>
                <w:sz w:val="16"/>
                <w:u w:color="auto"/>
              </w:rPr>
              <w:t xml:space="preserve">   </w:t>
            </w:r>
          </w:p>
        </w:tc>
      </w:tr>
      <w:tr w14:paraId="68864D5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65D573A">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BA4EAB">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6.90</w:t>
            </w:r>
            <w:r>
              <w:rPr>
                <w:rFonts w:ascii="Times New Roman" w:hAnsi="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2232B8">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6.90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3583A9F">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20F681">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r>
      <w:tr w14:paraId="1621B1C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4D325AA">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0C80F2">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3.90</w:t>
            </w:r>
            <w:r>
              <w:rPr>
                <w:rFonts w:ascii="Times New Roman" w:hAnsi="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1BA490">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3.90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7E83678">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5564C1">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r>
      <w:tr w14:paraId="227EA8E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DE2539">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49AFA">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EC9B60">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3.90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BFC03A4">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AAC73D">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r>
      <w:tr w14:paraId="3118DB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4F56318">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D53D09">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D30E58">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2B5DFFE">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259913">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4</w:t>
            </w:r>
            <w:r>
              <w:rPr>
                <w:rFonts w:ascii="Times New Roman" w:hAnsi="Times New Roman"/>
                <w:color w:val="000000"/>
                <w:sz w:val="16"/>
                <w:u w:color="auto"/>
              </w:rPr>
              <w:t xml:space="preserve"> </w:t>
            </w:r>
          </w:p>
        </w:tc>
      </w:tr>
      <w:tr w14:paraId="474A66F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BA087BF">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D7001F">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53FA4">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A421FF8">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F45282">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r>
      <w:tr w14:paraId="0712C5E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D00CD85">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FEFB7">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18D59">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763A695">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65EDA4">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r>
      <w:tr w14:paraId="6D679B6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9E7CA3E">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8CC33A">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34932F">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7D64064">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C70147">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r>
      <w:tr w14:paraId="0D73F2D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3773505">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6AE591">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CC53D5">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1D4099F">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A77E89">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r>
      <w:tr w14:paraId="6B65F5C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06386EC">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2740F6">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2518C32">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9C28753">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68034C">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r>
      <w:tr w14:paraId="603CD3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89D7738">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5D0E81">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4E9BD28">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4</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FF65D8">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43075">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r>
      <w:tr w14:paraId="258BAEE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7B4E50">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00086">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61085A">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180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985F26">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63E08">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5,870.68</w:t>
            </w:r>
            <w:r>
              <w:rPr>
                <w:rFonts w:ascii="Times New Roman" w:hAnsi="Times New Roman"/>
                <w:color w:val="000000"/>
                <w:sz w:val="16"/>
                <w:u w:color="auto"/>
              </w:rPr>
              <w:t xml:space="preserve"> </w:t>
            </w:r>
          </w:p>
        </w:tc>
      </w:tr>
      <w:tr w14:paraId="7DAF763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3D3D455">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71E222">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4AF04D">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E49E9A">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26AAB6">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104.74</w:t>
            </w:r>
            <w:r>
              <w:rPr>
                <w:rFonts w:ascii="Times New Roman" w:hAnsi="Times New Roman"/>
                <w:color w:val="000000"/>
                <w:sz w:val="16"/>
                <w:u w:color="auto"/>
              </w:rPr>
              <w:t xml:space="preserve"> </w:t>
            </w:r>
          </w:p>
        </w:tc>
      </w:tr>
      <w:tr w14:paraId="058CB2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1D14166">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C9910">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08C665">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570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B8FE13">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C6F30A">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5,062.13</w:t>
            </w:r>
            <w:r>
              <w:rPr>
                <w:rFonts w:ascii="Times New Roman" w:hAnsi="Times New Roman"/>
                <w:color w:val="000000"/>
                <w:sz w:val="16"/>
                <w:u w:color="auto"/>
              </w:rPr>
              <w:t xml:space="preserve"> </w:t>
            </w:r>
          </w:p>
        </w:tc>
      </w:tr>
      <w:tr w14:paraId="037BEA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41ECA39">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14DB4C">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5834ED5">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70C32F">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DFEC22">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703.80</w:t>
            </w:r>
            <w:r>
              <w:rPr>
                <w:rFonts w:ascii="Times New Roman" w:hAnsi="Times New Roman"/>
                <w:color w:val="000000"/>
                <w:sz w:val="16"/>
                <w:u w:color="auto"/>
              </w:rPr>
              <w:t xml:space="preserve"> </w:t>
            </w:r>
          </w:p>
        </w:tc>
      </w:tr>
      <w:tr w14:paraId="32FCD36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AE91F7">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4D6082">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4767DD">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3E7D86C">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62B151">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1,126.64</w:t>
            </w:r>
            <w:r>
              <w:rPr>
                <w:rFonts w:ascii="Times New Roman" w:hAnsi="Times New Roman"/>
                <w:color w:val="000000"/>
                <w:sz w:val="16"/>
                <w:u w:color="auto"/>
              </w:rPr>
              <w:t xml:space="preserve"> </w:t>
            </w:r>
          </w:p>
        </w:tc>
      </w:tr>
      <w:tr w14:paraId="448D82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69F089F">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6BBBDA">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0DD9DE">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A33589">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147DA7">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164.54</w:t>
            </w:r>
            <w:r>
              <w:rPr>
                <w:rFonts w:ascii="Times New Roman" w:hAnsi="Times New Roman"/>
                <w:color w:val="000000"/>
                <w:sz w:val="16"/>
                <w:u w:color="auto"/>
              </w:rPr>
              <w:t xml:space="preserve"> </w:t>
            </w:r>
          </w:p>
        </w:tc>
      </w:tr>
      <w:tr w14:paraId="1DCDE32A">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68B03E">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BF140E">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86038E">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10.61</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4AA996">
            <w:pPr>
              <w:spacing w:line="200" w:lineRule="exact"/>
              <w:rPr>
                <w:rFonts w:hint="default" w:ascii="Times New Roman" w:hAnsi="Times New Roman"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134CD6">
            <w:pPr>
              <w:spacing w:line="200" w:lineRule="exact"/>
              <w:jc w:val="right"/>
              <w:rPr>
                <w:rFonts w:hint="default" w:ascii="Times New Roman" w:hAnsi="Times New Roman" w:cs="宋体"/>
                <w:color w:val="000000"/>
                <w:kern w:val="2"/>
                <w:sz w:val="16"/>
                <w:szCs w:val="16"/>
              </w:rPr>
            </w:pPr>
          </w:p>
        </w:tc>
      </w:tr>
      <w:tr w14:paraId="3D406F72">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680EE08">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2B5FBC">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769572">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2.95</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3193BB7">
            <w:pPr>
              <w:spacing w:line="200" w:lineRule="exact"/>
              <w:rPr>
                <w:rFonts w:hint="default" w:ascii="Times New Roman" w:hAnsi="Times New Roman"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440947">
            <w:pPr>
              <w:spacing w:line="200" w:lineRule="exact"/>
              <w:jc w:val="right"/>
              <w:rPr>
                <w:rFonts w:hint="default" w:ascii="Times New Roman" w:hAnsi="Times New Roman" w:cs="宋体"/>
                <w:color w:val="000000"/>
                <w:kern w:val="2"/>
                <w:sz w:val="16"/>
                <w:szCs w:val="16"/>
              </w:rPr>
            </w:pPr>
          </w:p>
        </w:tc>
      </w:tr>
    </w:tbl>
    <w:p w14:paraId="00703AED">
      <w:pPr>
        <w:rPr>
          <w:rFonts w:hint="default" w:ascii="Times New Roman" w:hAnsi="Times New Roman"/>
        </w:rPr>
      </w:pPr>
      <w:r>
        <w:rPr>
          <w:rFonts w:ascii="Times New Roman" w:hAnsi="Times New Roman"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4AA94F51">
      <w:pPr>
        <w:rPr>
          <w:rFonts w:hint="default" w:ascii="Times New Roman" w:hAnsi="Times New Roman"/>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CAA13">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2D0619E">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54E75">
    <w:pPr>
      <w:pStyle w:val="3"/>
      <w:jc w:val="both"/>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DE3170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30" o:spid="_x0000_s1030"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3CA97CB">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4BA6F">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jQ5OTM2NDJlYzFmYWI2YWY4ZGI5YWQ3ZDUxNWJkYjEifQ=="/>
  </w:docVars>
  <w:rsids>
    <w:rsidRoot w:val="00B03CCD"/>
    <w:rsid w:val="000817AE"/>
    <w:rsid w:val="000C01CC"/>
    <w:rsid w:val="000D7702"/>
    <w:rsid w:val="000F1A26"/>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460AA8"/>
    <w:rsid w:val="02E633D9"/>
    <w:rsid w:val="0308439B"/>
    <w:rsid w:val="03967B6E"/>
    <w:rsid w:val="03B87EA0"/>
    <w:rsid w:val="03E3214F"/>
    <w:rsid w:val="044C50BA"/>
    <w:rsid w:val="05BC6D49"/>
    <w:rsid w:val="06194FF1"/>
    <w:rsid w:val="06A2550B"/>
    <w:rsid w:val="06F80EE2"/>
    <w:rsid w:val="07001CCA"/>
    <w:rsid w:val="072A7934"/>
    <w:rsid w:val="075678DB"/>
    <w:rsid w:val="079D7CC7"/>
    <w:rsid w:val="08051BCA"/>
    <w:rsid w:val="086C12F4"/>
    <w:rsid w:val="08BA052C"/>
    <w:rsid w:val="08DB07BA"/>
    <w:rsid w:val="0969353F"/>
    <w:rsid w:val="096E42CA"/>
    <w:rsid w:val="098305D0"/>
    <w:rsid w:val="098A0877"/>
    <w:rsid w:val="0A5C4B69"/>
    <w:rsid w:val="0A86124A"/>
    <w:rsid w:val="0AB54CC0"/>
    <w:rsid w:val="0B5C4A89"/>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2D60B6"/>
    <w:rsid w:val="13871C70"/>
    <w:rsid w:val="13A71CB4"/>
    <w:rsid w:val="13AF1D43"/>
    <w:rsid w:val="13CE1647"/>
    <w:rsid w:val="13FD55AB"/>
    <w:rsid w:val="14200702"/>
    <w:rsid w:val="147566D1"/>
    <w:rsid w:val="14FC49FB"/>
    <w:rsid w:val="15B46E93"/>
    <w:rsid w:val="15D309D3"/>
    <w:rsid w:val="15E60267"/>
    <w:rsid w:val="163A6CEE"/>
    <w:rsid w:val="165A6349"/>
    <w:rsid w:val="173708E3"/>
    <w:rsid w:val="17C374FC"/>
    <w:rsid w:val="189079DC"/>
    <w:rsid w:val="189B0D0B"/>
    <w:rsid w:val="18B43F7C"/>
    <w:rsid w:val="18B90150"/>
    <w:rsid w:val="18DF42F7"/>
    <w:rsid w:val="194A1770"/>
    <w:rsid w:val="19B906A4"/>
    <w:rsid w:val="1A8F10EB"/>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384BAD"/>
    <w:rsid w:val="1F4B0B02"/>
    <w:rsid w:val="1FBB35CD"/>
    <w:rsid w:val="1FCD26AF"/>
    <w:rsid w:val="20642787"/>
    <w:rsid w:val="21556F04"/>
    <w:rsid w:val="21BD71F5"/>
    <w:rsid w:val="22403BD3"/>
    <w:rsid w:val="23DA37D9"/>
    <w:rsid w:val="24B92327"/>
    <w:rsid w:val="24C14514"/>
    <w:rsid w:val="24C34ACD"/>
    <w:rsid w:val="2533755C"/>
    <w:rsid w:val="25791755"/>
    <w:rsid w:val="25E1345C"/>
    <w:rsid w:val="26396DF4"/>
    <w:rsid w:val="27167136"/>
    <w:rsid w:val="27B23302"/>
    <w:rsid w:val="29310A5F"/>
    <w:rsid w:val="29C37A35"/>
    <w:rsid w:val="2A076083"/>
    <w:rsid w:val="2A4A0BB7"/>
    <w:rsid w:val="2A672A27"/>
    <w:rsid w:val="2A73162E"/>
    <w:rsid w:val="2B167953"/>
    <w:rsid w:val="2B200583"/>
    <w:rsid w:val="2B8209DE"/>
    <w:rsid w:val="2C101D67"/>
    <w:rsid w:val="2C6762A3"/>
    <w:rsid w:val="2EBF7B3E"/>
    <w:rsid w:val="2EDE1934"/>
    <w:rsid w:val="2F636CE4"/>
    <w:rsid w:val="2FCA4B37"/>
    <w:rsid w:val="2FE029D7"/>
    <w:rsid w:val="2FF06E00"/>
    <w:rsid w:val="30562E26"/>
    <w:rsid w:val="30586FEC"/>
    <w:rsid w:val="30EC7046"/>
    <w:rsid w:val="315F0B22"/>
    <w:rsid w:val="319C21CB"/>
    <w:rsid w:val="319D022C"/>
    <w:rsid w:val="319F6F5F"/>
    <w:rsid w:val="31C90022"/>
    <w:rsid w:val="31D84415"/>
    <w:rsid w:val="32285F6F"/>
    <w:rsid w:val="32770556"/>
    <w:rsid w:val="329C0913"/>
    <w:rsid w:val="32AA0460"/>
    <w:rsid w:val="3337290D"/>
    <w:rsid w:val="33952851"/>
    <w:rsid w:val="33E31118"/>
    <w:rsid w:val="33EF7674"/>
    <w:rsid w:val="342D7BC6"/>
    <w:rsid w:val="352930DB"/>
    <w:rsid w:val="35573069"/>
    <w:rsid w:val="355F6038"/>
    <w:rsid w:val="358C217E"/>
    <w:rsid w:val="35937598"/>
    <w:rsid w:val="36C9128A"/>
    <w:rsid w:val="372E3953"/>
    <w:rsid w:val="37841E99"/>
    <w:rsid w:val="37BF1123"/>
    <w:rsid w:val="381706CC"/>
    <w:rsid w:val="383C3F15"/>
    <w:rsid w:val="38BE4696"/>
    <w:rsid w:val="3939115E"/>
    <w:rsid w:val="39B82A39"/>
    <w:rsid w:val="39C42CA8"/>
    <w:rsid w:val="39DC4FD6"/>
    <w:rsid w:val="39F03D7A"/>
    <w:rsid w:val="39F33306"/>
    <w:rsid w:val="3A2C1C67"/>
    <w:rsid w:val="3B1705E5"/>
    <w:rsid w:val="3B18334B"/>
    <w:rsid w:val="3B36794F"/>
    <w:rsid w:val="3B67212F"/>
    <w:rsid w:val="3C552056"/>
    <w:rsid w:val="3C566AD6"/>
    <w:rsid w:val="3C6A5B02"/>
    <w:rsid w:val="3D2757A1"/>
    <w:rsid w:val="3D3D4FC4"/>
    <w:rsid w:val="3DCA39E0"/>
    <w:rsid w:val="3DDF3AB1"/>
    <w:rsid w:val="3E1D0952"/>
    <w:rsid w:val="3E42660A"/>
    <w:rsid w:val="3E7555B1"/>
    <w:rsid w:val="3E787ED9"/>
    <w:rsid w:val="3EEC37F3"/>
    <w:rsid w:val="3F032E93"/>
    <w:rsid w:val="3F0527E5"/>
    <w:rsid w:val="3F694D83"/>
    <w:rsid w:val="3F885DCC"/>
    <w:rsid w:val="3FCD675E"/>
    <w:rsid w:val="4004000C"/>
    <w:rsid w:val="40316762"/>
    <w:rsid w:val="411B6CE5"/>
    <w:rsid w:val="412070D7"/>
    <w:rsid w:val="41314E40"/>
    <w:rsid w:val="41E0734B"/>
    <w:rsid w:val="426554D0"/>
    <w:rsid w:val="426C1EA8"/>
    <w:rsid w:val="42736402"/>
    <w:rsid w:val="42820EC1"/>
    <w:rsid w:val="42E86A87"/>
    <w:rsid w:val="43307B09"/>
    <w:rsid w:val="438D0E97"/>
    <w:rsid w:val="43BB152F"/>
    <w:rsid w:val="43C06C51"/>
    <w:rsid w:val="449B4BCC"/>
    <w:rsid w:val="44C37687"/>
    <w:rsid w:val="45CB699A"/>
    <w:rsid w:val="46290F8F"/>
    <w:rsid w:val="465B470D"/>
    <w:rsid w:val="469D6AD4"/>
    <w:rsid w:val="471E6C84"/>
    <w:rsid w:val="4748792B"/>
    <w:rsid w:val="474E1235"/>
    <w:rsid w:val="475D719D"/>
    <w:rsid w:val="47674801"/>
    <w:rsid w:val="47E34247"/>
    <w:rsid w:val="482226EB"/>
    <w:rsid w:val="48225EF7"/>
    <w:rsid w:val="488F422B"/>
    <w:rsid w:val="48E36915"/>
    <w:rsid w:val="495C4A24"/>
    <w:rsid w:val="497135DF"/>
    <w:rsid w:val="4A263DF2"/>
    <w:rsid w:val="4A6F6675"/>
    <w:rsid w:val="4AFB3114"/>
    <w:rsid w:val="4B0502DF"/>
    <w:rsid w:val="4B135857"/>
    <w:rsid w:val="4B196C92"/>
    <w:rsid w:val="4B7951CB"/>
    <w:rsid w:val="4B7C315C"/>
    <w:rsid w:val="4CFB2493"/>
    <w:rsid w:val="4D4E53C3"/>
    <w:rsid w:val="4D7A6C39"/>
    <w:rsid w:val="4DAC4ACA"/>
    <w:rsid w:val="4DBE01D2"/>
    <w:rsid w:val="4E154201"/>
    <w:rsid w:val="4EFC6D10"/>
    <w:rsid w:val="4F0C6BA3"/>
    <w:rsid w:val="4F10477D"/>
    <w:rsid w:val="4F186D58"/>
    <w:rsid w:val="4FBF46CF"/>
    <w:rsid w:val="4FEA65B7"/>
    <w:rsid w:val="500139E3"/>
    <w:rsid w:val="50232318"/>
    <w:rsid w:val="5036548C"/>
    <w:rsid w:val="507A15BF"/>
    <w:rsid w:val="50F06B6E"/>
    <w:rsid w:val="52234D33"/>
    <w:rsid w:val="522F6E0C"/>
    <w:rsid w:val="52463BA1"/>
    <w:rsid w:val="52464526"/>
    <w:rsid w:val="52F163D4"/>
    <w:rsid w:val="531A2DB4"/>
    <w:rsid w:val="535644E7"/>
    <w:rsid w:val="53C0244D"/>
    <w:rsid w:val="53DD4D4E"/>
    <w:rsid w:val="53E578CE"/>
    <w:rsid w:val="541330F0"/>
    <w:rsid w:val="54272666"/>
    <w:rsid w:val="543B029D"/>
    <w:rsid w:val="54861779"/>
    <w:rsid w:val="552256E1"/>
    <w:rsid w:val="554E5773"/>
    <w:rsid w:val="555A3CBC"/>
    <w:rsid w:val="5582012B"/>
    <w:rsid w:val="558E4E05"/>
    <w:rsid w:val="55BE2E85"/>
    <w:rsid w:val="56530F5D"/>
    <w:rsid w:val="566C7280"/>
    <w:rsid w:val="567700D3"/>
    <w:rsid w:val="56FF7E9E"/>
    <w:rsid w:val="578867FC"/>
    <w:rsid w:val="5842572D"/>
    <w:rsid w:val="597F267F"/>
    <w:rsid w:val="5A3B59D6"/>
    <w:rsid w:val="5AD134D8"/>
    <w:rsid w:val="5B6503B1"/>
    <w:rsid w:val="5BE8197D"/>
    <w:rsid w:val="5C263CE4"/>
    <w:rsid w:val="5C5D2777"/>
    <w:rsid w:val="5CF66BF3"/>
    <w:rsid w:val="5D290C69"/>
    <w:rsid w:val="5F2D4A41"/>
    <w:rsid w:val="60C74F6C"/>
    <w:rsid w:val="61025A59"/>
    <w:rsid w:val="61323B9F"/>
    <w:rsid w:val="613D5BBC"/>
    <w:rsid w:val="61536C39"/>
    <w:rsid w:val="61A31768"/>
    <w:rsid w:val="62944DD7"/>
    <w:rsid w:val="62D75E96"/>
    <w:rsid w:val="6319381F"/>
    <w:rsid w:val="63236436"/>
    <w:rsid w:val="63B50031"/>
    <w:rsid w:val="63C25DC5"/>
    <w:rsid w:val="63C62057"/>
    <w:rsid w:val="64571EF5"/>
    <w:rsid w:val="647C23DF"/>
    <w:rsid w:val="64FB113D"/>
    <w:rsid w:val="656152C6"/>
    <w:rsid w:val="6587477F"/>
    <w:rsid w:val="658C3A08"/>
    <w:rsid w:val="65C031CA"/>
    <w:rsid w:val="65CE6852"/>
    <w:rsid w:val="66267C04"/>
    <w:rsid w:val="663F505A"/>
    <w:rsid w:val="66967186"/>
    <w:rsid w:val="66EE5541"/>
    <w:rsid w:val="67924660"/>
    <w:rsid w:val="68407834"/>
    <w:rsid w:val="6883293E"/>
    <w:rsid w:val="688412AD"/>
    <w:rsid w:val="68AE4458"/>
    <w:rsid w:val="68EB1B71"/>
    <w:rsid w:val="69475C96"/>
    <w:rsid w:val="6AAD2300"/>
    <w:rsid w:val="6B474EF5"/>
    <w:rsid w:val="6BBF53FD"/>
    <w:rsid w:val="6C1C5482"/>
    <w:rsid w:val="6C560CAE"/>
    <w:rsid w:val="6C576495"/>
    <w:rsid w:val="6D903FF5"/>
    <w:rsid w:val="6DA955B8"/>
    <w:rsid w:val="6DAD2C15"/>
    <w:rsid w:val="6DE346AB"/>
    <w:rsid w:val="6DE5391A"/>
    <w:rsid w:val="6EFD1324"/>
    <w:rsid w:val="6F5A53AC"/>
    <w:rsid w:val="6F6049BF"/>
    <w:rsid w:val="6FAC003D"/>
    <w:rsid w:val="6FE55E12"/>
    <w:rsid w:val="6FFB2E76"/>
    <w:rsid w:val="708F6F7F"/>
    <w:rsid w:val="70D94BD3"/>
    <w:rsid w:val="71C34D91"/>
    <w:rsid w:val="72DB435C"/>
    <w:rsid w:val="72E2613A"/>
    <w:rsid w:val="72F771F4"/>
    <w:rsid w:val="736650B0"/>
    <w:rsid w:val="73934AD2"/>
    <w:rsid w:val="73A10265"/>
    <w:rsid w:val="750837F0"/>
    <w:rsid w:val="75096FAB"/>
    <w:rsid w:val="752E10BB"/>
    <w:rsid w:val="754758CF"/>
    <w:rsid w:val="75741AFD"/>
    <w:rsid w:val="762D3121"/>
    <w:rsid w:val="764F62AB"/>
    <w:rsid w:val="765C45EC"/>
    <w:rsid w:val="768A7619"/>
    <w:rsid w:val="772E1EBA"/>
    <w:rsid w:val="776D5838"/>
    <w:rsid w:val="77EB79F7"/>
    <w:rsid w:val="796D60A4"/>
    <w:rsid w:val="79A031D5"/>
    <w:rsid w:val="7A1525F7"/>
    <w:rsid w:val="7B420052"/>
    <w:rsid w:val="7B857F30"/>
    <w:rsid w:val="7B861484"/>
    <w:rsid w:val="7BA039E5"/>
    <w:rsid w:val="7BD06A28"/>
    <w:rsid w:val="7C2C2059"/>
    <w:rsid w:val="7C3A7C0B"/>
    <w:rsid w:val="7C5248E4"/>
    <w:rsid w:val="7C566698"/>
    <w:rsid w:val="7C575E21"/>
    <w:rsid w:val="7C5866A3"/>
    <w:rsid w:val="7D7406BB"/>
    <w:rsid w:val="7DB56969"/>
    <w:rsid w:val="7DE94331"/>
    <w:rsid w:val="7F446A19"/>
    <w:rsid w:val="7F7452B9"/>
    <w:rsid w:val="7F907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13036</Words>
  <Characters>16413</Characters>
  <Lines>194</Lines>
  <Paragraphs>54</Paragraphs>
  <TotalTime>16</TotalTime>
  <ScaleCrop>false</ScaleCrop>
  <LinksUpToDate>false</LinksUpToDate>
  <CharactersWithSpaces>17981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as</cp:lastModifiedBy>
  <dcterms:modified xsi:type="dcterms:W3CDTF">2024-10-10T09:01:25Z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