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17736">
      <w:pPr>
        <w:pStyle w:val="6"/>
        <w:keepNext w:val="0"/>
        <w:keepLines w:val="0"/>
        <w:pageBreakBefore w:val="0"/>
        <w:widowControl/>
        <w:kinsoku/>
        <w:overflowPunct/>
        <w:topLinePunct w:val="0"/>
        <w:autoSpaceDN/>
        <w:bidi w:val="0"/>
        <w:adjustRightInd/>
        <w:spacing w:before="0" w:beforeAutospacing="0" w:after="0" w:afterAutospacing="0" w:line="594" w:lineRule="exact"/>
        <w:ind w:left="0"/>
        <w:jc w:val="center"/>
        <w:rPr>
          <w:rFonts w:ascii="Times New Roman" w:hAnsi="Times New Roman" w:eastAsia="方正小标宋_GBK" w:cs="方正小标宋_GBK"/>
          <w:sz w:val="36"/>
          <w:szCs w:val="36"/>
        </w:rPr>
      </w:pPr>
      <w:r>
        <w:rPr>
          <w:rFonts w:ascii="Times New Roman" w:hAnsi="Times New Roman" w:eastAsia="方正小标宋_GBK" w:cs="方正小标宋_GBK"/>
          <w:sz w:val="36"/>
          <w:szCs w:val="36"/>
        </w:rPr>
        <w:t>重庆市石柱土家族自治县生态环境监测站</w:t>
      </w:r>
    </w:p>
    <w:p w14:paraId="09DBBCA0">
      <w:pPr>
        <w:pStyle w:val="6"/>
        <w:keepNext w:val="0"/>
        <w:keepLines w:val="0"/>
        <w:pageBreakBefore w:val="0"/>
        <w:widowControl/>
        <w:kinsoku/>
        <w:overflowPunct/>
        <w:topLinePunct w:val="0"/>
        <w:autoSpaceDN/>
        <w:bidi w:val="0"/>
        <w:adjustRightInd/>
        <w:spacing w:before="0" w:beforeAutospacing="0" w:after="0" w:afterAutospacing="0" w:line="594" w:lineRule="exact"/>
        <w:ind w:left="0"/>
        <w:jc w:val="center"/>
        <w:rPr>
          <w:rFonts w:hint="default" w:ascii="Times New Roman" w:hAnsi="Times New Roman" w:eastAsia="方正小标宋_GBK" w:cs="方正小标宋_GBK"/>
          <w:sz w:val="36"/>
          <w:szCs w:val="36"/>
          <w:shd w:val="clear" w:color="auto" w:fill="FFFFFF"/>
        </w:rPr>
      </w:pPr>
      <w:r>
        <w:rPr>
          <w:rFonts w:ascii="Times New Roman" w:hAnsi="Times New Roman" w:eastAsia="方正小标宋_GBK" w:cs="方正小标宋_GBK"/>
          <w:sz w:val="36"/>
          <w:szCs w:val="36"/>
          <w:shd w:val="clear" w:color="auto" w:fill="FFFFFF"/>
        </w:rPr>
        <w:t>2023年度决算公开说明</w:t>
      </w:r>
    </w:p>
    <w:p w14:paraId="51D51B31">
      <w:pPr>
        <w:keepNext w:val="0"/>
        <w:keepLines w:val="0"/>
        <w:pageBreakBefore w:val="0"/>
        <w:widowControl/>
        <w:kinsoku/>
        <w:overflowPunct/>
        <w:topLinePunct w:val="0"/>
        <w:autoSpaceDN/>
        <w:bidi w:val="0"/>
        <w:adjustRightInd/>
        <w:spacing w:afterAutospacing="0" w:line="594" w:lineRule="exact"/>
        <w:ind w:left="0" w:firstLine="640" w:firstLineChars="20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一、单位基本情况</w:t>
      </w:r>
    </w:p>
    <w:p w14:paraId="3F9B9CEA">
      <w:pPr>
        <w:keepNext w:val="0"/>
        <w:keepLines w:val="0"/>
        <w:pageBreakBefore w:val="0"/>
        <w:widowControl/>
        <w:kinsoku/>
        <w:overflowPunct/>
        <w:topLinePunct w:val="0"/>
        <w:autoSpaceDN/>
        <w:bidi w:val="0"/>
        <w:adjustRightInd/>
        <w:spacing w:afterAutospacing="0" w:line="594" w:lineRule="exact"/>
        <w:ind w:left="0" w:firstLine="640" w:firstLineChars="200"/>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（一）职能职责</w:t>
      </w:r>
    </w:p>
    <w:p w14:paraId="36817FB4">
      <w:pPr>
        <w:keepNext w:val="0"/>
        <w:keepLines w:val="0"/>
        <w:pageBreakBefore w:val="0"/>
        <w:widowControl/>
        <w:kinsoku/>
        <w:overflowPunct/>
        <w:topLinePunct w:val="0"/>
        <w:autoSpaceDN/>
        <w:bidi w:val="0"/>
        <w:adjustRightInd/>
        <w:spacing w:afterAutospacing="0" w:line="594" w:lineRule="exact"/>
        <w:ind w:left="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负责本行政区域内的例行监测、执法监测、污染源监督性监测、突发生态环境事件应急监测等工作；负责环境监测技术指导、培训工作；负责</w:t>
      </w:r>
      <w:r>
        <w:rPr>
          <w:rFonts w:hint="default" w:ascii="Times New Roman" w:hAnsi="Times New Roman" w:eastAsia="方正仿宋_GBK" w:cs="Times New Roman"/>
          <w:sz w:val="32"/>
          <w:szCs w:val="32"/>
          <w:lang w:eastAsia="zh-CN"/>
        </w:rPr>
        <w:t>拟订</w:t>
      </w:r>
      <w:r>
        <w:rPr>
          <w:rFonts w:hint="default" w:ascii="Times New Roman" w:hAnsi="Times New Roman" w:eastAsia="方正仿宋_GBK" w:cs="Times New Roman"/>
          <w:sz w:val="32"/>
          <w:szCs w:val="32"/>
        </w:rPr>
        <w:t>环境质量报告书和污染源状况报告书；负责环境质量评估和环境质量预警，编制监测报告，协助发布环境质量监测信息。</w:t>
      </w:r>
    </w:p>
    <w:p w14:paraId="44F71AD0">
      <w:pPr>
        <w:keepNext w:val="0"/>
        <w:keepLines w:val="0"/>
        <w:pageBreakBefore w:val="0"/>
        <w:widowControl/>
        <w:kinsoku/>
        <w:overflowPunct/>
        <w:topLinePunct w:val="0"/>
        <w:autoSpaceDN/>
        <w:bidi w:val="0"/>
        <w:adjustRightInd/>
        <w:spacing w:afterAutospacing="0" w:line="594" w:lineRule="exact"/>
        <w:ind w:left="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1.负责地表水、县城饮用水和乡镇饮用水水源地和市级大、中型水库等断面水质的例行监测和土壤例行监测，掌握和提供环境质量状况，预测环境质量变化趋势。</w:t>
      </w:r>
    </w:p>
    <w:p w14:paraId="5A913C62">
      <w:pPr>
        <w:keepNext w:val="0"/>
        <w:keepLines w:val="0"/>
        <w:pageBreakBefore w:val="0"/>
        <w:widowControl/>
        <w:kinsoku/>
        <w:overflowPunct/>
        <w:topLinePunct w:val="0"/>
        <w:autoSpaceDN/>
        <w:bidi w:val="0"/>
        <w:adjustRightInd/>
        <w:spacing w:afterAutospacing="0" w:line="594" w:lineRule="exact"/>
        <w:ind w:left="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2.负责道路交通噪声、区域环境噪声和功能区噪声例行监测，分析噪声污染程度，提供防治建议。</w:t>
      </w:r>
    </w:p>
    <w:p w14:paraId="57FD8125">
      <w:pPr>
        <w:keepNext w:val="0"/>
        <w:keepLines w:val="0"/>
        <w:pageBreakBefore w:val="0"/>
        <w:widowControl/>
        <w:kinsoku/>
        <w:overflowPunct/>
        <w:topLinePunct w:val="0"/>
        <w:autoSpaceDN/>
        <w:bidi w:val="0"/>
        <w:adjustRightInd/>
        <w:spacing w:afterAutospacing="0" w:line="594" w:lineRule="exact"/>
        <w:ind w:left="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3.负责县城空气质量监测，出具空气质量预警报告。</w:t>
      </w:r>
    </w:p>
    <w:p w14:paraId="532E272E">
      <w:pPr>
        <w:keepNext w:val="0"/>
        <w:keepLines w:val="0"/>
        <w:pageBreakBefore w:val="0"/>
        <w:widowControl/>
        <w:kinsoku/>
        <w:overflowPunct/>
        <w:topLinePunct w:val="0"/>
        <w:autoSpaceDN/>
        <w:bidi w:val="0"/>
        <w:adjustRightInd/>
        <w:spacing w:afterAutospacing="0" w:line="594" w:lineRule="exact"/>
        <w:ind w:left="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4.负责突发环境事件的应急监测，为应急处置和环境保护提供技术支撑。</w:t>
      </w:r>
    </w:p>
    <w:p w14:paraId="1C3E712E">
      <w:pPr>
        <w:keepNext w:val="0"/>
        <w:keepLines w:val="0"/>
        <w:pageBreakBefore w:val="0"/>
        <w:widowControl/>
        <w:kinsoku/>
        <w:overflowPunct/>
        <w:topLinePunct w:val="0"/>
        <w:autoSpaceDN/>
        <w:bidi w:val="0"/>
        <w:adjustRightInd/>
        <w:spacing w:afterAutospacing="0" w:line="594" w:lineRule="exact"/>
        <w:ind w:left="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5.组织开展执法监测，为环境执法提供数据支持。</w:t>
      </w:r>
    </w:p>
    <w:p w14:paraId="7CAA01FA">
      <w:pPr>
        <w:keepNext w:val="0"/>
        <w:keepLines w:val="0"/>
        <w:pageBreakBefore w:val="0"/>
        <w:widowControl/>
        <w:kinsoku/>
        <w:overflowPunct/>
        <w:topLinePunct w:val="0"/>
        <w:autoSpaceDN/>
        <w:bidi w:val="0"/>
        <w:adjustRightInd/>
        <w:spacing w:afterAutospacing="0" w:line="594" w:lineRule="exact"/>
        <w:ind w:left="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6.负责对各排污申报单位的排放源进行监督性监测，汇总污染物监测数据，分析污染物变化趋势，编写污染源监测及排污状况报告书。</w:t>
      </w:r>
    </w:p>
    <w:p w14:paraId="37B217F9">
      <w:pPr>
        <w:keepNext w:val="0"/>
        <w:keepLines w:val="0"/>
        <w:pageBreakBefore w:val="0"/>
        <w:widowControl/>
        <w:kinsoku/>
        <w:overflowPunct/>
        <w:topLinePunct w:val="0"/>
        <w:autoSpaceDN/>
        <w:bidi w:val="0"/>
        <w:adjustRightInd/>
        <w:spacing w:afterAutospacing="0" w:line="594" w:lineRule="exact"/>
        <w:ind w:left="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7.负责完善和管理环境监测档案及动态数据库，分析、整理监测数据资料，定期向主管部门、上级部门及有关单位报送环境质量数据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负责分析环境质量变化趋势，拟草环境质量报告书；负责环境监测培训和环境监测管理，指导企业环境的监测工作。</w:t>
      </w:r>
    </w:p>
    <w:p w14:paraId="5757A5FD">
      <w:pPr>
        <w:keepNext w:val="0"/>
        <w:keepLines w:val="0"/>
        <w:pageBreakBefore w:val="0"/>
        <w:widowControl/>
        <w:kinsoku/>
        <w:overflowPunct/>
        <w:topLinePunct w:val="0"/>
        <w:autoSpaceDN/>
        <w:bidi w:val="0"/>
        <w:adjustRightInd/>
        <w:spacing w:afterAutospacing="0" w:line="594" w:lineRule="exact"/>
        <w:ind w:left="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8.完成重庆市生态环境监测中心和县生态环境局领导交办的其他事项。</w:t>
      </w:r>
    </w:p>
    <w:p w14:paraId="0AB7F38E">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594" w:lineRule="exact"/>
        <w:ind w:left="0" w:firstLine="640" w:firstLineChars="200"/>
        <w:jc w:val="both"/>
        <w:rPr>
          <w:rFonts w:ascii="Times New Roman" w:hAnsi="Times New Roman" w:eastAsia="方正楷体_GBK" w:cs="Times New Roman"/>
          <w:b/>
          <w:sz w:val="32"/>
          <w:szCs w:val="32"/>
        </w:rPr>
      </w:pPr>
      <w:r>
        <w:rPr>
          <w:rStyle w:val="10"/>
          <w:rFonts w:ascii="Times New Roman" w:hAnsi="Times New Roman" w:eastAsia="方正楷体_GBK" w:cs="Times New Roman"/>
          <w:b w:val="0"/>
          <w:sz w:val="32"/>
          <w:szCs w:val="32"/>
        </w:rPr>
        <w:t>（二）机构设置</w:t>
      </w:r>
    </w:p>
    <w:p w14:paraId="3FC15E6C">
      <w:pPr>
        <w:keepNext w:val="0"/>
        <w:keepLines w:val="0"/>
        <w:pageBreakBefore w:val="0"/>
        <w:widowControl/>
        <w:kinsoku/>
        <w:overflowPunct/>
        <w:topLinePunct w:val="0"/>
        <w:autoSpaceDN/>
        <w:bidi w:val="0"/>
        <w:adjustRightInd/>
        <w:spacing w:afterAutospacing="0" w:line="594" w:lineRule="exact"/>
        <w:ind w:left="0" w:firstLine="640" w:firstLineChars="200"/>
        <w:jc w:val="both"/>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县生态环境监测站设下列内设机构：</w:t>
      </w:r>
    </w:p>
    <w:p w14:paraId="07CB1E39">
      <w:pPr>
        <w:keepNext w:val="0"/>
        <w:keepLines w:val="0"/>
        <w:pageBreakBefore w:val="0"/>
        <w:widowControl/>
        <w:kinsoku/>
        <w:overflowPunct/>
        <w:topLinePunct w:val="0"/>
        <w:autoSpaceDN/>
        <w:bidi w:val="0"/>
        <w:adjustRightInd/>
        <w:spacing w:afterAutospacing="0" w:line="594" w:lineRule="exact"/>
        <w:ind w:left="0" w:firstLine="640" w:firstLineChars="200"/>
        <w:jc w:val="both"/>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综合技术科。贯彻执行质量方针、质量目标，承担监测技术指导工作，对重大监测技术问题进行综合分析，提出解决方案；负责管理和更新监测站使用的各类标准，组织环境监测新方法、标准、技术、规范的验证和实施；负责制定环境监测发展规划、能力建设计划方案；负责监测数据的统计、上报；承担站内文书档案、人事档案、监测报告等资料管理工作。</w:t>
      </w:r>
    </w:p>
    <w:p w14:paraId="68576A0E">
      <w:pPr>
        <w:keepNext w:val="0"/>
        <w:keepLines w:val="0"/>
        <w:pageBreakBefore w:val="0"/>
        <w:widowControl/>
        <w:kinsoku/>
        <w:overflowPunct/>
        <w:topLinePunct w:val="0"/>
        <w:autoSpaceDN/>
        <w:bidi w:val="0"/>
        <w:adjustRightInd/>
        <w:spacing w:afterAutospacing="0" w:line="594" w:lineRule="exact"/>
        <w:ind w:left="0" w:firstLine="640" w:firstLineChars="200"/>
        <w:jc w:val="both"/>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质量控制科。负责本站质量体系文件的编制、修订、发放和贯宣工作；负责标准物资的采购和管理；负责职工参加各级能力验证、质量考核和质量督查的组织工作；负责拟订质量控制计划和人员培训计划并组织实施；负责分析记录质量审核工作。</w:t>
      </w:r>
    </w:p>
    <w:p w14:paraId="54294E05">
      <w:pPr>
        <w:keepNext w:val="0"/>
        <w:keepLines w:val="0"/>
        <w:pageBreakBefore w:val="0"/>
        <w:widowControl/>
        <w:kinsoku/>
        <w:overflowPunct/>
        <w:topLinePunct w:val="0"/>
        <w:autoSpaceDN/>
        <w:bidi w:val="0"/>
        <w:adjustRightInd/>
        <w:spacing w:afterAutospacing="0" w:line="594" w:lineRule="exact"/>
        <w:ind w:left="0" w:firstLine="640" w:firstLineChars="200"/>
        <w:jc w:val="both"/>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室内分析科。负责环境质量、污染源等各类监测任务的实验室分析工作；负责样品的接收、发放、留样等工作；负责仪器设备的管理和维护；负责编制审核监测报告、质量分析报告；负责仪器设备、化学试剂、药品、器皿、分析资料的购买和管理；承担实验室安全、卫生和保密工作。</w:t>
      </w:r>
    </w:p>
    <w:p w14:paraId="303C0DD8">
      <w:pPr>
        <w:keepNext w:val="0"/>
        <w:keepLines w:val="0"/>
        <w:pageBreakBefore w:val="0"/>
        <w:widowControl/>
        <w:kinsoku/>
        <w:overflowPunct/>
        <w:topLinePunct w:val="0"/>
        <w:autoSpaceDN/>
        <w:bidi w:val="0"/>
        <w:adjustRightInd/>
        <w:spacing w:afterAutospacing="0" w:line="594" w:lineRule="exact"/>
        <w:ind w:left="0" w:firstLine="640" w:firstLineChars="200"/>
        <w:jc w:val="both"/>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4.现场监测科。负责环境质量、污染源等各类监测任务的现场监测；参与重大污染事故应急、污染纠纷仲裁的现场监测；负责外出设备和应急设备的管理和维护。</w:t>
      </w:r>
    </w:p>
    <w:p w14:paraId="3B6B8A0E">
      <w:pPr>
        <w:keepNext w:val="0"/>
        <w:keepLines w:val="0"/>
        <w:pageBreakBefore w:val="0"/>
        <w:widowControl/>
        <w:kinsoku/>
        <w:overflowPunct/>
        <w:topLinePunct w:val="0"/>
        <w:autoSpaceDN/>
        <w:bidi w:val="0"/>
        <w:adjustRightInd/>
        <w:spacing w:afterAutospacing="0" w:line="594" w:lineRule="exact"/>
        <w:ind w:left="0" w:firstLine="640" w:firstLineChars="20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二、单位决算情况说明</w:t>
      </w:r>
    </w:p>
    <w:p w14:paraId="3FA825F9">
      <w:pPr>
        <w:keepNext w:val="0"/>
        <w:keepLines w:val="0"/>
        <w:pageBreakBefore w:val="0"/>
        <w:widowControl/>
        <w:kinsoku/>
        <w:overflowPunct/>
        <w:topLinePunct w:val="0"/>
        <w:autoSpaceDN/>
        <w:bidi w:val="0"/>
        <w:adjustRightInd/>
        <w:spacing w:afterAutospacing="0" w:line="594" w:lineRule="exact"/>
        <w:ind w:left="0" w:firstLine="640" w:firstLineChars="200"/>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（一）收入支出决算总体情况说明。</w:t>
      </w:r>
    </w:p>
    <w:p w14:paraId="2E89F196">
      <w:pPr>
        <w:keepNext w:val="0"/>
        <w:keepLines w:val="0"/>
        <w:pageBreakBefore w:val="0"/>
        <w:widowControl/>
        <w:kinsoku/>
        <w:overflowPunct/>
        <w:topLinePunct w:val="0"/>
        <w:autoSpaceDN/>
        <w:bidi w:val="0"/>
        <w:adjustRightInd/>
        <w:spacing w:afterAutospacing="0" w:line="594" w:lineRule="exact"/>
        <w:ind w:left="0" w:firstLine="643" w:firstLineChars="200"/>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b/>
          <w:bCs/>
          <w:sz w:val="32"/>
          <w:szCs w:val="32"/>
        </w:rPr>
        <w:t>1.总体情况。</w:t>
      </w:r>
      <w:r>
        <w:rPr>
          <w:rFonts w:hint="eastAsia" w:ascii="Times New Roman" w:hAnsi="Times New Roman" w:eastAsia="方正仿宋_GBK" w:cs="方正仿宋_GBK"/>
          <w:sz w:val="32"/>
          <w:szCs w:val="32"/>
        </w:rPr>
        <w:t>2023年度收入总计515.63万元，支出总计515.63万元。收支较上年决算数增加24.81万元，增长5.05%，主要原因是人员增加</w:t>
      </w:r>
      <w:r>
        <w:rPr>
          <w:rFonts w:hint="eastAsia" w:ascii="Times New Roman" w:hAnsi="Times New Roman" w:eastAsia="方正仿宋_GBK" w:cs="方正仿宋_GBK"/>
          <w:sz w:val="32"/>
          <w:szCs w:val="32"/>
          <w:lang w:eastAsia="zh-CN"/>
        </w:rPr>
        <w:t>，以及</w:t>
      </w:r>
      <w:r>
        <w:rPr>
          <w:rFonts w:hint="eastAsia" w:ascii="Times New Roman" w:hAnsi="Times New Roman" w:eastAsia="方正仿宋_GBK" w:cs="方正仿宋_GBK"/>
          <w:sz w:val="32"/>
          <w:szCs w:val="32"/>
        </w:rPr>
        <w:t>工资调整、社保</w:t>
      </w:r>
      <w:r>
        <w:rPr>
          <w:rFonts w:hint="eastAsia" w:ascii="Times New Roman" w:hAnsi="Times New Roman" w:eastAsia="方正仿宋_GBK" w:cs="方正仿宋_GBK"/>
          <w:sz w:val="32"/>
          <w:szCs w:val="32"/>
          <w:lang w:eastAsia="zh-CN"/>
        </w:rPr>
        <w:t>等</w:t>
      </w:r>
      <w:r>
        <w:rPr>
          <w:rFonts w:hint="eastAsia" w:ascii="Times New Roman" w:hAnsi="Times New Roman" w:eastAsia="方正仿宋_GBK" w:cs="方正仿宋_GBK"/>
          <w:sz w:val="32"/>
          <w:szCs w:val="32"/>
        </w:rPr>
        <w:t>基数调整增加</w:t>
      </w:r>
      <w:r>
        <w:rPr>
          <w:rFonts w:hint="eastAsia" w:ascii="Times New Roman" w:hAnsi="Times New Roman" w:eastAsia="方正仿宋_GBK" w:cs="方正仿宋_GBK"/>
          <w:sz w:val="32"/>
          <w:szCs w:val="32"/>
          <w:lang w:eastAsia="zh-CN"/>
        </w:rPr>
        <w:t>。</w:t>
      </w:r>
    </w:p>
    <w:p w14:paraId="15431FC7">
      <w:pPr>
        <w:keepNext w:val="0"/>
        <w:keepLines w:val="0"/>
        <w:pageBreakBefore w:val="0"/>
        <w:widowControl/>
        <w:kinsoku/>
        <w:overflowPunct/>
        <w:topLinePunct w:val="0"/>
        <w:autoSpaceDN/>
        <w:bidi w:val="0"/>
        <w:adjustRightInd/>
        <w:spacing w:afterAutospacing="0" w:line="594" w:lineRule="exact"/>
        <w:ind w:left="0" w:firstLine="643"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2.收入情况。</w:t>
      </w:r>
      <w:r>
        <w:rPr>
          <w:rFonts w:hint="eastAsia" w:ascii="Times New Roman" w:hAnsi="Times New Roman" w:eastAsia="方正仿宋_GBK" w:cs="方正仿宋_GBK"/>
          <w:sz w:val="32"/>
          <w:szCs w:val="32"/>
        </w:rPr>
        <w:t>2023年度收入合计515.63万元，较上年决算数增加24.81万元，增长5.05%，主要原因是人员增加</w:t>
      </w:r>
      <w:r>
        <w:rPr>
          <w:rFonts w:hint="eastAsia" w:ascii="Times New Roman" w:hAnsi="Times New Roman" w:eastAsia="方正仿宋_GBK" w:cs="方正仿宋_GBK"/>
          <w:sz w:val="32"/>
          <w:szCs w:val="32"/>
          <w:lang w:eastAsia="zh-CN"/>
        </w:rPr>
        <w:t>，以及</w:t>
      </w:r>
      <w:r>
        <w:rPr>
          <w:rFonts w:hint="eastAsia" w:ascii="Times New Roman" w:hAnsi="Times New Roman" w:eastAsia="方正仿宋_GBK" w:cs="方正仿宋_GBK"/>
          <w:sz w:val="32"/>
          <w:szCs w:val="32"/>
        </w:rPr>
        <w:t>工资调整、社保</w:t>
      </w:r>
      <w:r>
        <w:rPr>
          <w:rFonts w:hint="eastAsia" w:ascii="Times New Roman" w:hAnsi="Times New Roman" w:eastAsia="方正仿宋_GBK" w:cs="方正仿宋_GBK"/>
          <w:sz w:val="32"/>
          <w:szCs w:val="32"/>
          <w:lang w:eastAsia="zh-CN"/>
        </w:rPr>
        <w:t>等</w:t>
      </w:r>
      <w:r>
        <w:rPr>
          <w:rFonts w:hint="eastAsia" w:ascii="Times New Roman" w:hAnsi="Times New Roman" w:eastAsia="方正仿宋_GBK" w:cs="方正仿宋_GBK"/>
          <w:sz w:val="32"/>
          <w:szCs w:val="32"/>
        </w:rPr>
        <w:t>基数调整增加</w:t>
      </w:r>
      <w:r>
        <w:rPr>
          <w:rFonts w:hint="eastAsia" w:ascii="Times New Roman" w:hAnsi="Times New Roman" w:eastAsia="方正仿宋_GBK" w:cs="方正仿宋_GBK"/>
          <w:sz w:val="32"/>
          <w:szCs w:val="32"/>
          <w:lang w:eastAsia="zh-CN"/>
        </w:rPr>
        <w:t>收入。</w:t>
      </w:r>
      <w:r>
        <w:rPr>
          <w:rFonts w:hint="eastAsia" w:ascii="Times New Roman" w:hAnsi="Times New Roman" w:eastAsia="方正仿宋_GBK" w:cs="方正仿宋_GBK"/>
          <w:sz w:val="32"/>
          <w:szCs w:val="32"/>
        </w:rPr>
        <w:t>其中：财政拨款收入515.63万元，占100.00%。</w:t>
      </w:r>
    </w:p>
    <w:p w14:paraId="22EE04E8">
      <w:pPr>
        <w:keepNext w:val="0"/>
        <w:keepLines w:val="0"/>
        <w:pageBreakBefore w:val="0"/>
        <w:widowControl/>
        <w:kinsoku/>
        <w:overflowPunct/>
        <w:topLinePunct w:val="0"/>
        <w:autoSpaceDN/>
        <w:bidi w:val="0"/>
        <w:adjustRightInd/>
        <w:spacing w:afterAutospacing="0" w:line="594" w:lineRule="exact"/>
        <w:ind w:left="0" w:firstLine="643" w:firstLineChars="200"/>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b/>
          <w:bCs/>
          <w:sz w:val="32"/>
          <w:szCs w:val="32"/>
        </w:rPr>
        <w:t>3.支出情况。</w:t>
      </w:r>
      <w:r>
        <w:rPr>
          <w:rFonts w:hint="eastAsia" w:ascii="Times New Roman" w:hAnsi="Times New Roman" w:eastAsia="方正仿宋_GBK" w:cs="方正仿宋_GBK"/>
          <w:sz w:val="32"/>
          <w:szCs w:val="32"/>
        </w:rPr>
        <w:t>2023年度支出合计515.63万元，较上年决算数增加24.81万元，增长5.05%，主要原因是人员增加</w:t>
      </w:r>
      <w:r>
        <w:rPr>
          <w:rFonts w:hint="eastAsia" w:ascii="Times New Roman" w:hAnsi="Times New Roman" w:eastAsia="方正仿宋_GBK" w:cs="方正仿宋_GBK"/>
          <w:sz w:val="32"/>
          <w:szCs w:val="32"/>
          <w:lang w:eastAsia="zh-CN"/>
        </w:rPr>
        <w:t>，以及</w:t>
      </w:r>
      <w:r>
        <w:rPr>
          <w:rFonts w:hint="eastAsia" w:ascii="Times New Roman" w:hAnsi="Times New Roman" w:eastAsia="方正仿宋_GBK" w:cs="方正仿宋_GBK"/>
          <w:sz w:val="32"/>
          <w:szCs w:val="32"/>
        </w:rPr>
        <w:t>工资调整、社保</w:t>
      </w:r>
      <w:r>
        <w:rPr>
          <w:rFonts w:hint="eastAsia" w:ascii="Times New Roman" w:hAnsi="Times New Roman" w:eastAsia="方正仿宋_GBK" w:cs="方正仿宋_GBK"/>
          <w:sz w:val="32"/>
          <w:szCs w:val="32"/>
          <w:lang w:eastAsia="zh-CN"/>
        </w:rPr>
        <w:t>等</w:t>
      </w:r>
      <w:r>
        <w:rPr>
          <w:rFonts w:hint="eastAsia" w:ascii="Times New Roman" w:hAnsi="Times New Roman" w:eastAsia="方正仿宋_GBK" w:cs="方正仿宋_GBK"/>
          <w:sz w:val="32"/>
          <w:szCs w:val="32"/>
        </w:rPr>
        <w:t>基数调整增加</w:t>
      </w:r>
      <w:r>
        <w:rPr>
          <w:rFonts w:hint="eastAsia" w:ascii="Times New Roman" w:hAnsi="Times New Roman" w:eastAsia="方正仿宋_GBK" w:cs="方正仿宋_GBK"/>
          <w:sz w:val="32"/>
          <w:szCs w:val="32"/>
          <w:lang w:eastAsia="zh-CN"/>
        </w:rPr>
        <w:t>支出</w:t>
      </w:r>
      <w:r>
        <w:rPr>
          <w:rFonts w:hint="eastAsia" w:ascii="Times New Roman" w:hAnsi="Times New Roman" w:eastAsia="方正仿宋_GBK" w:cs="方正仿宋_GBK"/>
          <w:sz w:val="32"/>
          <w:szCs w:val="32"/>
        </w:rPr>
        <w:t>。其中：基本支出515.63万元，占100.00%</w:t>
      </w:r>
      <w:r>
        <w:rPr>
          <w:rFonts w:hint="eastAsia" w:ascii="Times New Roman" w:hAnsi="Times New Roman" w:eastAsia="方正仿宋_GBK" w:cs="方正仿宋_GBK"/>
          <w:sz w:val="32"/>
          <w:szCs w:val="32"/>
          <w:lang w:eastAsia="zh-CN"/>
        </w:rPr>
        <w:t>。</w:t>
      </w:r>
    </w:p>
    <w:p w14:paraId="07E19542">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left="0" w:firstLine="643" w:firstLineChars="200"/>
        <w:jc w:val="both"/>
        <w:rPr>
          <w:rFonts w:hint="eastAsia" w:ascii="Times New Roman" w:hAnsi="Times New Roman" w:eastAsia="方正仿宋_GBK" w:cs="方正仿宋_GBK"/>
          <w:sz w:val="32"/>
          <w:szCs w:val="32"/>
          <w:lang w:val="en-US" w:eastAsia="zh-CN"/>
        </w:rPr>
      </w:pPr>
      <w:r>
        <w:rPr>
          <w:rStyle w:val="10"/>
          <w:rFonts w:ascii="Times New Roman" w:hAnsi="Times New Roman" w:eastAsia="方正仿宋_GBK" w:cs="方正仿宋_GBK"/>
          <w:sz w:val="32"/>
          <w:szCs w:val="32"/>
          <w:shd w:val="clear" w:color="auto" w:fill="FFFFFF"/>
        </w:rPr>
        <w:t>4.结转结余情况。</w:t>
      </w:r>
      <w:r>
        <w:rPr>
          <w:rFonts w:ascii="Times New Roman" w:hAnsi="Times New Roman" w:eastAsia="方正仿宋_GBK" w:cs="方正仿宋_GBK"/>
          <w:sz w:val="32"/>
          <w:szCs w:val="32"/>
          <w:shd w:val="clear" w:color="auto" w:fill="FFFFFF"/>
        </w:rPr>
        <w:t>2023年度年末结转和结余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万元，较上年决算数无增减</w:t>
      </w:r>
      <w:r>
        <w:rPr>
          <w:rFonts w:hint="eastAsia" w:ascii="Times New Roman" w:hAnsi="Times New Roman" w:eastAsia="方正仿宋_GBK" w:cs="方正仿宋_GBK"/>
          <w:sz w:val="32"/>
          <w:szCs w:val="32"/>
          <w:shd w:val="clear" w:color="auto" w:fill="FFFFFF"/>
          <w:lang w:val="en-US" w:eastAsia="zh-CN"/>
        </w:rPr>
        <w:t>。</w:t>
      </w:r>
    </w:p>
    <w:p w14:paraId="19352F8C">
      <w:pPr>
        <w:keepNext w:val="0"/>
        <w:keepLines w:val="0"/>
        <w:pageBreakBefore w:val="0"/>
        <w:widowControl/>
        <w:kinsoku/>
        <w:overflowPunct/>
        <w:topLinePunct w:val="0"/>
        <w:autoSpaceDN/>
        <w:bidi w:val="0"/>
        <w:adjustRightInd/>
        <w:spacing w:afterAutospacing="0" w:line="594" w:lineRule="exact"/>
        <w:ind w:left="0" w:firstLine="640" w:firstLineChars="200"/>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（二）财政拨款收入支出决算总体情况说明</w:t>
      </w:r>
    </w:p>
    <w:p w14:paraId="29DDCFB9">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left="0"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2023年度财政拨款收、支总计515.63万元。与2022年相比，财政拨款收、支总计各增加24.81万元，增长5.05%。主要原因是人员增加</w:t>
      </w:r>
      <w:r>
        <w:rPr>
          <w:rFonts w:hint="eastAsia" w:ascii="Times New Roman" w:hAnsi="Times New Roman" w:eastAsia="方正仿宋_GBK" w:cs="方正仿宋_GBK"/>
          <w:sz w:val="32"/>
          <w:szCs w:val="32"/>
          <w:shd w:val="clear" w:color="auto" w:fill="FFFFFF"/>
          <w:lang w:eastAsia="zh-CN"/>
        </w:rPr>
        <w:t>，以及</w:t>
      </w:r>
      <w:r>
        <w:rPr>
          <w:rFonts w:ascii="Times New Roman" w:hAnsi="Times New Roman" w:eastAsia="方正仿宋_GBK" w:cs="方正仿宋_GBK"/>
          <w:sz w:val="32"/>
          <w:szCs w:val="32"/>
          <w:shd w:val="clear" w:color="auto" w:fill="FFFFFF"/>
        </w:rPr>
        <w:t>工资调整、社保</w:t>
      </w:r>
      <w:r>
        <w:rPr>
          <w:rFonts w:hint="eastAsia" w:ascii="Times New Roman" w:hAnsi="Times New Roman" w:eastAsia="方正仿宋_GBK" w:cs="方正仿宋_GBK"/>
          <w:sz w:val="32"/>
          <w:szCs w:val="32"/>
          <w:shd w:val="clear" w:color="auto" w:fill="FFFFFF"/>
          <w:lang w:eastAsia="zh-CN"/>
        </w:rPr>
        <w:t>等</w:t>
      </w:r>
      <w:r>
        <w:rPr>
          <w:rFonts w:ascii="Times New Roman" w:hAnsi="Times New Roman" w:eastAsia="方正仿宋_GBK" w:cs="方正仿宋_GBK"/>
          <w:sz w:val="32"/>
          <w:szCs w:val="32"/>
          <w:shd w:val="clear" w:color="auto" w:fill="FFFFFF"/>
        </w:rPr>
        <w:t>基数调整增加</w:t>
      </w:r>
      <w:r>
        <w:rPr>
          <w:rFonts w:hint="eastAsia" w:ascii="Times New Roman" w:hAnsi="Times New Roman" w:eastAsia="方正仿宋_GBK" w:cs="方正仿宋_GBK"/>
          <w:sz w:val="32"/>
          <w:szCs w:val="32"/>
          <w:shd w:val="clear" w:color="auto" w:fill="FFFFFF"/>
          <w:lang w:eastAsia="zh-CN"/>
        </w:rPr>
        <w:t>收支</w:t>
      </w:r>
      <w:r>
        <w:rPr>
          <w:rFonts w:ascii="Times New Roman" w:hAnsi="Times New Roman" w:eastAsia="方正仿宋_GBK" w:cs="方正仿宋_GBK"/>
          <w:color w:val="000000" w:themeColor="text1"/>
          <w:sz w:val="32"/>
          <w:szCs w:val="32"/>
          <w:shd w:val="clear" w:color="auto" w:fill="FFFFFF"/>
        </w:rPr>
        <w:t>。</w:t>
      </w:r>
    </w:p>
    <w:p w14:paraId="13D9D324">
      <w:pPr>
        <w:keepNext w:val="0"/>
        <w:keepLines w:val="0"/>
        <w:pageBreakBefore w:val="0"/>
        <w:widowControl/>
        <w:kinsoku/>
        <w:overflowPunct/>
        <w:topLinePunct w:val="0"/>
        <w:autoSpaceDN/>
        <w:bidi w:val="0"/>
        <w:adjustRightInd/>
        <w:spacing w:afterAutospacing="0" w:line="594" w:lineRule="exact"/>
        <w:ind w:left="0" w:firstLine="640" w:firstLineChars="200"/>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（三）一般公共预算财政拨款收入支出决算情况说明</w:t>
      </w:r>
    </w:p>
    <w:p w14:paraId="18D47F73">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left="0"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1.收入情况。</w:t>
      </w:r>
      <w:r>
        <w:rPr>
          <w:rFonts w:ascii="Times New Roman" w:hAnsi="Times New Roman" w:eastAsia="方正仿宋_GBK" w:cs="方正仿宋_GBK"/>
          <w:sz w:val="32"/>
          <w:szCs w:val="32"/>
          <w:shd w:val="clear" w:color="auto" w:fill="FFFFFF"/>
        </w:rPr>
        <w:t>2023年度一般公共预算财政拨款收入</w:t>
      </w:r>
      <w:r>
        <w:rPr>
          <w:rFonts w:ascii="Times New Roman" w:hAnsi="Times New Roman" w:eastAsia="方正仿宋_GBK" w:cs="方正仿宋_GBK"/>
          <w:sz w:val="32"/>
          <w:szCs w:val="32"/>
        </w:rPr>
        <w:t>515.63</w:t>
      </w:r>
      <w:r>
        <w:rPr>
          <w:rFonts w:ascii="Times New Roman" w:hAnsi="Times New Roman" w:eastAsia="方正仿宋_GBK" w:cs="方正仿宋_GBK"/>
          <w:sz w:val="32"/>
          <w:szCs w:val="32"/>
          <w:shd w:val="clear" w:color="auto" w:fill="FFFFFF"/>
        </w:rPr>
        <w:t>万元，较上年决算数增加24.81万元，增长5.05%。主要原因是人员增加</w:t>
      </w:r>
      <w:r>
        <w:rPr>
          <w:rFonts w:hint="eastAsia" w:ascii="Times New Roman" w:hAnsi="Times New Roman" w:eastAsia="方正仿宋_GBK" w:cs="方正仿宋_GBK"/>
          <w:sz w:val="32"/>
          <w:szCs w:val="32"/>
          <w:shd w:val="clear" w:color="auto" w:fill="FFFFFF"/>
          <w:lang w:eastAsia="zh-CN"/>
        </w:rPr>
        <w:t>，以及</w:t>
      </w:r>
      <w:r>
        <w:rPr>
          <w:rFonts w:ascii="Times New Roman" w:hAnsi="Times New Roman" w:eastAsia="方正仿宋_GBK" w:cs="方正仿宋_GBK"/>
          <w:sz w:val="32"/>
          <w:szCs w:val="32"/>
          <w:shd w:val="clear" w:color="auto" w:fill="FFFFFF"/>
        </w:rPr>
        <w:t>工资调整、社保</w:t>
      </w:r>
      <w:r>
        <w:rPr>
          <w:rFonts w:hint="eastAsia" w:ascii="Times New Roman" w:hAnsi="Times New Roman" w:eastAsia="方正仿宋_GBK" w:cs="方正仿宋_GBK"/>
          <w:sz w:val="32"/>
          <w:szCs w:val="32"/>
          <w:shd w:val="clear" w:color="auto" w:fill="FFFFFF"/>
          <w:lang w:eastAsia="zh-CN"/>
        </w:rPr>
        <w:t>等</w:t>
      </w:r>
      <w:r>
        <w:rPr>
          <w:rFonts w:ascii="Times New Roman" w:hAnsi="Times New Roman" w:eastAsia="方正仿宋_GBK" w:cs="方正仿宋_GBK"/>
          <w:sz w:val="32"/>
          <w:szCs w:val="32"/>
          <w:shd w:val="clear" w:color="auto" w:fill="FFFFFF"/>
        </w:rPr>
        <w:t>基数调整增加</w:t>
      </w:r>
      <w:r>
        <w:rPr>
          <w:rFonts w:hint="eastAsia" w:ascii="Times New Roman" w:hAnsi="Times New Roman" w:eastAsia="方正仿宋_GBK" w:cs="方正仿宋_GBK"/>
          <w:sz w:val="32"/>
          <w:szCs w:val="32"/>
          <w:shd w:val="clear" w:color="auto" w:fill="FFFFFF"/>
          <w:lang w:eastAsia="zh-CN"/>
        </w:rPr>
        <w:t>支出</w:t>
      </w:r>
      <w:r>
        <w:rPr>
          <w:rFonts w:ascii="Times New Roman" w:hAnsi="Times New Roman" w:eastAsia="方正仿宋_GBK" w:cs="方正仿宋_GBK"/>
          <w:color w:val="000000" w:themeColor="text1"/>
          <w:sz w:val="32"/>
          <w:szCs w:val="32"/>
          <w:shd w:val="clear" w:color="auto" w:fill="FFFFFF"/>
        </w:rPr>
        <w:t>。</w:t>
      </w:r>
      <w:r>
        <w:rPr>
          <w:rFonts w:ascii="Times New Roman" w:hAnsi="Times New Roman" w:eastAsia="方正仿宋_GBK" w:cs="方正仿宋_GBK"/>
          <w:sz w:val="32"/>
          <w:szCs w:val="32"/>
          <w:shd w:val="clear" w:color="auto" w:fill="FFFFFF"/>
        </w:rPr>
        <w:t>较年初预算数增加99.48万元，增长23.9</w:t>
      </w:r>
      <w:r>
        <w:rPr>
          <w:rFonts w:ascii="Times New Roman" w:hAnsi="Times New Roman" w:eastAsia="方正仿宋_GBK" w:cs="方正仿宋_GBK"/>
          <w:color w:val="000000" w:themeColor="text1"/>
          <w:sz w:val="32"/>
          <w:szCs w:val="32"/>
          <w:shd w:val="clear" w:color="auto" w:fill="FFFFFF"/>
        </w:rPr>
        <w:t>0%。主要原因是</w:t>
      </w:r>
      <w:r>
        <w:rPr>
          <w:rFonts w:hint="eastAsia" w:ascii="Times New Roman" w:hAnsi="Times New Roman" w:eastAsia="方正仿宋_GBK" w:cs="方正仿宋_GBK"/>
          <w:color w:val="000000" w:themeColor="text1"/>
          <w:sz w:val="32"/>
          <w:szCs w:val="32"/>
          <w:shd w:val="clear" w:color="auto" w:fill="FFFFFF"/>
          <w:lang w:eastAsia="zh-CN"/>
        </w:rPr>
        <w:t>人员增加和相关基数调整，以及超额绩效清算</w:t>
      </w:r>
      <w:r>
        <w:rPr>
          <w:rFonts w:ascii="Times New Roman" w:hAnsi="Times New Roman" w:eastAsia="方正仿宋_GBK" w:cs="方正仿宋_GBK"/>
          <w:color w:val="000000" w:themeColor="text1"/>
          <w:sz w:val="32"/>
          <w:szCs w:val="32"/>
          <w:shd w:val="clear" w:color="auto" w:fill="FFFFFF"/>
        </w:rPr>
        <w:t>。此外，年初</w:t>
      </w:r>
      <w:r>
        <w:rPr>
          <w:rFonts w:ascii="Times New Roman" w:hAnsi="Times New Roman" w:eastAsia="方正仿宋_GBK" w:cs="方正仿宋_GBK"/>
          <w:sz w:val="32"/>
          <w:szCs w:val="32"/>
          <w:shd w:val="clear" w:color="auto" w:fill="FFFFFF"/>
        </w:rPr>
        <w:t>财政拨款结转和结余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p>
    <w:p w14:paraId="667621D2">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left="0" w:firstLine="643" w:firstLineChars="200"/>
        <w:jc w:val="both"/>
        <w:rPr>
          <w:rFonts w:ascii="Times New Roman" w:hAnsi="Times New Roman" w:eastAsia="方正仿宋_GBK" w:cs="方正仿宋_GBK"/>
          <w:color w:val="000000" w:themeColor="text1"/>
          <w:sz w:val="32"/>
          <w:szCs w:val="32"/>
          <w:shd w:val="clear" w:color="auto" w:fill="FFFFFF"/>
        </w:rPr>
      </w:pPr>
      <w:r>
        <w:rPr>
          <w:rStyle w:val="10"/>
          <w:rFonts w:ascii="Times New Roman" w:hAnsi="Times New Roman" w:eastAsia="方正仿宋_GBK" w:cs="方正仿宋_GBK"/>
          <w:sz w:val="32"/>
          <w:szCs w:val="32"/>
          <w:shd w:val="clear" w:color="auto" w:fill="FFFFFF"/>
        </w:rPr>
        <w:t>2.支出情况。</w:t>
      </w:r>
      <w:r>
        <w:rPr>
          <w:rFonts w:ascii="Times New Roman" w:hAnsi="Times New Roman" w:eastAsia="方正仿宋_GBK" w:cs="方正仿宋_GBK"/>
          <w:sz w:val="32"/>
          <w:szCs w:val="32"/>
          <w:shd w:val="clear" w:color="auto" w:fill="FFFFFF"/>
        </w:rPr>
        <w:t>2023年度一般公共预算财政拨款支出</w:t>
      </w:r>
      <w:r>
        <w:rPr>
          <w:rFonts w:ascii="Times New Roman" w:hAnsi="Times New Roman" w:eastAsia="方正仿宋_GBK" w:cs="方正仿宋_GBK"/>
          <w:sz w:val="32"/>
          <w:szCs w:val="32"/>
        </w:rPr>
        <w:t>515.63</w:t>
      </w:r>
      <w:r>
        <w:rPr>
          <w:rFonts w:ascii="Times New Roman" w:hAnsi="Times New Roman" w:eastAsia="方正仿宋_GBK" w:cs="方正仿宋_GBK"/>
          <w:sz w:val="32"/>
          <w:szCs w:val="32"/>
          <w:shd w:val="clear" w:color="auto" w:fill="FFFFFF"/>
        </w:rPr>
        <w:t>万元，较上年决算数增加24.81万元，增长5.05%。主要原因是人员增加</w:t>
      </w:r>
      <w:r>
        <w:rPr>
          <w:rFonts w:hint="eastAsia" w:ascii="Times New Roman" w:hAnsi="Times New Roman" w:eastAsia="方正仿宋_GBK" w:cs="方正仿宋_GBK"/>
          <w:sz w:val="32"/>
          <w:szCs w:val="32"/>
          <w:shd w:val="clear" w:color="auto" w:fill="FFFFFF"/>
          <w:lang w:eastAsia="zh-CN"/>
        </w:rPr>
        <w:t>，以及</w:t>
      </w:r>
      <w:r>
        <w:rPr>
          <w:rFonts w:ascii="Times New Roman" w:hAnsi="Times New Roman" w:eastAsia="方正仿宋_GBK" w:cs="方正仿宋_GBK"/>
          <w:sz w:val="32"/>
          <w:szCs w:val="32"/>
          <w:shd w:val="clear" w:color="auto" w:fill="FFFFFF"/>
        </w:rPr>
        <w:t>工资调整、社保</w:t>
      </w:r>
      <w:r>
        <w:rPr>
          <w:rFonts w:hint="eastAsia" w:ascii="Times New Roman" w:hAnsi="Times New Roman" w:eastAsia="方正仿宋_GBK" w:cs="方正仿宋_GBK"/>
          <w:sz w:val="32"/>
          <w:szCs w:val="32"/>
          <w:shd w:val="clear" w:color="auto" w:fill="FFFFFF"/>
          <w:lang w:eastAsia="zh-CN"/>
        </w:rPr>
        <w:t>等</w:t>
      </w:r>
      <w:r>
        <w:rPr>
          <w:rFonts w:ascii="Times New Roman" w:hAnsi="Times New Roman" w:eastAsia="方正仿宋_GBK" w:cs="方正仿宋_GBK"/>
          <w:sz w:val="32"/>
          <w:szCs w:val="32"/>
          <w:shd w:val="clear" w:color="auto" w:fill="FFFFFF"/>
        </w:rPr>
        <w:t>基数调整增加</w:t>
      </w:r>
      <w:r>
        <w:rPr>
          <w:rFonts w:hint="eastAsia" w:ascii="Times New Roman" w:hAnsi="Times New Roman" w:eastAsia="方正仿宋_GBK" w:cs="方正仿宋_GBK"/>
          <w:sz w:val="32"/>
          <w:szCs w:val="32"/>
          <w:shd w:val="clear" w:color="auto" w:fill="FFFFFF"/>
          <w:lang w:eastAsia="zh-CN"/>
        </w:rPr>
        <w:t>支出</w:t>
      </w:r>
      <w:r>
        <w:rPr>
          <w:rFonts w:ascii="Times New Roman" w:hAnsi="Times New Roman" w:eastAsia="方正仿宋_GBK" w:cs="方正仿宋_GBK"/>
          <w:color w:val="000000" w:themeColor="text1"/>
          <w:sz w:val="32"/>
          <w:szCs w:val="32"/>
          <w:shd w:val="clear" w:color="auto" w:fill="FFFFFF"/>
        </w:rPr>
        <w:t>。</w:t>
      </w:r>
      <w:r>
        <w:rPr>
          <w:rFonts w:ascii="Times New Roman" w:hAnsi="Times New Roman" w:eastAsia="方正仿宋_GBK" w:cs="方正仿宋_GBK"/>
          <w:sz w:val="32"/>
          <w:szCs w:val="32"/>
          <w:shd w:val="clear" w:color="auto" w:fill="FFFFFF"/>
        </w:rPr>
        <w:t>较年初预算数增加99.48万元，增长23.90%。</w:t>
      </w:r>
      <w:r>
        <w:rPr>
          <w:rFonts w:ascii="Times New Roman" w:hAnsi="Times New Roman" w:eastAsia="方正仿宋_GBK" w:cs="方正仿宋_GBK"/>
          <w:color w:val="000000" w:themeColor="text1"/>
          <w:sz w:val="32"/>
          <w:szCs w:val="32"/>
          <w:shd w:val="clear" w:color="auto" w:fill="FFFFFF"/>
        </w:rPr>
        <w:t>主要原因是</w:t>
      </w:r>
      <w:r>
        <w:rPr>
          <w:rFonts w:hint="eastAsia" w:ascii="Times New Roman" w:hAnsi="Times New Roman" w:eastAsia="方正仿宋_GBK" w:cs="方正仿宋_GBK"/>
          <w:color w:val="000000" w:themeColor="text1"/>
          <w:sz w:val="32"/>
          <w:szCs w:val="32"/>
          <w:shd w:val="clear" w:color="auto" w:fill="FFFFFF"/>
          <w:lang w:eastAsia="zh-CN"/>
        </w:rPr>
        <w:t>人员增加和相关基数调整，以及超额绩效清算</w:t>
      </w:r>
      <w:r>
        <w:rPr>
          <w:rFonts w:ascii="Times New Roman" w:hAnsi="Times New Roman" w:eastAsia="方正仿宋_GBK" w:cs="方正仿宋_GBK"/>
          <w:color w:val="000000" w:themeColor="text1"/>
          <w:sz w:val="32"/>
          <w:szCs w:val="32"/>
          <w:shd w:val="clear" w:color="auto" w:fill="FFFFFF"/>
        </w:rPr>
        <w:t>。</w:t>
      </w:r>
    </w:p>
    <w:p w14:paraId="4DCB1240">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left="0" w:firstLine="643" w:firstLineChars="200"/>
        <w:jc w:val="both"/>
        <w:rPr>
          <w:rFonts w:hint="eastAsia" w:ascii="Times New Roman" w:hAnsi="Times New Roman" w:eastAsia="方正仿宋_GBK" w:cs="方正仿宋_GBK"/>
          <w:sz w:val="32"/>
          <w:szCs w:val="32"/>
          <w:lang w:eastAsia="zh-CN"/>
        </w:rPr>
      </w:pPr>
      <w:r>
        <w:rPr>
          <w:rStyle w:val="10"/>
          <w:rFonts w:ascii="Times New Roman" w:hAnsi="Times New Roman" w:eastAsia="方正仿宋_GBK" w:cs="方正仿宋_GBK"/>
          <w:sz w:val="32"/>
          <w:szCs w:val="32"/>
          <w:shd w:val="clear" w:color="auto" w:fill="FFFFFF"/>
        </w:rPr>
        <w:t>3.结转结余情况。</w:t>
      </w:r>
      <w:r>
        <w:rPr>
          <w:rFonts w:ascii="Times New Roman" w:hAnsi="Times New Roman" w:eastAsia="方正仿宋_GBK" w:cs="方正仿宋_GBK"/>
          <w:sz w:val="32"/>
          <w:szCs w:val="32"/>
          <w:shd w:val="clear" w:color="auto" w:fill="FFFFFF"/>
        </w:rPr>
        <w:t>2023年度年末一般公共预算财政拨款结转和结余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万元，较上年决算数无增减</w:t>
      </w:r>
      <w:r>
        <w:rPr>
          <w:rFonts w:hint="eastAsia" w:ascii="Times New Roman" w:hAnsi="Times New Roman" w:eastAsia="方正仿宋_GBK" w:cs="方正仿宋_GBK"/>
          <w:sz w:val="32"/>
          <w:szCs w:val="32"/>
          <w:shd w:val="clear" w:color="auto" w:fill="FFFFFF"/>
          <w:lang w:eastAsia="zh-CN"/>
        </w:rPr>
        <w:t>。</w:t>
      </w:r>
    </w:p>
    <w:p w14:paraId="5686A4B3">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left="0" w:firstLine="643" w:firstLineChars="200"/>
        <w:jc w:val="both"/>
        <w:rPr>
          <w:rFonts w:hint="default" w:ascii="Times New Roman" w:hAnsi="Times New Roman" w:eastAsia="方正仿宋_GBK" w:cs="方正仿宋_GBK"/>
          <w:color w:val="FF0000"/>
          <w:sz w:val="32"/>
          <w:szCs w:val="32"/>
          <w:highlight w:val="cyan"/>
          <w:shd w:val="clear" w:color="auto" w:fill="FFFFFF"/>
        </w:rPr>
      </w:pPr>
      <w:r>
        <w:rPr>
          <w:rStyle w:val="10"/>
          <w:rFonts w:ascii="Times New Roman" w:hAnsi="Times New Roman" w:eastAsia="方正仿宋_GBK" w:cs="方正仿宋_GBK"/>
          <w:sz w:val="32"/>
          <w:szCs w:val="32"/>
          <w:shd w:val="clear" w:color="auto" w:fill="FFFFFF"/>
        </w:rPr>
        <w:t>4.比较情况。</w:t>
      </w:r>
      <w:r>
        <w:rPr>
          <w:rFonts w:ascii="Times New Roman" w:hAnsi="Times New Roman" w:eastAsia="方正仿宋_GBK" w:cs="方正仿宋_GBK"/>
          <w:sz w:val="32"/>
          <w:szCs w:val="32"/>
          <w:shd w:val="clear" w:color="auto" w:fill="FFFFFF"/>
        </w:rPr>
        <w:t>本单位2023年度一般公共预算财政拨款支出主要用于以下几个方面：</w:t>
      </w:r>
    </w:p>
    <w:p w14:paraId="1AB13E60">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left="0" w:firstLine="640" w:firstLineChars="200"/>
        <w:jc w:val="both"/>
        <w:rPr>
          <w:rFonts w:hint="default" w:ascii="Times New Roman" w:hAnsi="Times New Roman" w:eastAsia="方正仿宋_GBK" w:cs="方正仿宋_GBK"/>
          <w:color w:val="000000" w:themeColor="text1"/>
          <w:sz w:val="32"/>
          <w:szCs w:val="32"/>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1</w:t>
      </w:r>
      <w:r>
        <w:rPr>
          <w:rFonts w:ascii="Times New Roman" w:hAnsi="Times New Roman" w:eastAsia="方正仿宋_GBK" w:cs="方正仿宋_GBK"/>
          <w:sz w:val="32"/>
          <w:szCs w:val="32"/>
          <w:shd w:val="clear" w:color="auto" w:fill="FFFFFF"/>
        </w:rPr>
        <w:t>）社会保障与就业支出</w:t>
      </w:r>
      <w:r>
        <w:rPr>
          <w:rFonts w:ascii="Times New Roman" w:hAnsi="Times New Roman" w:eastAsia="方正仿宋_GBK" w:cs="方正仿宋_GBK"/>
          <w:sz w:val="32"/>
          <w:szCs w:val="32"/>
        </w:rPr>
        <w:t>76.31</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14.80</w:t>
      </w:r>
      <w:r>
        <w:rPr>
          <w:rFonts w:ascii="Times New Roman" w:hAnsi="Times New Roman" w:eastAsia="方正仿宋_GBK" w:cs="方正仿宋_GBK"/>
          <w:sz w:val="32"/>
          <w:szCs w:val="32"/>
          <w:shd w:val="clear" w:color="auto" w:fill="FFFFFF"/>
        </w:rPr>
        <w:t>%，较年</w:t>
      </w:r>
      <w:r>
        <w:rPr>
          <w:rFonts w:ascii="Times New Roman" w:hAnsi="Times New Roman" w:eastAsia="方正仿宋_GBK" w:cs="方正仿宋_GBK"/>
          <w:color w:val="000000" w:themeColor="text1"/>
          <w:sz w:val="32"/>
          <w:szCs w:val="32"/>
          <w:shd w:val="clear" w:color="auto" w:fill="FFFFFF"/>
        </w:rPr>
        <w:t>初预算数增加28.97万元，增长61.20%，主要原因是</w:t>
      </w:r>
      <w:r>
        <w:rPr>
          <w:rFonts w:hint="eastAsia" w:ascii="Times New Roman" w:hAnsi="Times New Roman" w:eastAsia="方正仿宋_GBK" w:cs="方正仿宋_GBK"/>
          <w:color w:val="000000" w:themeColor="text1"/>
          <w:sz w:val="32"/>
          <w:szCs w:val="32"/>
          <w:shd w:val="clear" w:color="auto" w:fill="FFFFFF"/>
          <w:lang w:eastAsia="zh-CN"/>
        </w:rPr>
        <w:t>人员增加和社保基础调整</w:t>
      </w:r>
      <w:r>
        <w:rPr>
          <w:rFonts w:ascii="Times New Roman" w:hAnsi="Times New Roman" w:eastAsia="方正仿宋_GBK" w:cs="方正仿宋_GBK"/>
          <w:color w:val="000000" w:themeColor="text1"/>
          <w:sz w:val="32"/>
          <w:szCs w:val="32"/>
          <w:shd w:val="clear" w:color="auto" w:fill="FFFFFF"/>
        </w:rPr>
        <w:t>。</w:t>
      </w:r>
    </w:p>
    <w:p w14:paraId="2D271AD9">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left="0" w:firstLine="640" w:firstLineChars="200"/>
        <w:jc w:val="both"/>
        <w:rPr>
          <w:rFonts w:hint="default" w:ascii="Times New Roman" w:hAnsi="Times New Roman" w:eastAsia="方正仿宋_GBK" w:cs="方正仿宋_GBK"/>
          <w:color w:val="000000" w:themeColor="text1"/>
          <w:sz w:val="32"/>
          <w:szCs w:val="32"/>
        </w:rPr>
      </w:pPr>
      <w:r>
        <w:rPr>
          <w:rFonts w:ascii="Times New Roman" w:hAnsi="Times New Roman" w:eastAsia="方正仿宋_GBK" w:cs="方正仿宋_GBK"/>
          <w:color w:val="000000" w:themeColor="text1"/>
          <w:sz w:val="32"/>
          <w:szCs w:val="32"/>
          <w:shd w:val="clear" w:color="auto" w:fill="FFFFFF"/>
        </w:rPr>
        <w:t>（</w:t>
      </w:r>
      <w:r>
        <w:rPr>
          <w:rFonts w:hint="eastAsia" w:ascii="Times New Roman" w:hAnsi="Times New Roman" w:eastAsia="方正仿宋_GBK" w:cs="方正仿宋_GBK"/>
          <w:color w:val="000000" w:themeColor="text1"/>
          <w:sz w:val="32"/>
          <w:szCs w:val="32"/>
          <w:shd w:val="clear" w:color="auto" w:fill="FFFFFF"/>
          <w:lang w:val="en-US" w:eastAsia="zh-CN"/>
        </w:rPr>
        <w:t>2</w:t>
      </w:r>
      <w:r>
        <w:rPr>
          <w:rFonts w:ascii="Times New Roman" w:hAnsi="Times New Roman" w:eastAsia="方正仿宋_GBK" w:cs="方正仿宋_GBK"/>
          <w:color w:val="000000" w:themeColor="text1"/>
          <w:sz w:val="32"/>
          <w:szCs w:val="32"/>
          <w:shd w:val="clear" w:color="auto" w:fill="FFFFFF"/>
        </w:rPr>
        <w:t>）卫生健康支出</w:t>
      </w:r>
      <w:r>
        <w:rPr>
          <w:rFonts w:ascii="Times New Roman" w:hAnsi="Times New Roman" w:eastAsia="方正仿宋_GBK" w:cs="方正仿宋_GBK"/>
          <w:color w:val="000000" w:themeColor="text1"/>
          <w:sz w:val="32"/>
          <w:szCs w:val="32"/>
        </w:rPr>
        <w:t>22.83</w:t>
      </w:r>
      <w:r>
        <w:rPr>
          <w:rFonts w:ascii="Times New Roman" w:hAnsi="Times New Roman" w:eastAsia="方正仿宋_GBK" w:cs="方正仿宋_GBK"/>
          <w:color w:val="000000" w:themeColor="text1"/>
          <w:sz w:val="32"/>
          <w:szCs w:val="32"/>
          <w:shd w:val="clear" w:color="auto" w:fill="FFFFFF"/>
        </w:rPr>
        <w:t>万元，占</w:t>
      </w:r>
      <w:r>
        <w:rPr>
          <w:rFonts w:ascii="Times New Roman" w:hAnsi="Times New Roman" w:eastAsia="方正仿宋_GBK" w:cs="方正仿宋_GBK"/>
          <w:color w:val="000000" w:themeColor="text1"/>
          <w:sz w:val="32"/>
          <w:szCs w:val="32"/>
        </w:rPr>
        <w:t>4.43</w:t>
      </w:r>
      <w:r>
        <w:rPr>
          <w:rFonts w:ascii="Times New Roman" w:hAnsi="Times New Roman" w:eastAsia="方正仿宋_GBK" w:cs="方正仿宋_GBK"/>
          <w:color w:val="000000" w:themeColor="text1"/>
          <w:sz w:val="32"/>
          <w:szCs w:val="32"/>
          <w:shd w:val="clear" w:color="auto" w:fill="FFFFFF"/>
        </w:rPr>
        <w:t>%，较年初预算数增加1.21万元，增长5.60%，主要原因是</w:t>
      </w:r>
      <w:r>
        <w:rPr>
          <w:rFonts w:hint="eastAsia" w:ascii="Times New Roman" w:hAnsi="Times New Roman" w:eastAsia="方正仿宋_GBK" w:cs="方正仿宋_GBK"/>
          <w:color w:val="000000" w:themeColor="text1"/>
          <w:sz w:val="32"/>
          <w:szCs w:val="32"/>
          <w:shd w:val="clear" w:color="auto" w:fill="FFFFFF"/>
          <w:lang w:eastAsia="zh-CN"/>
        </w:rPr>
        <w:t>人员增加和医保基础调整</w:t>
      </w:r>
      <w:r>
        <w:rPr>
          <w:rFonts w:ascii="Times New Roman" w:hAnsi="Times New Roman" w:eastAsia="方正仿宋_GBK" w:cs="方正仿宋_GBK"/>
          <w:color w:val="000000" w:themeColor="text1"/>
          <w:sz w:val="32"/>
          <w:szCs w:val="32"/>
          <w:shd w:val="clear" w:color="auto" w:fill="FFFFFF"/>
        </w:rPr>
        <w:t>。</w:t>
      </w:r>
    </w:p>
    <w:p w14:paraId="5B06BB19">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left="0"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3</w:t>
      </w:r>
      <w:r>
        <w:rPr>
          <w:rFonts w:ascii="Times New Roman" w:hAnsi="Times New Roman" w:eastAsia="方正仿宋_GBK" w:cs="方正仿宋_GBK"/>
          <w:sz w:val="32"/>
          <w:szCs w:val="32"/>
          <w:shd w:val="clear" w:color="auto" w:fill="FFFFFF"/>
        </w:rPr>
        <w:t>）节能环保支出</w:t>
      </w:r>
      <w:r>
        <w:rPr>
          <w:rFonts w:ascii="Times New Roman" w:hAnsi="Times New Roman" w:eastAsia="方正仿宋_GBK" w:cs="方正仿宋_GBK"/>
          <w:sz w:val="32"/>
          <w:szCs w:val="32"/>
        </w:rPr>
        <w:t>393.59</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76.33</w:t>
      </w:r>
      <w:r>
        <w:rPr>
          <w:rFonts w:ascii="Times New Roman" w:hAnsi="Times New Roman" w:eastAsia="方正仿宋_GBK" w:cs="方正仿宋_GBK"/>
          <w:sz w:val="32"/>
          <w:szCs w:val="32"/>
          <w:shd w:val="clear" w:color="auto" w:fill="FFFFFF"/>
        </w:rPr>
        <w:t>%，较年初预算数增加67.76万元，增长20.80%，主要原因是</w:t>
      </w:r>
      <w:r>
        <w:rPr>
          <w:rFonts w:hint="eastAsia" w:ascii="Times New Roman" w:hAnsi="Times New Roman" w:eastAsia="方正仿宋_GBK" w:cs="方正仿宋_GBK"/>
          <w:color w:val="000000" w:themeColor="text1"/>
          <w:sz w:val="32"/>
          <w:szCs w:val="32"/>
          <w:shd w:val="clear" w:color="auto" w:fill="FFFFFF"/>
          <w:lang w:eastAsia="zh-CN"/>
        </w:rPr>
        <w:t>人员增加和工资、津补贴增加，以及超额绩效清算</w:t>
      </w:r>
      <w:r>
        <w:rPr>
          <w:rFonts w:ascii="Times New Roman" w:hAnsi="Times New Roman" w:eastAsia="方正仿宋_GBK" w:cs="方正仿宋_GBK"/>
          <w:color w:val="000000" w:themeColor="text1"/>
          <w:sz w:val="32"/>
          <w:szCs w:val="32"/>
          <w:shd w:val="clear" w:color="auto" w:fill="FFFFFF"/>
        </w:rPr>
        <w:t>。</w:t>
      </w:r>
    </w:p>
    <w:p w14:paraId="0B23A7FE">
      <w:pPr>
        <w:keepNext w:val="0"/>
        <w:keepLines w:val="0"/>
        <w:pageBreakBefore w:val="0"/>
        <w:widowControl/>
        <w:kinsoku/>
        <w:overflowPunct/>
        <w:topLinePunct w:val="0"/>
        <w:autoSpaceDN/>
        <w:bidi w:val="0"/>
        <w:adjustRightInd/>
        <w:spacing w:afterAutospacing="0" w:line="594" w:lineRule="exact"/>
        <w:ind w:left="0" w:firstLine="640" w:firstLineChars="200"/>
        <w:rPr>
          <w:rFonts w:hint="default" w:ascii="Times New Roman" w:hAnsi="Times New Roman" w:eastAsia="方正仿宋_GBK" w:cs="方正仿宋_GBK"/>
          <w:color w:val="000000" w:themeColor="text1"/>
          <w:sz w:val="32"/>
          <w:szCs w:val="32"/>
          <w:shd w:val="clear" w:color="auto" w:fill="FFFFFF"/>
        </w:rPr>
      </w:pPr>
      <w:r>
        <w:rPr>
          <w:rFonts w:ascii="Times New Roman" w:hAnsi="Times New Roman" w:eastAsia="方正仿宋_GBK" w:cs="方正仿宋_GBK"/>
          <w:color w:val="000000" w:themeColor="text1"/>
          <w:sz w:val="32"/>
          <w:szCs w:val="32"/>
          <w:shd w:val="clear" w:color="auto" w:fill="FFFFFF"/>
        </w:rPr>
        <w:t>（</w:t>
      </w:r>
      <w:r>
        <w:rPr>
          <w:rFonts w:hint="eastAsia" w:ascii="Times New Roman" w:hAnsi="Times New Roman" w:eastAsia="方正仿宋_GBK" w:cs="方正仿宋_GBK"/>
          <w:color w:val="000000" w:themeColor="text1"/>
          <w:sz w:val="32"/>
          <w:szCs w:val="32"/>
          <w:shd w:val="clear" w:color="auto" w:fill="FFFFFF"/>
          <w:lang w:val="en-US" w:eastAsia="zh-CN"/>
        </w:rPr>
        <w:t>4</w:t>
      </w:r>
      <w:r>
        <w:rPr>
          <w:rFonts w:ascii="Times New Roman" w:hAnsi="Times New Roman" w:eastAsia="方正仿宋_GBK" w:cs="方正仿宋_GBK"/>
          <w:color w:val="000000" w:themeColor="text1"/>
          <w:sz w:val="32"/>
          <w:szCs w:val="32"/>
          <w:shd w:val="clear" w:color="auto" w:fill="FFFFFF"/>
        </w:rPr>
        <w:t>）</w:t>
      </w:r>
      <w:r>
        <w:rPr>
          <w:rFonts w:ascii="Times New Roman" w:hAnsi="Times New Roman" w:eastAsia="方正仿宋_GBK" w:cs="方正仿宋_GBK"/>
          <w:color w:val="000000" w:themeColor="text1"/>
          <w:sz w:val="32"/>
          <w:szCs w:val="32"/>
        </w:rPr>
        <w:t>住房保障支出22.91</w:t>
      </w:r>
      <w:r>
        <w:rPr>
          <w:rFonts w:ascii="Times New Roman" w:hAnsi="Times New Roman" w:eastAsia="方正仿宋_GBK" w:cs="方正仿宋_GBK"/>
          <w:color w:val="000000" w:themeColor="text1"/>
          <w:sz w:val="32"/>
          <w:szCs w:val="32"/>
          <w:shd w:val="clear" w:color="auto" w:fill="FFFFFF"/>
        </w:rPr>
        <w:t>万元，占</w:t>
      </w:r>
      <w:r>
        <w:rPr>
          <w:rFonts w:ascii="Times New Roman" w:hAnsi="Times New Roman" w:eastAsia="方正仿宋_GBK" w:cs="方正仿宋_GBK"/>
          <w:color w:val="000000" w:themeColor="text1"/>
          <w:sz w:val="32"/>
          <w:szCs w:val="32"/>
        </w:rPr>
        <w:t>4.44</w:t>
      </w:r>
      <w:r>
        <w:rPr>
          <w:rFonts w:ascii="Times New Roman" w:hAnsi="Times New Roman" w:eastAsia="方正仿宋_GBK" w:cs="方正仿宋_GBK"/>
          <w:color w:val="000000" w:themeColor="text1"/>
          <w:sz w:val="32"/>
          <w:szCs w:val="32"/>
          <w:shd w:val="clear" w:color="auto" w:fill="FFFFFF"/>
        </w:rPr>
        <w:t>%，较年初预算数增加1.54万元，增长7.21%，主要原因是</w:t>
      </w:r>
      <w:r>
        <w:rPr>
          <w:rFonts w:hint="eastAsia" w:ascii="Times New Roman" w:hAnsi="Times New Roman" w:eastAsia="方正仿宋_GBK" w:cs="方正仿宋_GBK"/>
          <w:color w:val="000000" w:themeColor="text1"/>
          <w:sz w:val="32"/>
          <w:szCs w:val="32"/>
          <w:shd w:val="clear" w:color="auto" w:fill="FFFFFF"/>
          <w:lang w:eastAsia="zh-CN"/>
        </w:rPr>
        <w:t>人员增加和公积金基数调整</w:t>
      </w:r>
      <w:r>
        <w:rPr>
          <w:rFonts w:ascii="Times New Roman" w:hAnsi="Times New Roman" w:eastAsia="方正仿宋_GBK" w:cs="方正仿宋_GBK"/>
          <w:color w:val="000000" w:themeColor="text1"/>
          <w:sz w:val="32"/>
          <w:szCs w:val="32"/>
          <w:shd w:val="clear" w:color="auto" w:fill="FFFFFF"/>
        </w:rPr>
        <w:t>。</w:t>
      </w:r>
    </w:p>
    <w:p w14:paraId="0E046C9C">
      <w:pPr>
        <w:keepNext w:val="0"/>
        <w:keepLines w:val="0"/>
        <w:pageBreakBefore w:val="0"/>
        <w:widowControl/>
        <w:kinsoku/>
        <w:overflowPunct/>
        <w:topLinePunct w:val="0"/>
        <w:autoSpaceDN/>
        <w:bidi w:val="0"/>
        <w:adjustRightInd/>
        <w:spacing w:afterAutospacing="0" w:line="594" w:lineRule="exact"/>
        <w:ind w:left="0" w:firstLine="640" w:firstLineChars="200"/>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（四）一般公共预算财政拨款基本支出决算情况说明</w:t>
      </w:r>
    </w:p>
    <w:p w14:paraId="501FA902">
      <w:pPr>
        <w:pStyle w:val="6"/>
        <w:keepNext w:val="0"/>
        <w:keepLines w:val="0"/>
        <w:pageBreakBefore w:val="0"/>
        <w:widowControl/>
        <w:kinsoku/>
        <w:overflowPunct/>
        <w:topLinePunct w:val="0"/>
        <w:autoSpaceDN/>
        <w:bidi w:val="0"/>
        <w:adjustRightInd/>
        <w:spacing w:before="0" w:beforeAutospacing="0" w:after="0" w:afterAutospacing="0" w:line="594" w:lineRule="exact"/>
        <w:ind w:left="0"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2023年度一般公共财政拨款基本支出</w:t>
      </w:r>
      <w:r>
        <w:rPr>
          <w:rFonts w:ascii="Times New Roman" w:hAnsi="Times New Roman" w:eastAsia="方正仿宋_GBK" w:cs="方正仿宋_GBK"/>
          <w:sz w:val="32"/>
          <w:szCs w:val="32"/>
        </w:rPr>
        <w:t>515.63</w:t>
      </w:r>
      <w:r>
        <w:rPr>
          <w:rFonts w:ascii="Times New Roman" w:hAnsi="Times New Roman" w:eastAsia="方正仿宋_GBK" w:cs="方正仿宋_GBK"/>
          <w:sz w:val="32"/>
          <w:szCs w:val="32"/>
          <w:shd w:val="clear" w:color="auto" w:fill="FFFFFF"/>
        </w:rPr>
        <w:t>万元。其中：人员经费</w:t>
      </w:r>
      <w:r>
        <w:rPr>
          <w:rFonts w:ascii="Times New Roman" w:hAnsi="Times New Roman" w:eastAsia="方正仿宋_GBK" w:cs="方正仿宋_GBK"/>
          <w:sz w:val="32"/>
          <w:szCs w:val="32"/>
        </w:rPr>
        <w:t>443.08</w:t>
      </w:r>
      <w:r>
        <w:rPr>
          <w:rFonts w:ascii="Times New Roman" w:hAnsi="Times New Roman" w:eastAsia="方正仿宋_GBK" w:cs="方正仿宋_GBK"/>
          <w:sz w:val="32"/>
          <w:szCs w:val="32"/>
          <w:shd w:val="clear" w:color="auto" w:fill="FFFFFF"/>
        </w:rPr>
        <w:t>万元，较上年决算数增加95.62万元，增长27.52%，主要原因是</w:t>
      </w:r>
      <w:r>
        <w:rPr>
          <w:rFonts w:hint="eastAsia" w:ascii="Times New Roman" w:hAnsi="Times New Roman" w:eastAsia="方正仿宋_GBK" w:cs="方正仿宋_GBK"/>
          <w:color w:val="000000" w:themeColor="text1"/>
          <w:sz w:val="32"/>
          <w:szCs w:val="32"/>
          <w:shd w:val="clear" w:color="auto" w:fill="FFFFFF"/>
          <w:lang w:eastAsia="zh-CN"/>
        </w:rPr>
        <w:t>人员增加和相关基数调整，以及超额绩效清算</w:t>
      </w:r>
      <w:r>
        <w:rPr>
          <w:rFonts w:ascii="Times New Roman" w:hAnsi="Times New Roman" w:eastAsia="方正仿宋_GBK" w:cs="方正仿宋_GBK"/>
          <w:color w:val="000000" w:themeColor="text1"/>
          <w:sz w:val="32"/>
          <w:szCs w:val="32"/>
          <w:shd w:val="clear" w:color="auto" w:fill="FFFFFF"/>
        </w:rPr>
        <w:t>。</w:t>
      </w:r>
      <w:r>
        <w:rPr>
          <w:rFonts w:ascii="Times New Roman" w:hAnsi="Times New Roman" w:eastAsia="方正仿宋_GBK" w:cs="Times New Roman"/>
          <w:sz w:val="32"/>
          <w:szCs w:val="32"/>
        </w:rPr>
        <w:t>人员经费用途主要包括基本工资、津贴补贴、绩效工资、奖金、伙食补助费、机关事业单位基本养老保险费、职业年金缴费、职工基本医疗保险缴费，住房公积金等。</w:t>
      </w:r>
      <w:r>
        <w:rPr>
          <w:rFonts w:ascii="Times New Roman" w:hAnsi="Times New Roman" w:eastAsia="方正仿宋_GBK" w:cs="方正仿宋_GBK"/>
          <w:sz w:val="32"/>
          <w:szCs w:val="32"/>
          <w:shd w:val="clear" w:color="auto" w:fill="FFFFFF"/>
        </w:rPr>
        <w:t>公用经费</w:t>
      </w:r>
      <w:r>
        <w:rPr>
          <w:rFonts w:ascii="Times New Roman" w:hAnsi="Times New Roman" w:eastAsia="方正仿宋_GBK" w:cs="方正仿宋_GBK"/>
          <w:sz w:val="32"/>
          <w:szCs w:val="32"/>
        </w:rPr>
        <w:t>72.56</w:t>
      </w:r>
      <w:r>
        <w:rPr>
          <w:rFonts w:ascii="Times New Roman" w:hAnsi="Times New Roman" w:eastAsia="方正仿宋_GBK" w:cs="方正仿宋_GBK"/>
          <w:sz w:val="32"/>
          <w:szCs w:val="32"/>
          <w:shd w:val="clear" w:color="auto" w:fill="FFFFFF"/>
        </w:rPr>
        <w:t>万元，较上年决算数增加61.53万元，增长557.84%，主要原因是</w:t>
      </w:r>
      <w:r>
        <w:rPr>
          <w:rFonts w:hint="eastAsia" w:ascii="Times New Roman" w:hAnsi="Times New Roman" w:eastAsia="方正仿宋_GBK" w:cs="方正仿宋_GBK"/>
          <w:color w:val="000000" w:themeColor="text1"/>
          <w:sz w:val="32"/>
          <w:szCs w:val="32"/>
          <w:shd w:val="clear" w:color="auto" w:fill="FFFFFF"/>
          <w:lang w:eastAsia="zh-CN"/>
        </w:rPr>
        <w:t>人员增加和相关基数调整，以及超额绩效清算</w:t>
      </w:r>
      <w:r>
        <w:rPr>
          <w:rFonts w:ascii="Times New Roman" w:hAnsi="Times New Roman" w:eastAsia="方正仿宋_GBK" w:cs="方正仿宋_GBK"/>
          <w:color w:val="000000" w:themeColor="text1"/>
          <w:sz w:val="32"/>
          <w:szCs w:val="32"/>
          <w:shd w:val="clear" w:color="auto" w:fill="FFFFFF"/>
        </w:rPr>
        <w:t>。</w:t>
      </w:r>
      <w:r>
        <w:rPr>
          <w:rFonts w:ascii="Times New Roman" w:hAnsi="Times New Roman" w:eastAsia="方正仿宋_GBK" w:cs="Times New Roman"/>
          <w:sz w:val="32"/>
          <w:szCs w:val="32"/>
        </w:rPr>
        <w:t>公用经费用途主要包括开支办公费、水费、电费、工会经费等费用。</w:t>
      </w:r>
    </w:p>
    <w:p w14:paraId="4D13D5B8">
      <w:pPr>
        <w:pStyle w:val="11"/>
        <w:keepNext w:val="0"/>
        <w:keepLines w:val="0"/>
        <w:pageBreakBefore w:val="0"/>
        <w:widowControl/>
        <w:kinsoku/>
        <w:overflowPunct/>
        <w:topLinePunct w:val="0"/>
        <w:autoSpaceDE w:val="0"/>
        <w:autoSpaceDN/>
        <w:bidi w:val="0"/>
        <w:adjustRightInd/>
        <w:spacing w:afterAutospacing="0" w:line="594" w:lineRule="exact"/>
        <w:ind w:left="0" w:firstLine="643"/>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（五）政府性基金预算收支决算情况说明</w:t>
      </w:r>
    </w:p>
    <w:p w14:paraId="6E113BD4">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left="0"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本单位2023年度无政府性基金预算财政拨款收支。</w:t>
      </w:r>
    </w:p>
    <w:p w14:paraId="61840D8D">
      <w:pPr>
        <w:pStyle w:val="11"/>
        <w:keepNext w:val="0"/>
        <w:keepLines w:val="0"/>
        <w:pageBreakBefore w:val="0"/>
        <w:widowControl/>
        <w:kinsoku/>
        <w:overflowPunct/>
        <w:topLinePunct w:val="0"/>
        <w:autoSpaceDE w:val="0"/>
        <w:autoSpaceDN/>
        <w:bidi w:val="0"/>
        <w:adjustRightInd/>
        <w:spacing w:afterAutospacing="0" w:line="594" w:lineRule="exact"/>
        <w:ind w:left="0" w:firstLine="643"/>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（六）国有资本经营预算财政拨款支出决算情况说明</w:t>
      </w:r>
    </w:p>
    <w:p w14:paraId="331BDA1A">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left="0"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本单位2023年度无国有资本经营预算财政拨款支出。</w:t>
      </w:r>
    </w:p>
    <w:p w14:paraId="767209FA">
      <w:pPr>
        <w:keepNext w:val="0"/>
        <w:keepLines w:val="0"/>
        <w:pageBreakBefore w:val="0"/>
        <w:widowControl/>
        <w:kinsoku/>
        <w:overflowPunct/>
        <w:topLinePunct w:val="0"/>
        <w:autoSpaceDN/>
        <w:bidi w:val="0"/>
        <w:adjustRightInd/>
        <w:spacing w:afterAutospacing="0" w:line="594" w:lineRule="exact"/>
        <w:ind w:left="0" w:firstLine="640" w:firstLineChars="20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三、“三公”经费情况说明</w:t>
      </w:r>
    </w:p>
    <w:p w14:paraId="4F3D60D8">
      <w:pPr>
        <w:keepNext w:val="0"/>
        <w:keepLines w:val="0"/>
        <w:pageBreakBefore w:val="0"/>
        <w:widowControl/>
        <w:kinsoku/>
        <w:overflowPunct/>
        <w:topLinePunct w:val="0"/>
        <w:autoSpaceDN/>
        <w:bidi w:val="0"/>
        <w:adjustRightInd/>
        <w:spacing w:afterAutospacing="0" w:line="594" w:lineRule="exact"/>
        <w:ind w:left="0"/>
        <w:rPr>
          <w:rFonts w:ascii="Times New Roman" w:hAnsi="Times New Roman"/>
          <w:sz w:val="32"/>
          <w:szCs w:val="32"/>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eastAsia="方正楷体_GBK" w:cs="方正楷体_GBK"/>
          <w:sz w:val="32"/>
          <w:szCs w:val="32"/>
        </w:rPr>
        <w:t>（一）“三公”经费支出总体情况说明</w:t>
      </w:r>
    </w:p>
    <w:p w14:paraId="0E26F798">
      <w:pPr>
        <w:keepNext w:val="0"/>
        <w:keepLines w:val="0"/>
        <w:pageBreakBefore w:val="0"/>
        <w:widowControl/>
        <w:kinsoku/>
        <w:overflowPunct/>
        <w:topLinePunct w:val="0"/>
        <w:autoSpaceDN/>
        <w:bidi w:val="0"/>
        <w:adjustRightInd/>
        <w:spacing w:afterAutospacing="0" w:line="594" w:lineRule="exact"/>
        <w:ind w:left="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2023年度“三公”经费支出共计2.00万元，较年初预算数减少1.50万元，下降42.86%，主要原因是按照决算列报口径</w:t>
      </w:r>
      <w:r>
        <w:rPr>
          <w:rFonts w:hint="default" w:ascii="Times New Roman" w:hAnsi="Times New Roman" w:eastAsia="方正仿宋_GBK" w:cs="Times New Roman"/>
          <w:sz w:val="32"/>
          <w:szCs w:val="32"/>
          <w:lang w:eastAsia="zh-CN"/>
        </w:rPr>
        <w:t>，监测站公务车运行维护费在本级核算</w:t>
      </w:r>
      <w:r>
        <w:rPr>
          <w:rFonts w:hint="default" w:ascii="Times New Roman" w:hAnsi="Times New Roman" w:eastAsia="方正仿宋_GBK" w:cs="Times New Roman"/>
          <w:sz w:val="32"/>
          <w:szCs w:val="32"/>
        </w:rPr>
        <w:t>。较上年支出数增加2.00万元，增长100.00%，主要原因是按照决算列报口径</w:t>
      </w:r>
      <w:r>
        <w:rPr>
          <w:rFonts w:hint="default" w:ascii="Times New Roman" w:hAnsi="Times New Roman" w:eastAsia="方正仿宋_GBK" w:cs="Times New Roman"/>
          <w:sz w:val="32"/>
          <w:szCs w:val="32"/>
          <w:lang w:eastAsia="zh-CN"/>
        </w:rPr>
        <w:t>，公务接待费在本单位核算，上年度在三公经费均在本级核算</w:t>
      </w:r>
      <w:r>
        <w:rPr>
          <w:rFonts w:hint="default" w:ascii="Times New Roman" w:hAnsi="Times New Roman" w:eastAsia="方正仿宋_GBK" w:cs="Times New Roman"/>
          <w:sz w:val="32"/>
          <w:szCs w:val="32"/>
        </w:rPr>
        <w:t>。</w:t>
      </w:r>
    </w:p>
    <w:p w14:paraId="3DD4AF2C">
      <w:pPr>
        <w:keepNext w:val="0"/>
        <w:keepLines w:val="0"/>
        <w:pageBreakBefore w:val="0"/>
        <w:widowControl/>
        <w:kinsoku/>
        <w:overflowPunct/>
        <w:topLinePunct w:val="0"/>
        <w:autoSpaceDN/>
        <w:bidi w:val="0"/>
        <w:adjustRightInd/>
        <w:spacing w:afterAutospacing="0" w:line="594" w:lineRule="exact"/>
        <w:ind w:left="0" w:firstLine="640" w:firstLineChars="200"/>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（二）“三公”经费分项支出情况</w:t>
      </w:r>
    </w:p>
    <w:p w14:paraId="4D12A922">
      <w:pPr>
        <w:keepNext w:val="0"/>
        <w:keepLines w:val="0"/>
        <w:pageBreakBefore w:val="0"/>
        <w:widowControl/>
        <w:kinsoku/>
        <w:overflowPunct/>
        <w:topLinePunct w:val="0"/>
        <w:autoSpaceDN/>
        <w:bidi w:val="0"/>
        <w:adjustRightInd/>
        <w:spacing w:afterAutospacing="0" w:line="594" w:lineRule="exact"/>
        <w:ind w:left="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2023年度本单位</w:t>
      </w:r>
      <w:r>
        <w:rPr>
          <w:rFonts w:hint="default" w:ascii="Times New Roman" w:hAnsi="Times New Roman" w:eastAsia="方正仿宋_GBK" w:cs="Times New Roman"/>
          <w:sz w:val="32"/>
          <w:szCs w:val="32"/>
          <w:lang w:eastAsia="zh-CN"/>
        </w:rPr>
        <w:t>无</w:t>
      </w:r>
      <w:r>
        <w:rPr>
          <w:rFonts w:hint="default" w:ascii="Times New Roman" w:hAnsi="Times New Roman" w:eastAsia="方正仿宋_GBK" w:cs="Times New Roman"/>
          <w:sz w:val="32"/>
          <w:szCs w:val="32"/>
        </w:rPr>
        <w:t>因公出国（境）费用</w:t>
      </w:r>
      <w:r>
        <w:rPr>
          <w:rFonts w:hint="default" w:ascii="Times New Roman" w:hAnsi="Times New Roman" w:eastAsia="方正仿宋_GBK" w:cs="Times New Roman"/>
          <w:sz w:val="32"/>
          <w:szCs w:val="32"/>
          <w:lang w:eastAsia="zh-CN"/>
        </w:rPr>
        <w:t>支出和</w:t>
      </w:r>
      <w:r>
        <w:rPr>
          <w:rFonts w:hint="default" w:ascii="Times New Roman" w:hAnsi="Times New Roman" w:eastAsia="方正仿宋_GBK" w:cs="Times New Roman"/>
          <w:sz w:val="32"/>
          <w:szCs w:val="32"/>
        </w:rPr>
        <w:t>公务车购置费</w:t>
      </w:r>
      <w:r>
        <w:rPr>
          <w:rFonts w:hint="default" w:ascii="Times New Roman" w:hAnsi="Times New Roman" w:eastAsia="方正仿宋_GBK" w:cs="Times New Roman"/>
          <w:sz w:val="32"/>
          <w:szCs w:val="32"/>
          <w:lang w:eastAsia="zh-CN"/>
        </w:rPr>
        <w:t>支出，</w:t>
      </w:r>
      <w:r>
        <w:rPr>
          <w:rFonts w:hint="default" w:ascii="Times New Roman" w:hAnsi="Times New Roman" w:eastAsia="方正仿宋_GBK" w:cs="Times New Roman"/>
          <w:sz w:val="32"/>
          <w:szCs w:val="32"/>
        </w:rPr>
        <w:t>费用支出较年初预算数无增减，较上年支出数无增减。</w:t>
      </w:r>
    </w:p>
    <w:p w14:paraId="14959B67">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left="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万元，费用支出较年初预算数减少1.50万元，下降100.00%，主要原因是</w:t>
      </w:r>
      <w:r>
        <w:rPr>
          <w:rFonts w:hint="default" w:ascii="Times New Roman" w:hAnsi="Times New Roman" w:eastAsia="方正仿宋_GBK" w:cs="Times New Roman"/>
          <w:sz w:val="32"/>
          <w:szCs w:val="32"/>
        </w:rPr>
        <w:t>按照决算列报口径</w:t>
      </w:r>
      <w:r>
        <w:rPr>
          <w:rFonts w:hint="default" w:ascii="Times New Roman" w:hAnsi="Times New Roman" w:eastAsia="方正仿宋_GBK" w:cs="Times New Roman"/>
          <w:sz w:val="32"/>
          <w:szCs w:val="32"/>
          <w:lang w:eastAsia="zh-CN"/>
        </w:rPr>
        <w:t>在本级核算</w:t>
      </w:r>
      <w:r>
        <w:rPr>
          <w:rFonts w:hint="default" w:ascii="Times New Roman" w:hAnsi="Times New Roman" w:eastAsia="方正仿宋_GBK" w:cs="Times New Roman"/>
          <w:sz w:val="32"/>
          <w:szCs w:val="32"/>
          <w:shd w:val="clear" w:color="auto" w:fill="FFFFFF"/>
        </w:rPr>
        <w:t>。较上年支出数无增减。</w:t>
      </w:r>
    </w:p>
    <w:p w14:paraId="68E9FF7F">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left="0"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公务接待费</w:t>
      </w:r>
      <w:r>
        <w:rPr>
          <w:rFonts w:ascii="Times New Roman" w:hAnsi="Times New Roman" w:eastAsia="方正仿宋_GBK" w:cs="方正仿宋_GBK"/>
          <w:sz w:val="32"/>
          <w:szCs w:val="32"/>
        </w:rPr>
        <w:t>2.00</w:t>
      </w:r>
      <w:r>
        <w:rPr>
          <w:rFonts w:ascii="Times New Roman" w:hAnsi="Times New Roman" w:eastAsia="方正仿宋_GBK" w:cs="方正仿宋_GBK"/>
          <w:sz w:val="32"/>
          <w:szCs w:val="32"/>
          <w:shd w:val="clear" w:color="auto" w:fill="FFFFFF"/>
        </w:rPr>
        <w:t>万元，主要用于接待</w:t>
      </w:r>
      <w:r>
        <w:rPr>
          <w:rFonts w:ascii="Times New Roman" w:hAnsi="Times New Roman" w:eastAsia="方正仿宋_GBK" w:cs="Times New Roman"/>
          <w:color w:val="333333"/>
          <w:sz w:val="32"/>
          <w:szCs w:val="32"/>
          <w:shd w:val="clear" w:color="auto" w:fill="FFFFFF"/>
        </w:rPr>
        <w:t>上级</w:t>
      </w:r>
      <w:r>
        <w:rPr>
          <w:rFonts w:hint="eastAsia" w:ascii="Times New Roman" w:hAnsi="Times New Roman" w:eastAsia="方正仿宋_GBK" w:cs="Times New Roman"/>
          <w:color w:val="333333"/>
          <w:sz w:val="32"/>
          <w:szCs w:val="32"/>
          <w:shd w:val="clear" w:color="auto" w:fill="FFFFFF"/>
          <w:lang w:eastAsia="zh-CN"/>
        </w:rPr>
        <w:t>监测</w:t>
      </w:r>
      <w:r>
        <w:rPr>
          <w:rFonts w:ascii="Times New Roman" w:hAnsi="Times New Roman" w:eastAsia="方正仿宋_GBK" w:cs="Times New Roman"/>
          <w:color w:val="333333"/>
          <w:sz w:val="32"/>
          <w:szCs w:val="32"/>
          <w:shd w:val="clear" w:color="auto" w:fill="FFFFFF"/>
        </w:rPr>
        <w:t>等工作发生的接待支出费</w:t>
      </w:r>
      <w:r>
        <w:rPr>
          <w:rFonts w:ascii="Times New Roman" w:hAnsi="Times New Roman" w:eastAsia="方正仿宋_GBK" w:cs="Times New Roman"/>
          <w:color w:val="000000" w:themeColor="text1"/>
          <w:sz w:val="32"/>
          <w:szCs w:val="32"/>
          <w:shd w:val="clear" w:color="auto" w:fill="FFFFFF"/>
        </w:rPr>
        <w:t>用</w:t>
      </w:r>
      <w:r>
        <w:rPr>
          <w:rFonts w:ascii="Times New Roman" w:hAnsi="Times New Roman" w:eastAsia="方正仿宋_GBK" w:cs="方正仿宋_GBK"/>
          <w:color w:val="000000" w:themeColor="text1"/>
          <w:sz w:val="32"/>
          <w:szCs w:val="32"/>
          <w:shd w:val="clear" w:color="auto" w:fill="FFFFFF"/>
        </w:rPr>
        <w:t>。费用</w:t>
      </w:r>
      <w:r>
        <w:rPr>
          <w:rFonts w:ascii="Times New Roman" w:hAnsi="Times New Roman" w:eastAsia="方正仿宋_GBK" w:cs="方正仿宋_GBK"/>
          <w:sz w:val="32"/>
          <w:szCs w:val="32"/>
          <w:shd w:val="clear" w:color="auto" w:fill="FFFFFF"/>
        </w:rPr>
        <w:t>支出较年初预算数无增减</w:t>
      </w:r>
      <w:r>
        <w:rPr>
          <w:rFonts w:hint="eastAsia" w:ascii="Times New Roman" w:hAnsi="Times New Roman" w:eastAsia="方正仿宋_GBK" w:cs="方正仿宋_GBK"/>
          <w:color w:val="000000" w:themeColor="text1"/>
          <w:sz w:val="32"/>
          <w:szCs w:val="32"/>
          <w:shd w:val="clear" w:color="auto" w:fill="FFFFFF"/>
          <w:lang w:eastAsia="zh-CN"/>
        </w:rPr>
        <w:t>，</w:t>
      </w:r>
      <w:r>
        <w:rPr>
          <w:rFonts w:ascii="Times New Roman" w:hAnsi="Times New Roman" w:eastAsia="方正仿宋_GBK" w:cs="方正仿宋_GBK"/>
          <w:sz w:val="32"/>
          <w:szCs w:val="32"/>
          <w:shd w:val="clear" w:color="auto" w:fill="FFFFFF"/>
        </w:rPr>
        <w:t>较上年支出数增加2.00万元，增长100.00%，主要原因是</w:t>
      </w:r>
      <w:r>
        <w:rPr>
          <w:rFonts w:hint="eastAsia" w:ascii="Times New Roman" w:hAnsi="Times New Roman" w:eastAsia="方正仿宋_GBK" w:cs="方正仿宋_GBK"/>
          <w:sz w:val="32"/>
          <w:szCs w:val="32"/>
          <w:shd w:val="clear" w:color="auto" w:fill="FFFFFF"/>
          <w:lang w:eastAsia="zh-CN"/>
        </w:rPr>
        <w:t>上年度在三公经费均在本级核算</w:t>
      </w:r>
      <w:r>
        <w:rPr>
          <w:rFonts w:ascii="Times New Roman" w:hAnsi="Times New Roman" w:eastAsia="方正仿宋_GBK" w:cs="方正仿宋_GBK"/>
          <w:sz w:val="32"/>
          <w:szCs w:val="32"/>
          <w:shd w:val="clear" w:color="auto" w:fill="FFFFFF"/>
        </w:rPr>
        <w:t>。</w:t>
      </w:r>
    </w:p>
    <w:p w14:paraId="770B0DB2">
      <w:pPr>
        <w:pStyle w:val="11"/>
        <w:keepNext w:val="0"/>
        <w:keepLines w:val="0"/>
        <w:pageBreakBefore w:val="0"/>
        <w:widowControl/>
        <w:kinsoku/>
        <w:overflowPunct/>
        <w:topLinePunct w:val="0"/>
        <w:autoSpaceDE w:val="0"/>
        <w:autoSpaceDN/>
        <w:bidi w:val="0"/>
        <w:adjustRightInd/>
        <w:spacing w:afterAutospacing="0" w:line="594" w:lineRule="exact"/>
        <w:ind w:left="0" w:firstLine="643"/>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（三）“三公”经费实物量情况</w:t>
      </w:r>
    </w:p>
    <w:p w14:paraId="0B370E0D">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left="0"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2023年度本单位因公出国（境）共计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个团组，</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人；公务用车购置</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辆，公务车保有量为</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辆；国内公务接待</w:t>
      </w:r>
      <w:r>
        <w:rPr>
          <w:rFonts w:ascii="Times New Roman" w:hAnsi="Times New Roman" w:eastAsia="方正仿宋_GBK" w:cs="方正仿宋_GBK"/>
          <w:sz w:val="32"/>
          <w:szCs w:val="32"/>
        </w:rPr>
        <w:t>60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230</w:t>
      </w:r>
      <w:r>
        <w:rPr>
          <w:rFonts w:ascii="Times New Roman" w:hAnsi="Times New Roman" w:eastAsia="方正仿宋_GBK" w:cs="方正仿宋_GBK"/>
          <w:sz w:val="32"/>
          <w:szCs w:val="32"/>
          <w:shd w:val="clear" w:color="auto" w:fill="FFFFFF"/>
        </w:rPr>
        <w:t>人，其中：国内外事接待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人；国（境）外公务接待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人。2023年本单位人均接待费</w:t>
      </w:r>
      <w:r>
        <w:rPr>
          <w:rFonts w:ascii="Times New Roman" w:hAnsi="Times New Roman" w:eastAsia="方正仿宋_GBK" w:cs="方正仿宋_GBK"/>
          <w:sz w:val="32"/>
          <w:szCs w:val="32"/>
        </w:rPr>
        <w:t>86.96</w:t>
      </w:r>
      <w:r>
        <w:rPr>
          <w:rFonts w:ascii="Times New Roman" w:hAnsi="Times New Roman" w:eastAsia="方正仿宋_GBK" w:cs="方正仿宋_GBK"/>
          <w:sz w:val="32"/>
          <w:szCs w:val="32"/>
          <w:shd w:val="clear" w:color="auto" w:fill="FFFFFF"/>
        </w:rPr>
        <w:t>元，车均购置费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万元，车均维护费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w:t>
      </w:r>
    </w:p>
    <w:p w14:paraId="69DA54E0">
      <w:pPr>
        <w:keepNext w:val="0"/>
        <w:keepLines w:val="0"/>
        <w:pageBreakBefore w:val="0"/>
        <w:widowControl/>
        <w:kinsoku/>
        <w:overflowPunct/>
        <w:topLinePunct w:val="0"/>
        <w:autoSpaceDN/>
        <w:bidi w:val="0"/>
        <w:adjustRightInd/>
        <w:spacing w:afterAutospacing="0" w:line="594" w:lineRule="exact"/>
        <w:ind w:left="0" w:firstLine="640" w:firstLineChars="20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四、其他需要说明的事项</w:t>
      </w:r>
    </w:p>
    <w:p w14:paraId="61BFED80">
      <w:pPr>
        <w:keepNext w:val="0"/>
        <w:keepLines w:val="0"/>
        <w:pageBreakBefore w:val="0"/>
        <w:widowControl/>
        <w:kinsoku/>
        <w:overflowPunct/>
        <w:topLinePunct w:val="0"/>
        <w:autoSpaceDN/>
        <w:bidi w:val="0"/>
        <w:adjustRightInd/>
        <w:spacing w:afterAutospacing="0" w:line="594" w:lineRule="exact"/>
        <w:ind w:left="0" w:firstLine="320" w:firstLineChars="100"/>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  （一）财政拨款会议费和培训费情况说明</w:t>
      </w:r>
    </w:p>
    <w:p w14:paraId="06BFC5C9">
      <w:pPr>
        <w:keepNext w:val="0"/>
        <w:keepLines w:val="0"/>
        <w:pageBreakBefore w:val="0"/>
        <w:widowControl/>
        <w:kinsoku/>
        <w:overflowPunct/>
        <w:topLinePunct w:val="0"/>
        <w:autoSpaceDN/>
        <w:bidi w:val="0"/>
        <w:adjustRightInd/>
        <w:spacing w:afterAutospacing="0" w:line="594" w:lineRule="exact"/>
        <w:ind w:left="0"/>
        <w:rPr>
          <w:rFonts w:hint="default" w:ascii="Times New Roman" w:hAnsi="Times New Roman" w:eastAsia="方正仿宋_GBK" w:cs="Times New Roman"/>
          <w:sz w:val="32"/>
          <w:szCs w:val="32"/>
        </w:rPr>
      </w:pPr>
      <w:r>
        <w:rPr>
          <w:rFonts w:ascii="Times New Roman" w:hAnsi="Times New Roman"/>
          <w:sz w:val="32"/>
          <w:szCs w:val="32"/>
        </w:rPr>
        <w:t> </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本年度会议费支出4.00万元，较上年决算数增加4.00万元，增长100.00%，主要原因是</w:t>
      </w:r>
      <w:r>
        <w:rPr>
          <w:rFonts w:hint="default" w:ascii="Times New Roman" w:hAnsi="Times New Roman" w:eastAsia="方正仿宋_GBK" w:cs="Times New Roman"/>
          <w:sz w:val="32"/>
          <w:szCs w:val="32"/>
          <w:lang w:eastAsia="zh-CN"/>
        </w:rPr>
        <w:t>召开</w:t>
      </w:r>
      <w:r>
        <w:rPr>
          <w:rFonts w:hint="default" w:ascii="Times New Roman" w:hAnsi="Times New Roman" w:eastAsia="方正仿宋_GBK" w:cs="Times New Roman"/>
          <w:sz w:val="32"/>
          <w:szCs w:val="32"/>
        </w:rPr>
        <w:t>了监测</w:t>
      </w:r>
      <w:r>
        <w:rPr>
          <w:rFonts w:hint="default" w:ascii="Times New Roman" w:hAnsi="Times New Roman" w:eastAsia="方正仿宋_GBK" w:cs="Times New Roman"/>
          <w:sz w:val="32"/>
          <w:szCs w:val="32"/>
          <w:lang w:val="en-US" w:eastAsia="zh-CN"/>
        </w:rPr>
        <w:t>工作</w:t>
      </w:r>
      <w:r>
        <w:rPr>
          <w:rFonts w:hint="default" w:ascii="Times New Roman" w:hAnsi="Times New Roman" w:eastAsia="方正仿宋_GBK" w:cs="Times New Roman"/>
          <w:sz w:val="32"/>
          <w:szCs w:val="32"/>
        </w:rPr>
        <w:t>会议，且上年度会议费支出在本级决算。本年度</w:t>
      </w:r>
      <w:r>
        <w:rPr>
          <w:rFonts w:hint="default" w:ascii="Times New Roman" w:hAnsi="Times New Roman" w:eastAsia="方正仿宋_GBK" w:cs="Times New Roman"/>
          <w:sz w:val="32"/>
          <w:szCs w:val="32"/>
          <w:lang w:eastAsia="zh-CN"/>
        </w:rPr>
        <w:t>培训</w:t>
      </w:r>
      <w:r>
        <w:rPr>
          <w:rFonts w:hint="default" w:ascii="Times New Roman" w:hAnsi="Times New Roman" w:eastAsia="方正仿宋_GBK" w:cs="Times New Roman"/>
          <w:sz w:val="32"/>
          <w:szCs w:val="32"/>
        </w:rPr>
        <w:t>费支出1.00万元，较上年决算数增加1.00万元，增长100.00%，主要原因是</w:t>
      </w:r>
      <w:r>
        <w:rPr>
          <w:rFonts w:hint="default" w:ascii="Times New Roman" w:hAnsi="Times New Roman" w:eastAsia="方正仿宋_GBK" w:cs="Times New Roman"/>
          <w:sz w:val="32"/>
          <w:szCs w:val="32"/>
          <w:lang w:eastAsia="zh-CN"/>
        </w:rPr>
        <w:t>召开</w:t>
      </w:r>
      <w:r>
        <w:rPr>
          <w:rFonts w:hint="default" w:ascii="Times New Roman" w:hAnsi="Times New Roman" w:eastAsia="方正仿宋_GBK" w:cs="Times New Roman"/>
          <w:sz w:val="32"/>
          <w:szCs w:val="32"/>
        </w:rPr>
        <w:t>了监测技术培训会议，且上年度</w:t>
      </w:r>
      <w:r>
        <w:rPr>
          <w:rFonts w:hint="default" w:ascii="Times New Roman" w:hAnsi="Times New Roman" w:eastAsia="方正仿宋_GBK" w:cs="Times New Roman"/>
          <w:sz w:val="32"/>
          <w:szCs w:val="32"/>
          <w:lang w:eastAsia="zh-CN"/>
        </w:rPr>
        <w:t>培训</w:t>
      </w:r>
      <w:r>
        <w:rPr>
          <w:rFonts w:hint="default" w:ascii="Times New Roman" w:hAnsi="Times New Roman" w:eastAsia="方正仿宋_GBK" w:cs="Times New Roman"/>
          <w:sz w:val="32"/>
          <w:szCs w:val="32"/>
        </w:rPr>
        <w:t>费支出在本级决算。</w:t>
      </w:r>
    </w:p>
    <w:p w14:paraId="5C138FFC">
      <w:pPr>
        <w:keepNext w:val="0"/>
        <w:keepLines w:val="0"/>
        <w:pageBreakBefore w:val="0"/>
        <w:widowControl/>
        <w:kinsoku/>
        <w:overflowPunct/>
        <w:topLinePunct w:val="0"/>
        <w:autoSpaceDN/>
        <w:bidi w:val="0"/>
        <w:adjustRightInd/>
        <w:spacing w:afterAutospacing="0" w:line="594" w:lineRule="exact"/>
        <w:ind w:left="0" w:firstLine="640" w:firstLineChars="200"/>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（二）机关运行经费情况说明</w:t>
      </w:r>
    </w:p>
    <w:p w14:paraId="7F9B127B">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left="0" w:firstLine="640" w:firstLineChars="200"/>
        <w:jc w:val="both"/>
        <w:rPr>
          <w:rFonts w:hint="default"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rPr>
        <w:t>按照部门决算列报口径，我单位不在机关运行经费统计范围之内。</w:t>
      </w:r>
    </w:p>
    <w:p w14:paraId="6A26A2B2">
      <w:pPr>
        <w:keepNext w:val="0"/>
        <w:keepLines w:val="0"/>
        <w:pageBreakBefore w:val="0"/>
        <w:widowControl/>
        <w:kinsoku/>
        <w:overflowPunct/>
        <w:topLinePunct w:val="0"/>
        <w:autoSpaceDN/>
        <w:bidi w:val="0"/>
        <w:adjustRightInd/>
        <w:spacing w:afterAutospacing="0" w:line="594" w:lineRule="exact"/>
        <w:ind w:left="0" w:firstLine="640" w:firstLineChars="200"/>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（三）国有资产占用情况说明</w:t>
      </w:r>
    </w:p>
    <w:p w14:paraId="64ECFE9C">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left="0"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截至2023年12月31日，本单位共有车辆</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w:t>
      </w:r>
    </w:p>
    <w:p w14:paraId="47AB3D58">
      <w:pPr>
        <w:pStyle w:val="11"/>
        <w:keepNext w:val="0"/>
        <w:keepLines w:val="0"/>
        <w:pageBreakBefore w:val="0"/>
        <w:widowControl/>
        <w:kinsoku/>
        <w:overflowPunct/>
        <w:topLinePunct w:val="0"/>
        <w:autoSpaceDE w:val="0"/>
        <w:autoSpaceDN/>
        <w:bidi w:val="0"/>
        <w:adjustRightInd/>
        <w:spacing w:afterAutospacing="0" w:line="594" w:lineRule="exact"/>
        <w:ind w:left="0" w:firstLine="643"/>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（四）政府采购支出情况说明</w:t>
      </w:r>
    </w:p>
    <w:p w14:paraId="0674B71C">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left="0"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2023年度我单位未发生政府采购事项，无相关经费支出。</w:t>
      </w:r>
    </w:p>
    <w:p w14:paraId="31B6E481">
      <w:pPr>
        <w:keepNext w:val="0"/>
        <w:keepLines w:val="0"/>
        <w:pageBreakBefore w:val="0"/>
        <w:widowControl/>
        <w:kinsoku/>
        <w:overflowPunct/>
        <w:topLinePunct w:val="0"/>
        <w:autoSpaceDN/>
        <w:bidi w:val="0"/>
        <w:adjustRightInd/>
        <w:spacing w:afterAutospacing="0" w:line="594" w:lineRule="exact"/>
        <w:ind w:left="0" w:firstLine="640" w:firstLineChars="20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lang w:eastAsia="zh-CN"/>
        </w:rPr>
        <w:t>五、</w:t>
      </w:r>
      <w:r>
        <w:rPr>
          <w:rFonts w:hint="eastAsia" w:ascii="Times New Roman" w:hAnsi="Times New Roman" w:eastAsia="方正黑体_GBK" w:cs="方正黑体_GBK"/>
          <w:sz w:val="32"/>
          <w:szCs w:val="32"/>
        </w:rPr>
        <w:t>预算绩效管理情况说明</w:t>
      </w:r>
    </w:p>
    <w:p w14:paraId="4EDE7496">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（一）单位自评情况</w:t>
      </w:r>
    </w:p>
    <w:p w14:paraId="03D449B9">
      <w:pPr>
        <w:pStyle w:val="11"/>
        <w:keepNext w:val="0"/>
        <w:keepLines w:val="0"/>
        <w:pageBreakBefore w:val="0"/>
        <w:widowControl/>
        <w:kinsoku/>
        <w:wordWrap/>
        <w:overflowPunct/>
        <w:topLinePunct w:val="0"/>
        <w:autoSpaceDE w:val="0"/>
        <w:autoSpaceDN/>
        <w:bidi w:val="0"/>
        <w:adjustRightInd/>
        <w:spacing w:afterAutospacing="0" w:line="594" w:lineRule="exact"/>
        <w:ind w:firstLine="643"/>
        <w:textAlignment w:val="auto"/>
        <w:rPr>
          <w:rFonts w:hint="eastAsia" w:ascii="Times New Roman" w:hAnsi="Times New Roman" w:eastAsia="方正仿宋_GBK" w:cs="方正仿宋_GBK"/>
          <w:sz w:val="32"/>
          <w:szCs w:val="32"/>
          <w:shd w:val="clear" w:color="auto" w:fill="FFFFFF"/>
          <w:lang w:val="en-US" w:eastAsia="zh-CN" w:bidi="ar-SA"/>
        </w:rPr>
      </w:pPr>
      <w:r>
        <w:rPr>
          <w:rFonts w:hint="eastAsia" w:ascii="Times New Roman" w:hAnsi="Times New Roman" w:eastAsia="方正仿宋_GBK" w:cs="方正仿宋_GBK"/>
          <w:sz w:val="32"/>
          <w:szCs w:val="32"/>
          <w:shd w:val="clear" w:color="auto" w:fill="FFFFFF"/>
          <w:lang w:val="en-US" w:eastAsia="zh-CN" w:bidi="ar-SA"/>
        </w:rPr>
        <w:t>我单位为二级预算单位只有基本支出预算。</w:t>
      </w:r>
    </w:p>
    <w:p w14:paraId="26C624D7">
      <w:pPr>
        <w:pStyle w:val="11"/>
        <w:keepNext w:val="0"/>
        <w:keepLines w:val="0"/>
        <w:pageBreakBefore w:val="0"/>
        <w:widowControl/>
        <w:kinsoku/>
        <w:wordWrap/>
        <w:overflowPunct/>
        <w:topLinePunct w:val="0"/>
        <w:autoSpaceDE w:val="0"/>
        <w:autoSpaceDN/>
        <w:bidi w:val="0"/>
        <w:adjustRightInd/>
        <w:spacing w:afterAutospacing="0" w:line="594" w:lineRule="exact"/>
        <w:ind w:firstLine="643"/>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（二）部门绩效评价情况</w:t>
      </w:r>
    </w:p>
    <w:p w14:paraId="15D903B8">
      <w:pPr>
        <w:pStyle w:val="11"/>
        <w:keepNext w:val="0"/>
        <w:keepLines w:val="0"/>
        <w:pageBreakBefore w:val="0"/>
        <w:widowControl/>
        <w:kinsoku/>
        <w:wordWrap/>
        <w:overflowPunct/>
        <w:topLinePunct w:val="0"/>
        <w:autoSpaceDE w:val="0"/>
        <w:autoSpaceDN/>
        <w:bidi w:val="0"/>
        <w:adjustRightInd/>
        <w:spacing w:afterAutospacing="0" w:line="594" w:lineRule="exact"/>
        <w:ind w:firstLine="643"/>
        <w:textAlignment w:val="auto"/>
        <w:rPr>
          <w:rFonts w:hint="eastAsia" w:ascii="Times New Roman" w:hAnsi="Times New Roman" w:eastAsia="方正仿宋_GBK" w:cs="方正仿宋_GBK"/>
          <w:sz w:val="32"/>
          <w:szCs w:val="32"/>
          <w:shd w:val="clear" w:color="auto" w:fill="FFFFFF"/>
          <w:lang w:val="en-US" w:eastAsia="zh-CN" w:bidi="ar-SA"/>
        </w:rPr>
      </w:pPr>
      <w:r>
        <w:rPr>
          <w:rFonts w:hint="eastAsia" w:ascii="Times New Roman" w:hAnsi="Times New Roman" w:eastAsia="方正仿宋_GBK" w:cs="方正仿宋_GBK"/>
          <w:sz w:val="32"/>
          <w:szCs w:val="32"/>
          <w:shd w:val="clear" w:color="auto" w:fill="FFFFFF"/>
          <w:lang w:val="en-US" w:eastAsia="zh-CN" w:bidi="ar-SA"/>
        </w:rPr>
        <w:t>我单位未组织开展绩效评价。</w:t>
      </w:r>
    </w:p>
    <w:p w14:paraId="1F7A6E37">
      <w:pPr>
        <w:pStyle w:val="11"/>
        <w:keepNext w:val="0"/>
        <w:keepLines w:val="0"/>
        <w:pageBreakBefore w:val="0"/>
        <w:widowControl/>
        <w:kinsoku/>
        <w:wordWrap/>
        <w:overflowPunct/>
        <w:topLinePunct w:val="0"/>
        <w:autoSpaceDE w:val="0"/>
        <w:autoSpaceDN/>
        <w:bidi w:val="0"/>
        <w:adjustRightInd/>
        <w:spacing w:afterAutospacing="0" w:line="594" w:lineRule="exact"/>
        <w:ind w:firstLine="643"/>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（三）财政绩效评价情况</w:t>
      </w:r>
    </w:p>
    <w:p w14:paraId="413DD86B">
      <w:pPr>
        <w:pStyle w:val="11"/>
        <w:pageBreakBefore w:val="0"/>
        <w:widowControl/>
        <w:kinsoku/>
        <w:wordWrap/>
        <w:overflowPunct/>
        <w:topLinePunct w:val="0"/>
        <w:autoSpaceDE w:val="0"/>
        <w:bidi w:val="0"/>
        <w:spacing w:afterAutospacing="0" w:line="594" w:lineRule="exact"/>
        <w:ind w:firstLine="643"/>
        <w:textAlignment w:val="auto"/>
        <w:rPr>
          <w:rFonts w:hint="eastAsia" w:ascii="Times New Roman" w:hAnsi="Times New Roman" w:eastAsia="方正仿宋_GBK" w:cs="方正仿宋_GBK"/>
          <w:sz w:val="32"/>
          <w:szCs w:val="32"/>
          <w:shd w:val="clear" w:color="auto" w:fill="FFFFFF"/>
          <w:lang w:val="en-US" w:eastAsia="zh-CN" w:bidi="ar-SA"/>
        </w:rPr>
      </w:pPr>
      <w:r>
        <w:rPr>
          <w:rFonts w:hint="eastAsia" w:ascii="Times New Roman" w:hAnsi="Times New Roman" w:eastAsia="方正仿宋_GBK" w:cs="方正仿宋_GBK"/>
          <w:sz w:val="32"/>
          <w:szCs w:val="32"/>
          <w:shd w:val="clear" w:color="auto" w:fill="FFFFFF"/>
          <w:lang w:val="en-US" w:eastAsia="zh-CN" w:bidi="ar-SA"/>
        </w:rPr>
        <w:t>市财政局未委托第三方对我单位开展绩效评价。</w:t>
      </w:r>
    </w:p>
    <w:p w14:paraId="7F252095">
      <w:pPr>
        <w:keepNext w:val="0"/>
        <w:keepLines w:val="0"/>
        <w:pageBreakBefore w:val="0"/>
        <w:widowControl/>
        <w:kinsoku/>
        <w:overflowPunct/>
        <w:topLinePunct w:val="0"/>
        <w:autoSpaceDN/>
        <w:bidi w:val="0"/>
        <w:adjustRightInd/>
        <w:spacing w:afterAutospacing="0" w:line="594" w:lineRule="exact"/>
        <w:ind w:left="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 </w:t>
      </w:r>
      <w:r>
        <w:rPr>
          <w:rFonts w:hint="eastAsia" w:ascii="Times New Roman" w:hAnsi="Times New Roman" w:eastAsia="方正黑体_GBK" w:cs="方正黑体_GBK"/>
          <w:sz w:val="32"/>
          <w:szCs w:val="32"/>
          <w:lang w:val="en-US" w:eastAsia="zh-CN"/>
        </w:rPr>
        <w:t xml:space="preserve">  </w:t>
      </w:r>
      <w:r>
        <w:rPr>
          <w:rFonts w:hint="eastAsia" w:ascii="Times New Roman" w:hAnsi="Times New Roman" w:eastAsia="方正黑体_GBK" w:cs="方正黑体_GBK"/>
          <w:sz w:val="32"/>
          <w:szCs w:val="32"/>
        </w:rPr>
        <w:t xml:space="preserve"> 六、专业名词解释</w:t>
      </w:r>
    </w:p>
    <w:p w14:paraId="7222377A">
      <w:pPr>
        <w:keepNext w:val="0"/>
        <w:keepLines w:val="0"/>
        <w:pageBreakBefore w:val="0"/>
        <w:widowControl/>
        <w:kinsoku/>
        <w:overflowPunct/>
        <w:topLinePunct w:val="0"/>
        <w:autoSpaceDN/>
        <w:bidi w:val="0"/>
        <w:adjustRightInd/>
        <w:spacing w:afterAutospacing="0" w:line="594" w:lineRule="exact"/>
        <w:ind w:left="0"/>
        <w:rPr>
          <w:rFonts w:hint="eastAsia" w:ascii="Times New Roman" w:hAnsi="Times New Roman" w:eastAsia="方正仿宋_GBK" w:cs="方正仿宋_GBK"/>
          <w:sz w:val="32"/>
          <w:szCs w:val="32"/>
        </w:rPr>
      </w:pPr>
      <w:r>
        <w:rPr>
          <w:rFonts w:ascii="Times New Roman" w:hAnsi="Times New Roman"/>
          <w:sz w:val="32"/>
          <w:szCs w:val="32"/>
        </w:rPr>
        <w:t> </w:t>
      </w:r>
      <w:r>
        <w:rPr>
          <w:rFonts w:hint="eastAsia" w:ascii="Times New Roman" w:hAnsi="Times New Roman"/>
          <w:sz w:val="32"/>
          <w:szCs w:val="32"/>
          <w:lang w:val="en-US" w:eastAsia="zh-CN"/>
        </w:rPr>
        <w:t xml:space="preserve">   </w:t>
      </w:r>
      <w:r>
        <w:rPr>
          <w:rFonts w:hint="eastAsia" w:ascii="Times New Roman" w:hAnsi="Times New Roman"/>
          <w:b/>
          <w:bCs/>
          <w:sz w:val="32"/>
          <w:szCs w:val="32"/>
          <w:lang w:val="en-US" w:eastAsia="zh-CN"/>
        </w:rPr>
        <w:t xml:space="preserve"> </w:t>
      </w:r>
      <w:r>
        <w:rPr>
          <w:rFonts w:hint="eastAsia" w:ascii="Times New Roman" w:hAnsi="Times New Roman" w:eastAsia="方正仿宋_GBK" w:cs="方正仿宋_GBK"/>
          <w:b/>
          <w:bCs/>
          <w:sz w:val="32"/>
          <w:szCs w:val="32"/>
        </w:rPr>
        <w:t>（一）财政拨款收入：</w:t>
      </w:r>
      <w:r>
        <w:rPr>
          <w:rFonts w:hint="eastAsia" w:ascii="Times New Roman" w:hAnsi="Times New Roman" w:eastAsia="方正仿宋_GBK" w:cs="方正仿宋_GBK"/>
          <w:sz w:val="32"/>
          <w:szCs w:val="32"/>
        </w:rPr>
        <w:t>指本年度从本级财政部门取得的财政拨款，包括一般公共预算财政拨款和政府性基金预算财政拨款。</w:t>
      </w:r>
    </w:p>
    <w:p w14:paraId="7E35D274">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left="0"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Fonts w:hint="eastAsia" w:ascii="Times New Roman" w:hAnsi="Times New Roman" w:eastAsia="方正仿宋_GBK" w:cs="方正仿宋_GBK"/>
          <w:b/>
          <w:bCs/>
          <w:sz w:val="32"/>
          <w:szCs w:val="32"/>
          <w:lang w:val="en-US" w:eastAsia="zh-CN" w:bidi="ar-SA"/>
        </w:rPr>
        <w:t>（二）事业收入：</w:t>
      </w:r>
      <w:r>
        <w:rPr>
          <w:rFonts w:ascii="Times New Roman" w:hAnsi="Times New Roman"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03A484C8">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left="0"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Fonts w:hint="eastAsia" w:ascii="Times New Roman" w:hAnsi="Times New Roman" w:eastAsia="方正仿宋_GBK" w:cs="方正仿宋_GBK"/>
          <w:b/>
          <w:bCs/>
          <w:sz w:val="32"/>
          <w:szCs w:val="32"/>
          <w:lang w:val="en-US" w:eastAsia="zh-CN" w:bidi="ar-SA"/>
        </w:rPr>
        <w:t>（三）经营收入：</w:t>
      </w:r>
      <w:r>
        <w:rPr>
          <w:rFonts w:ascii="Times New Roman" w:hAnsi="Times New Roman" w:eastAsia="方正仿宋_GBK" w:cs="方正仿宋_GBK"/>
          <w:sz w:val="32"/>
          <w:szCs w:val="32"/>
          <w:shd w:val="clear" w:color="auto" w:fill="FFFFFF"/>
        </w:rPr>
        <w:t>指事业单位在专业业务活动及其辅助活动之外开展非独立核算经营活动取得的现金流入。</w:t>
      </w:r>
    </w:p>
    <w:p w14:paraId="1BC1D2FF">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left="0" w:firstLine="643" w:firstLineChars="200"/>
        <w:jc w:val="both"/>
        <w:rPr>
          <w:rFonts w:hint="default" w:ascii="Times New Roman" w:hAnsi="Times New Roman" w:eastAsia="方正仿宋_GBK" w:cs="方正仿宋_GBK"/>
          <w:sz w:val="32"/>
          <w:szCs w:val="32"/>
        </w:rPr>
      </w:pPr>
      <w:r>
        <w:rPr>
          <w:rFonts w:hint="eastAsia" w:ascii="Times New Roman" w:hAnsi="Times New Roman" w:eastAsia="方正仿宋_GBK" w:cs="方正仿宋_GBK"/>
          <w:b/>
          <w:bCs/>
          <w:sz w:val="32"/>
          <w:szCs w:val="32"/>
          <w:lang w:val="en-US" w:eastAsia="zh-CN" w:bidi="ar-SA"/>
        </w:rPr>
        <w:t> （四）其他收入：</w:t>
      </w:r>
      <w:r>
        <w:rPr>
          <w:rFonts w:ascii="Times New Roman" w:hAnsi="Times New Roman"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6A3CE68">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left="0" w:firstLine="643" w:firstLineChars="200"/>
        <w:jc w:val="both"/>
        <w:rPr>
          <w:rFonts w:hint="default" w:ascii="Times New Roman" w:hAnsi="Times New Roman" w:eastAsia="方正仿宋_GBK" w:cs="方正仿宋_GBK"/>
          <w:sz w:val="32"/>
          <w:szCs w:val="32"/>
        </w:rPr>
      </w:pPr>
      <w:r>
        <w:rPr>
          <w:rFonts w:hint="eastAsia" w:ascii="Times New Roman" w:hAnsi="Times New Roman" w:eastAsia="方正仿宋_GBK" w:cs="方正仿宋_GBK"/>
          <w:b/>
          <w:bCs/>
          <w:sz w:val="32"/>
          <w:szCs w:val="32"/>
          <w:lang w:val="en-US" w:eastAsia="zh-CN" w:bidi="ar-SA"/>
        </w:rPr>
        <w:t>（五）使用非财政拨款结余：</w:t>
      </w:r>
      <w:r>
        <w:rPr>
          <w:rFonts w:ascii="Times New Roman" w:hAnsi="Times New Roman"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9C62E60">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left="0" w:firstLine="643" w:firstLineChars="200"/>
        <w:jc w:val="both"/>
        <w:rPr>
          <w:rFonts w:hint="default" w:ascii="Times New Roman" w:hAnsi="Times New Roman" w:eastAsia="方正仿宋_GBK" w:cs="方正仿宋_GBK"/>
          <w:sz w:val="32"/>
          <w:szCs w:val="32"/>
        </w:rPr>
      </w:pPr>
      <w:r>
        <w:rPr>
          <w:rFonts w:hint="eastAsia" w:ascii="Times New Roman" w:hAnsi="Times New Roman" w:eastAsia="方正仿宋_GBK" w:cs="方正仿宋_GBK"/>
          <w:b/>
          <w:bCs/>
          <w:sz w:val="32"/>
          <w:szCs w:val="32"/>
          <w:lang w:val="en-US" w:eastAsia="zh-CN" w:bidi="ar-SA"/>
        </w:rPr>
        <w:t> （六）年初结转和结余：</w:t>
      </w:r>
      <w:r>
        <w:rPr>
          <w:rFonts w:ascii="Times New Roman" w:hAnsi="Times New Roman" w:eastAsia="方正仿宋_GBK" w:cs="方正仿宋_GBK"/>
          <w:sz w:val="32"/>
          <w:szCs w:val="32"/>
          <w:shd w:val="clear" w:color="auto" w:fill="FFFFFF"/>
        </w:rPr>
        <w:t>指单位上年结转本年使用的基本支出结转、项目支出结转和结余、经营结余。</w:t>
      </w:r>
    </w:p>
    <w:p w14:paraId="4541995D">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left="0"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Fonts w:hint="eastAsia" w:ascii="Times New Roman" w:hAnsi="Times New Roman" w:eastAsia="方正仿宋_GBK" w:cs="方正仿宋_GBK"/>
          <w:b/>
          <w:bCs/>
          <w:sz w:val="32"/>
          <w:szCs w:val="32"/>
          <w:lang w:val="en-US" w:eastAsia="zh-CN" w:bidi="ar-SA"/>
        </w:rPr>
        <w:t>（七）结余分配：</w:t>
      </w:r>
      <w:r>
        <w:rPr>
          <w:rFonts w:ascii="Times New Roman" w:hAnsi="Times New Roman" w:eastAsia="方正仿宋_GBK" w:cs="方正仿宋_GBK"/>
          <w:sz w:val="32"/>
          <w:szCs w:val="32"/>
          <w:shd w:val="clear" w:color="auto" w:fill="FFFFFF"/>
        </w:rPr>
        <w:t>指单位按照国家有关规定，缴纳所得税、提取专用基金、转入非财政拨款结余等当年结余的分配情况。</w:t>
      </w:r>
    </w:p>
    <w:p w14:paraId="17F92267">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left="0"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Fonts w:hint="eastAsia" w:ascii="Times New Roman" w:hAnsi="Times New Roman" w:eastAsia="方正仿宋_GBK" w:cs="方正仿宋_GBK"/>
          <w:b/>
          <w:bCs/>
          <w:sz w:val="32"/>
          <w:szCs w:val="32"/>
          <w:lang w:val="en-US" w:eastAsia="zh-CN" w:bidi="ar-SA"/>
        </w:rPr>
        <w:t>（八）年末结转和结余：</w:t>
      </w:r>
      <w:r>
        <w:rPr>
          <w:rFonts w:ascii="Times New Roman" w:hAnsi="Times New Roman" w:eastAsia="方正仿宋_GBK" w:cs="方正仿宋_GBK"/>
          <w:sz w:val="32"/>
          <w:szCs w:val="32"/>
          <w:shd w:val="clear" w:color="auto" w:fill="FFFFFF"/>
        </w:rPr>
        <w:t>指单位结转下年的基本支出结转、项目支出结转和结余、经营结余。</w:t>
      </w:r>
    </w:p>
    <w:p w14:paraId="7D6D36FC">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left="0" w:firstLine="643" w:firstLineChars="200"/>
        <w:jc w:val="both"/>
        <w:rPr>
          <w:rFonts w:hint="default" w:ascii="Times New Roman" w:hAnsi="Times New Roman" w:eastAsia="方正仿宋_GBK" w:cs="方正仿宋_GBK"/>
          <w:sz w:val="32"/>
          <w:szCs w:val="32"/>
        </w:rPr>
      </w:pPr>
      <w:r>
        <w:rPr>
          <w:rFonts w:hint="eastAsia" w:ascii="Times New Roman" w:hAnsi="Times New Roman" w:eastAsia="方正仿宋_GBK" w:cs="方正仿宋_GBK"/>
          <w:b/>
          <w:bCs/>
          <w:sz w:val="32"/>
          <w:szCs w:val="32"/>
          <w:lang w:val="en-US" w:eastAsia="zh-CN" w:bidi="ar-SA"/>
        </w:rPr>
        <w:t> （九）基本支出：</w:t>
      </w:r>
      <w:r>
        <w:rPr>
          <w:rFonts w:ascii="Times New Roman" w:hAnsi="Times New Roman"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7ED6A07">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left="0" w:firstLine="643" w:firstLineChars="200"/>
        <w:jc w:val="both"/>
        <w:rPr>
          <w:rFonts w:hint="default" w:ascii="Times New Roman" w:hAnsi="Times New Roman" w:eastAsia="方正仿宋_GBK" w:cs="方正仿宋_GBK"/>
          <w:sz w:val="32"/>
          <w:szCs w:val="32"/>
        </w:rPr>
      </w:pPr>
      <w:r>
        <w:rPr>
          <w:rFonts w:hint="eastAsia" w:ascii="Times New Roman" w:hAnsi="Times New Roman" w:eastAsia="方正仿宋_GBK" w:cs="方正仿宋_GBK"/>
          <w:b/>
          <w:bCs/>
          <w:sz w:val="32"/>
          <w:szCs w:val="32"/>
          <w:lang w:val="en-US" w:eastAsia="zh-CN" w:bidi="ar-SA"/>
        </w:rPr>
        <w:t> （十）项目支出：</w:t>
      </w:r>
      <w:r>
        <w:rPr>
          <w:rFonts w:ascii="Times New Roman" w:hAnsi="Times New Roman" w:eastAsia="方正仿宋_GBK" w:cs="方正仿宋_GBK"/>
          <w:sz w:val="32"/>
          <w:szCs w:val="32"/>
          <w:shd w:val="clear" w:color="auto" w:fill="FFFFFF"/>
        </w:rPr>
        <w:t>指在基本支出之外为完成特定行政任务和事业发展目标所发生的支出。</w:t>
      </w:r>
    </w:p>
    <w:p w14:paraId="736BA1D4">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left="0"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Fonts w:hint="eastAsia" w:ascii="Times New Roman" w:hAnsi="Times New Roman" w:eastAsia="方正仿宋_GBK" w:cs="方正仿宋_GBK"/>
          <w:b/>
          <w:bCs/>
          <w:sz w:val="32"/>
          <w:szCs w:val="32"/>
          <w:lang w:val="en-US" w:eastAsia="zh-CN" w:bidi="ar-SA"/>
        </w:rPr>
        <w:t>（十一）经营支出：</w:t>
      </w:r>
      <w:r>
        <w:rPr>
          <w:rFonts w:ascii="Times New Roman" w:hAnsi="Times New Roman" w:eastAsia="方正仿宋_GBK" w:cs="方正仿宋_GBK"/>
          <w:sz w:val="32"/>
          <w:szCs w:val="32"/>
          <w:shd w:val="clear" w:color="auto" w:fill="FFFFFF"/>
        </w:rPr>
        <w:t>指事业单位在专业业务活动及其辅助活动之外开展非独立核算经营活动发生的支出。</w:t>
      </w:r>
    </w:p>
    <w:p w14:paraId="06A1314D">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left="0" w:firstLine="643" w:firstLineChars="200"/>
        <w:jc w:val="both"/>
        <w:rPr>
          <w:rFonts w:hint="default" w:ascii="Times New Roman" w:hAnsi="Times New Roman" w:eastAsia="方正仿宋_GBK" w:cs="方正仿宋_GBK"/>
          <w:sz w:val="32"/>
          <w:szCs w:val="32"/>
        </w:rPr>
      </w:pPr>
      <w:r>
        <w:rPr>
          <w:rFonts w:hint="eastAsia" w:ascii="Times New Roman" w:hAnsi="Times New Roman" w:eastAsia="方正仿宋_GBK" w:cs="方正仿宋_GBK"/>
          <w:b/>
          <w:bCs/>
          <w:sz w:val="32"/>
          <w:szCs w:val="32"/>
          <w:lang w:val="en-US" w:eastAsia="zh-CN" w:bidi="ar-SA"/>
        </w:rPr>
        <w:t> （十二）“三公”经费：</w:t>
      </w:r>
      <w:r>
        <w:rPr>
          <w:rFonts w:ascii="Times New Roman" w:hAnsi="Times New Roman"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B89FA0C">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left="0"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Fonts w:hint="eastAsia" w:ascii="Times New Roman" w:hAnsi="Times New Roman" w:eastAsia="方正仿宋_GBK" w:cs="方正仿宋_GBK"/>
          <w:b/>
          <w:bCs/>
          <w:sz w:val="32"/>
          <w:szCs w:val="32"/>
          <w:lang w:val="en-US" w:eastAsia="zh-CN" w:bidi="ar-SA"/>
        </w:rPr>
        <w:t>（十三）机关运行经费：</w:t>
      </w:r>
      <w:r>
        <w:rPr>
          <w:rFonts w:ascii="Times New Roman" w:hAnsi="Times New Roman"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DFF7AE5">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left="0" w:firstLine="643" w:firstLineChars="200"/>
        <w:jc w:val="both"/>
        <w:rPr>
          <w:rFonts w:hint="default" w:ascii="Times New Roman" w:hAnsi="Times New Roman" w:eastAsia="方正仿宋_GBK" w:cs="方正仿宋_GBK"/>
          <w:sz w:val="32"/>
          <w:szCs w:val="32"/>
        </w:rPr>
      </w:pPr>
      <w:r>
        <w:rPr>
          <w:rFonts w:hint="eastAsia" w:ascii="Times New Roman" w:hAnsi="Times New Roman" w:eastAsia="方正仿宋_GBK" w:cs="方正仿宋_GBK"/>
          <w:b/>
          <w:bCs/>
          <w:sz w:val="32"/>
          <w:szCs w:val="32"/>
          <w:lang w:val="en-US" w:eastAsia="zh-CN" w:bidi="ar-SA"/>
        </w:rPr>
        <w:t> （十四）工资福利支出（支出经济分类科目类级）：</w:t>
      </w:r>
      <w:r>
        <w:rPr>
          <w:rFonts w:ascii="Times New Roman" w:hAnsi="Times New Roman" w:eastAsia="方正仿宋_GBK" w:cs="方正仿宋_GBK"/>
          <w:sz w:val="32"/>
          <w:szCs w:val="32"/>
          <w:shd w:val="clear" w:color="auto" w:fill="FFFFFF"/>
        </w:rPr>
        <w:t>反映单位开支的在职职工和编制外长期聘用人员的各类劳动报酬，以及为上述人员缴纳的各项社会保险费等。</w:t>
      </w:r>
    </w:p>
    <w:p w14:paraId="57BF9FB6">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left="0"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hint="eastAsia" w:ascii="Times New Roman" w:hAnsi="Times New Roman" w:eastAsia="方正仿宋_GBK" w:cs="方正仿宋_GBK"/>
          <w:sz w:val="32"/>
          <w:szCs w:val="32"/>
          <w:shd w:val="clear" w:color="auto" w:fill="FFFFFF"/>
        </w:rPr>
        <w:t>（</w:t>
      </w:r>
      <w:bookmarkStart w:id="0" w:name="_GoBack"/>
      <w:bookmarkEnd w:id="0"/>
      <w:r>
        <w:rPr>
          <w:rStyle w:val="10"/>
          <w:rFonts w:hint="eastAsia" w:ascii="Times New Roman" w:hAnsi="Times New Roman" w:eastAsia="方正仿宋_GBK" w:cs="方正仿宋_GBK"/>
          <w:sz w:val="32"/>
          <w:szCs w:val="32"/>
          <w:shd w:val="clear" w:color="auto" w:fill="FFFFFF"/>
        </w:rPr>
        <w:t>十五）商品和服务支出（支出经济分类科目类级）</w:t>
      </w:r>
      <w:r>
        <w:rPr>
          <w:rFonts w:hint="eastAsia" w:ascii="Times New Roman" w:hAnsi="Times New Roman" w:eastAsia="方正仿宋_GBK" w:cs="方正仿宋_GBK"/>
          <w:sz w:val="32"/>
          <w:szCs w:val="32"/>
          <w:shd w:val="clear" w:color="auto" w:fill="FFFFFF"/>
        </w:rPr>
        <w:t>：</w:t>
      </w:r>
      <w:r>
        <w:rPr>
          <w:rFonts w:ascii="Times New Roman" w:hAnsi="Times New Roman" w:eastAsia="方正仿宋_GBK" w:cs="方正仿宋_GBK"/>
          <w:sz w:val="32"/>
          <w:szCs w:val="32"/>
          <w:shd w:val="clear" w:color="auto" w:fill="FFFFFF"/>
        </w:rPr>
        <w:t>反映单位购买商品和服务的支出（不包括用于购置固定资产的支出、战略性和应急储备支出）。</w:t>
      </w:r>
    </w:p>
    <w:p w14:paraId="6A4F0DBE">
      <w:pPr>
        <w:pStyle w:val="6"/>
        <w:keepNext w:val="0"/>
        <w:keepLines w:val="0"/>
        <w:pageBreakBefore w:val="0"/>
        <w:widowControl/>
        <w:kinsoku/>
        <w:overflowPunct/>
        <w:topLinePunct w:val="0"/>
        <w:autoSpaceDN/>
        <w:bidi w:val="0"/>
        <w:adjustRightInd/>
        <w:snapToGrid w:val="0"/>
        <w:spacing w:before="0" w:beforeAutospacing="0" w:after="0" w:afterAutospacing="0" w:line="594" w:lineRule="exact"/>
        <w:ind w:left="0" w:firstLine="643" w:firstLineChars="200"/>
        <w:jc w:val="both"/>
        <w:rPr>
          <w:rFonts w:hint="default" w:ascii="Times New Roman" w:hAnsi="Times New Roman" w:eastAsia="方正仿宋_GBK" w:cs="方正仿宋_GBK"/>
          <w:sz w:val="32"/>
          <w:szCs w:val="32"/>
        </w:rPr>
      </w:pPr>
      <w:r>
        <w:rPr>
          <w:rStyle w:val="10"/>
          <w:rFonts w:hint="eastAsia" w:ascii="Times New Roman" w:hAnsi="Times New Roman" w:eastAsia="方正仿宋_GBK" w:cs="方正仿宋_GBK"/>
          <w:b/>
          <w:bCs w:val="0"/>
          <w:sz w:val="32"/>
          <w:szCs w:val="32"/>
          <w:shd w:val="clear" w:color="auto" w:fill="FFFFFF"/>
        </w:rPr>
        <w:t> （十六）对个人和家庭的补助（支出经济分类科目类级）</w:t>
      </w:r>
      <w:r>
        <w:rPr>
          <w:rFonts w:hint="eastAsia" w:ascii="Times New Roman" w:hAnsi="Times New Roman" w:eastAsia="方正仿宋_GBK" w:cs="方正仿宋_GBK"/>
          <w:b/>
          <w:bCs w:val="0"/>
          <w:sz w:val="32"/>
          <w:szCs w:val="32"/>
          <w:shd w:val="clear" w:color="auto" w:fill="FFFFFF"/>
        </w:rPr>
        <w:t>：</w:t>
      </w:r>
      <w:r>
        <w:rPr>
          <w:rFonts w:ascii="Times New Roman" w:hAnsi="Times New Roman" w:eastAsia="方正仿宋_GBK" w:cs="方正仿宋_GBK"/>
          <w:sz w:val="32"/>
          <w:szCs w:val="32"/>
          <w:shd w:val="clear" w:color="auto" w:fill="FFFFFF"/>
        </w:rPr>
        <w:t>反映用于对个人和家庭的补助支出。</w:t>
      </w:r>
    </w:p>
    <w:p w14:paraId="67A5FACA">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方正仿宋_GBK"/>
          <w:sz w:val="32"/>
          <w:szCs w:val="32"/>
        </w:rPr>
      </w:pPr>
      <w:r>
        <w:rPr>
          <w:rStyle w:val="10"/>
          <w:rFonts w:hint="eastAsia" w:ascii="Times New Roman" w:hAnsi="Times New Roman" w:eastAsia="方正仿宋_GBK" w:cs="方正仿宋_GBK"/>
          <w:b/>
          <w:bCs w:val="0"/>
          <w:sz w:val="32"/>
          <w:szCs w:val="32"/>
          <w:shd w:val="clear" w:color="auto" w:fill="FFFFFF"/>
        </w:rPr>
        <w:t>（十七）其他资本性支出（支出经济分类科目类级）</w:t>
      </w:r>
      <w:r>
        <w:rPr>
          <w:rFonts w:hint="eastAsia" w:ascii="Times New Roman" w:hAnsi="Times New Roman" w:eastAsia="方正仿宋_GBK" w:cs="方正仿宋_GBK"/>
          <w:b/>
          <w:bCs w:val="0"/>
          <w:sz w:val="32"/>
          <w:szCs w:val="32"/>
          <w:shd w:val="clear" w:color="auto" w:fill="FFFFFF"/>
        </w:rPr>
        <w:t>：</w:t>
      </w:r>
      <w:r>
        <w:rPr>
          <w:rFonts w:ascii="Times New Roman" w:hAnsi="Times New Roman"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34EEC89">
      <w:pPr>
        <w:keepNext w:val="0"/>
        <w:keepLines w:val="0"/>
        <w:pageBreakBefore w:val="0"/>
        <w:widowControl/>
        <w:kinsoku/>
        <w:wordWrap/>
        <w:overflowPunct/>
        <w:topLinePunct w:val="0"/>
        <w:autoSpaceDE/>
        <w:autoSpaceDN/>
        <w:bidi w:val="0"/>
        <w:adjustRightInd/>
        <w:spacing w:afterAutospacing="0" w:line="594" w:lineRule="exact"/>
        <w:ind w:left="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 xml:space="preserve">  </w:t>
      </w:r>
      <w:r>
        <w:rPr>
          <w:rFonts w:hint="eastAsia" w:ascii="Times New Roman" w:hAnsi="Times New Roman" w:eastAsia="方正黑体_GBK" w:cs="方正黑体_GBK"/>
          <w:sz w:val="32"/>
          <w:szCs w:val="32"/>
          <w:lang w:val="en-US" w:eastAsia="zh-CN"/>
        </w:rPr>
        <w:t xml:space="preserve">  </w:t>
      </w:r>
      <w:r>
        <w:rPr>
          <w:rFonts w:hint="eastAsia" w:ascii="Times New Roman" w:hAnsi="Times New Roman" w:eastAsia="方正黑体_GBK" w:cs="方正黑体_GBK"/>
          <w:sz w:val="32"/>
          <w:szCs w:val="32"/>
        </w:rPr>
        <w:t>七、决算公开联系方式及信息反馈渠道</w:t>
      </w:r>
    </w:p>
    <w:p w14:paraId="79069416">
      <w:pPr>
        <w:keepNext w:val="0"/>
        <w:keepLines w:val="0"/>
        <w:pageBreakBefore w:val="0"/>
        <w:widowControl/>
        <w:kinsoku/>
        <w:wordWrap/>
        <w:overflowPunct/>
        <w:topLinePunct w:val="0"/>
        <w:autoSpaceDE/>
        <w:autoSpaceDN/>
        <w:bidi w:val="0"/>
        <w:adjustRightInd/>
        <w:spacing w:afterAutospacing="0" w:line="594" w:lineRule="exact"/>
        <w:ind w:left="0" w:firstLine="640" w:firstLineChars="200"/>
        <w:textAlignment w:val="auto"/>
        <w:rPr>
          <w:rFonts w:hint="eastAsia" w:ascii="Times New Roman" w:hAnsi="Times New Roman" w:eastAsia="方正仿宋_GBK" w:cs="方正仿宋_GBK"/>
          <w:sz w:val="32"/>
          <w:szCs w:val="32"/>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cs="方正仿宋_GBK"/>
          <w:sz w:val="32"/>
          <w:szCs w:val="32"/>
        </w:rPr>
        <w:t>本单位决算公开信息反馈和联系方式：</w:t>
      </w:r>
      <w:r>
        <w:rPr>
          <w:rFonts w:hint="eastAsia" w:ascii="Times New Roman" w:hAnsi="Times New Roman" w:eastAsia="方正仿宋_GBK" w:cs="方正仿宋_GBK"/>
          <w:sz w:val="32"/>
          <w:szCs w:val="32"/>
          <w:lang w:val="en-US" w:eastAsia="zh-CN"/>
        </w:rPr>
        <w:t>023-73376369。</w:t>
      </w:r>
    </w:p>
    <w:p w14:paraId="0F7353C9">
      <w:pPr>
        <w:rPr>
          <w:rFonts w:hint="default" w:ascii="Times New Roman" w:hAnsi="Times New Roman"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0360CDB4">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603D1C2">
            <w:pPr>
              <w:spacing w:line="40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收入支出决算总表</w:t>
            </w:r>
          </w:p>
        </w:tc>
      </w:tr>
      <w:tr w14:paraId="7510B411">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55EA676E">
            <w:pPr>
              <w:spacing w:line="200" w:lineRule="exact"/>
              <w:rPr>
                <w:rFonts w:hint="default" w:ascii="Times New Roman" w:hAnsi="Times New Roman"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403B246E">
            <w:pPr>
              <w:spacing w:line="200" w:lineRule="exact"/>
              <w:jc w:val="right"/>
              <w:rPr>
                <w:rFonts w:hint="default" w:ascii="Times New Roman" w:hAnsi="Times New Roman"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0B1297AB">
            <w:pPr>
              <w:spacing w:line="200" w:lineRule="exact"/>
              <w:rPr>
                <w:rFonts w:hint="default" w:ascii="Times New Roman" w:hAnsi="Times New Roman"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615FA3B">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公开01表</w:t>
            </w:r>
          </w:p>
        </w:tc>
      </w:tr>
      <w:tr w14:paraId="3F3F9FBD">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58D6672F">
            <w:pPr>
              <w:spacing w:line="200" w:lineRule="exact"/>
              <w:rPr>
                <w:rFonts w:hint="default" w:ascii="Times New Roman" w:hAnsi="Times New Roman" w:cs="Arial"/>
                <w:color w:val="000000"/>
                <w:sz w:val="22"/>
                <w:szCs w:val="22"/>
              </w:rPr>
            </w:pPr>
            <w:r>
              <w:rPr>
                <w:rFonts w:ascii="Times New Roman" w:hAnsi="Times New Roman" w:cs="宋体"/>
                <w:sz w:val="20"/>
                <w:szCs w:val="20"/>
              </w:rPr>
              <w:t>公开单位：</w:t>
            </w:r>
            <w:r>
              <w:rPr>
                <w:rFonts w:ascii="Times New Roman" w:hAnsi="Times New Roman"/>
                <w:sz w:val="20"/>
                <w:u w:color="auto"/>
              </w:rPr>
              <w:t>重庆市石柱土家族自治县生态环境监测站</w:t>
            </w:r>
          </w:p>
        </w:tc>
        <w:tc>
          <w:tcPr>
            <w:tcW w:w="1562" w:type="pct"/>
            <w:tcBorders>
              <w:top w:val="nil"/>
              <w:left w:val="nil"/>
              <w:bottom w:val="nil"/>
              <w:right w:val="nil"/>
            </w:tcBorders>
            <w:shd w:val="clear" w:color="auto" w:fill="auto"/>
            <w:noWrap/>
            <w:tcMar>
              <w:top w:w="15" w:type="dxa"/>
              <w:left w:w="15" w:type="dxa"/>
              <w:right w:w="15" w:type="dxa"/>
            </w:tcMar>
            <w:vAlign w:val="bottom"/>
          </w:tcPr>
          <w:p w14:paraId="152DF1DD">
            <w:pPr>
              <w:spacing w:line="200" w:lineRule="exact"/>
              <w:rPr>
                <w:rFonts w:hint="default" w:ascii="Times New Roman" w:hAnsi="Times New Roman"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F438A40">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7C5E3C0B">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AB685">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A44F1D4">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支出</w:t>
            </w:r>
          </w:p>
        </w:tc>
      </w:tr>
      <w:tr w14:paraId="6471B86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F51BC7">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439F7A">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087003">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EB2D8E">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决算数</w:t>
            </w:r>
          </w:p>
        </w:tc>
      </w:tr>
      <w:tr w14:paraId="3EE577E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1FA63">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BB719">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515.63</w:t>
            </w: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E3DEFC">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5017F">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64414B5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27512">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621A3">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94EF9F">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48866">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F66B59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223AA1">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9CD7F">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FF946D">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82AD2">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204CF98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4E4B7E">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33949">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F045CF">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25C36">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68643FC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76145F">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20F30">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2A3AEF">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E4D7D">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3C91007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238D1">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47855">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495121">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DECAB">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29F705C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2A297B">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5ABC4">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8B6BF7">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0D9FF">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79AD6C7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C0BF68">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1B309057">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BEABEC">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A8FBC">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76.31</w:t>
            </w:r>
            <w:r>
              <w:rPr>
                <w:rFonts w:ascii="Times New Roman" w:hAnsi="Times New Roman"/>
                <w:color w:val="000000"/>
                <w:sz w:val="20"/>
                <w:u w:color="auto"/>
              </w:rPr>
              <w:t xml:space="preserve"> </w:t>
            </w:r>
          </w:p>
        </w:tc>
      </w:tr>
      <w:tr w14:paraId="126B897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279DBA">
            <w:pPr>
              <w:spacing w:line="240" w:lineRule="exact"/>
              <w:rPr>
                <w:rFonts w:hint="default" w:ascii="Times New Roman" w:hAnsi="Times New Roman"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18CF05">
            <w:pPr>
              <w:spacing w:line="240" w:lineRule="exact"/>
              <w:jc w:val="right"/>
              <w:rPr>
                <w:rFonts w:hint="default" w:ascii="Times New Roman" w:hAnsi="Times New Roman"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8A2A24">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2B0C5">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22.83</w:t>
            </w:r>
            <w:r>
              <w:rPr>
                <w:rFonts w:ascii="Times New Roman" w:hAnsi="Times New Roman"/>
                <w:color w:val="000000"/>
                <w:sz w:val="20"/>
                <w:u w:color="auto"/>
              </w:rPr>
              <w:t xml:space="preserve"> </w:t>
            </w:r>
          </w:p>
        </w:tc>
      </w:tr>
      <w:tr w14:paraId="0E8113C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140896">
            <w:pPr>
              <w:spacing w:line="240" w:lineRule="exact"/>
              <w:rPr>
                <w:rFonts w:hint="default" w:ascii="Times New Roman" w:hAnsi="Times New Roman"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FB84D8">
            <w:pPr>
              <w:spacing w:line="240" w:lineRule="exact"/>
              <w:jc w:val="right"/>
              <w:rPr>
                <w:rFonts w:hint="default" w:ascii="Times New Roman" w:hAnsi="Times New Roman"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C0DA2E">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85826">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393.59</w:t>
            </w:r>
            <w:r>
              <w:rPr>
                <w:rFonts w:ascii="Times New Roman" w:hAnsi="Times New Roman"/>
                <w:color w:val="000000"/>
                <w:sz w:val="20"/>
                <w:u w:color="auto"/>
              </w:rPr>
              <w:t xml:space="preserve"> </w:t>
            </w:r>
          </w:p>
        </w:tc>
      </w:tr>
      <w:tr w14:paraId="697CFC1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942C5">
            <w:pPr>
              <w:spacing w:line="240" w:lineRule="exact"/>
              <w:rPr>
                <w:rFonts w:hint="default" w:ascii="Times New Roman" w:hAnsi="Times New Roman"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09E91E">
            <w:pPr>
              <w:spacing w:line="240" w:lineRule="exact"/>
              <w:jc w:val="right"/>
              <w:rPr>
                <w:rFonts w:hint="default" w:ascii="Times New Roman" w:hAnsi="Times New Roman"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B19EC7">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DE773">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DA28EC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2C07D">
            <w:pPr>
              <w:spacing w:line="240" w:lineRule="exact"/>
              <w:rPr>
                <w:rFonts w:hint="default" w:ascii="Times New Roman" w:hAnsi="Times New Roman"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403E53">
            <w:pPr>
              <w:spacing w:line="240" w:lineRule="exact"/>
              <w:jc w:val="right"/>
              <w:rPr>
                <w:rFonts w:hint="default" w:ascii="Times New Roman" w:hAnsi="Times New Roman"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EC3CBB">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BDED9">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7F708AC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A4ABB8">
            <w:pPr>
              <w:spacing w:line="240" w:lineRule="exact"/>
              <w:rPr>
                <w:rFonts w:hint="default" w:ascii="Times New Roman" w:hAnsi="Times New Roman"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2EA76">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CEFC8A">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E4AFD">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12D33D1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A7F50">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D296F">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404928">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61E14">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39A22A7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916101">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C39C5">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508698">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25391">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5CDC28C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96DEE9">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39BC3">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5BBF18">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E97B0">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8EE770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4C0735">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A9218">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C2417E">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09BBA">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5D8C4B0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F7D345">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20D02">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A6A8FA">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344B0">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6FD7729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59F25">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AC448">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4568EB">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F831B">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22.91</w:t>
            </w:r>
            <w:r>
              <w:rPr>
                <w:rFonts w:ascii="Times New Roman" w:hAnsi="Times New Roman"/>
                <w:color w:val="000000"/>
                <w:sz w:val="20"/>
                <w:u w:color="auto"/>
              </w:rPr>
              <w:t xml:space="preserve"> </w:t>
            </w:r>
          </w:p>
        </w:tc>
      </w:tr>
      <w:tr w14:paraId="477F565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55EC84">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65CBE">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2AB28D">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385AA">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0B9BF99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B7103F">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F2F90">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6C60DC">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1011C">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3414451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FD15DD">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11FB4">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9A967E">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C496D">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35A194C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5D1EE4">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8D23F">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B3C441">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61DC7">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6D64FBF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2849C">
            <w:pPr>
              <w:spacing w:line="240" w:lineRule="exact"/>
              <w:jc w:val="center"/>
              <w:rPr>
                <w:rFonts w:hint="default" w:ascii="Times New Roman" w:hAnsi="Times New Roman"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B408C">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B5FF2D">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09C77">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30C1844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7F5AB8">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643EA">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7712B3">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367F2">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7B53FEE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661DA1">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3F54F">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A1022F">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9EA36">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211F280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CD645D">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8A436">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515.63</w:t>
            </w: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6063ED">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CA4C9">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515.63</w:t>
            </w:r>
            <w:r>
              <w:rPr>
                <w:rFonts w:ascii="Times New Roman" w:hAnsi="Times New Roman"/>
                <w:color w:val="000000"/>
                <w:sz w:val="20"/>
                <w:u w:color="auto"/>
              </w:rPr>
              <w:t xml:space="preserve"> </w:t>
            </w:r>
          </w:p>
        </w:tc>
      </w:tr>
      <w:tr w14:paraId="31EDBF7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FAA1E5">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09E36">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9A3867">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900AA">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6195350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E3E9E8">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AB963">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531F57">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518FD49">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8A91E04">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837D7B">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EF79F">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515.63</w:t>
            </w: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3C2C08E2">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65F596">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515.63</w:t>
            </w:r>
            <w:r>
              <w:rPr>
                <w:rFonts w:ascii="Times New Roman" w:hAnsi="Times New Roman"/>
                <w:color w:val="000000"/>
                <w:sz w:val="20"/>
                <w:u w:color="auto"/>
              </w:rPr>
              <w:t xml:space="preserve"> </w:t>
            </w:r>
          </w:p>
        </w:tc>
      </w:tr>
    </w:tbl>
    <w:p w14:paraId="404495C9">
      <w:pPr>
        <w:spacing w:line="240" w:lineRule="exact"/>
        <w:rPr>
          <w:rFonts w:hint="default" w:ascii="Times New Roman" w:hAnsi="Times New Roman" w:cs="宋体"/>
          <w:sz w:val="20"/>
          <w:szCs w:val="20"/>
        </w:rPr>
      </w:pPr>
      <w:r>
        <w:rPr>
          <w:rFonts w:ascii="Times New Roman" w:hAnsi="Times New Roman" w:cs="宋体"/>
          <w:sz w:val="20"/>
          <w:szCs w:val="20"/>
        </w:rPr>
        <w:t>备注：1.本表反映单位本年度的总收支和年末结转结余情况。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3E8439E1">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8D144E1">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收入决算表</w:t>
            </w:r>
          </w:p>
        </w:tc>
      </w:tr>
      <w:tr w14:paraId="1E82245E">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1054D695">
            <w:pP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sz w:val="20"/>
                <w:u w:color="auto"/>
              </w:rPr>
              <w:t>重庆市石柱土家族自治县生态环境监测站</w:t>
            </w:r>
          </w:p>
        </w:tc>
        <w:tc>
          <w:tcPr>
            <w:tcW w:w="401" w:type="pct"/>
            <w:tcBorders>
              <w:top w:val="nil"/>
              <w:left w:val="nil"/>
              <w:bottom w:val="nil"/>
              <w:right w:val="nil"/>
            </w:tcBorders>
            <w:shd w:val="clear" w:color="auto" w:fill="auto"/>
            <w:noWrap/>
            <w:tcMar>
              <w:top w:w="15" w:type="dxa"/>
              <w:left w:w="15" w:type="dxa"/>
              <w:right w:w="15" w:type="dxa"/>
            </w:tcMar>
            <w:vAlign w:val="bottom"/>
          </w:tcPr>
          <w:p w14:paraId="29D63803">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14889DE">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ACC8759">
            <w:pPr>
              <w:rPr>
                <w:rFonts w:hint="default" w:ascii="Times New Roman" w:hAnsi="Times New Roman"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C30D11E">
            <w:pPr>
              <w:rPr>
                <w:rFonts w:hint="default" w:ascii="Times New Roman" w:hAnsi="Times New Roman"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1D151BAD">
            <w:pPr>
              <w:rPr>
                <w:rFonts w:hint="default" w:ascii="Times New Roman" w:hAnsi="Times New Roman"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87E136C">
            <w:pPr>
              <w:rPr>
                <w:rFonts w:hint="default" w:ascii="Times New Roman" w:hAnsi="Times New Roman"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A717A27">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公开02表</w:t>
            </w:r>
          </w:p>
        </w:tc>
      </w:tr>
      <w:tr w14:paraId="41C07165">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1F7732A9">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AEC7C3B">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64F2572">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820869F">
            <w:pPr>
              <w:rPr>
                <w:rFonts w:hint="default" w:ascii="Times New Roman" w:hAnsi="Times New Roman"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CDCE140">
            <w:pPr>
              <w:rPr>
                <w:rFonts w:hint="default" w:ascii="Times New Roman" w:hAnsi="Times New Roman"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F4FA73E">
            <w:pPr>
              <w:rPr>
                <w:rFonts w:hint="default" w:ascii="Times New Roman" w:hAnsi="Times New Roman"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A16174F">
            <w:pPr>
              <w:rPr>
                <w:rFonts w:hint="default" w:ascii="Times New Roman" w:hAnsi="Times New Roman"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734B9CB">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56769B23">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2C8032E6">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B1EBC3">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61E000">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F4678C">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7B39D5E">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7B979D">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483570">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7B2370">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其他收入</w:t>
            </w:r>
          </w:p>
        </w:tc>
      </w:tr>
      <w:tr w14:paraId="31E6A6C1">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CDF062">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1F2EC3D">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522C2F">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DBE2CD">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4DFFC0">
            <w:pPr>
              <w:jc w:val="center"/>
              <w:rPr>
                <w:rFonts w:hint="default" w:ascii="Times New Roman" w:hAnsi="Times New Roman"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36EC7B">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84B0D5">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E2AF0F">
            <w:pPr>
              <w:jc w:val="center"/>
              <w:rPr>
                <w:rFonts w:hint="default" w:ascii="Times New Roman" w:hAnsi="Times New Roman"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0D74F4">
            <w:pPr>
              <w:jc w:val="center"/>
              <w:rPr>
                <w:rFonts w:hint="default" w:ascii="Times New Roman" w:hAnsi="Times New Roman"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FE21BF">
            <w:pPr>
              <w:jc w:val="center"/>
              <w:rPr>
                <w:rFonts w:hint="default" w:ascii="Times New Roman" w:hAnsi="Times New Roman" w:cs="宋体"/>
                <w:b/>
                <w:color w:val="000000"/>
                <w:sz w:val="20"/>
                <w:szCs w:val="20"/>
              </w:rPr>
            </w:pPr>
          </w:p>
        </w:tc>
      </w:tr>
      <w:tr w14:paraId="73388674">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3E85E3">
            <w:pPr>
              <w:jc w:val="center"/>
              <w:rPr>
                <w:rFonts w:hint="default" w:ascii="Times New Roman" w:hAnsi="Times New Roman"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C34B796">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EE6ABC">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F87B65">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AD3020">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518961">
            <w:pPr>
              <w:jc w:val="center"/>
              <w:rPr>
                <w:rFonts w:hint="default" w:ascii="Times New Roman" w:hAnsi="Times New Roman"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3FF3AB">
            <w:pPr>
              <w:jc w:val="center"/>
              <w:rPr>
                <w:rFonts w:hint="default" w:ascii="Times New Roman" w:hAnsi="Times New Roman"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1C5ED1">
            <w:pPr>
              <w:jc w:val="center"/>
              <w:rPr>
                <w:rFonts w:hint="default" w:ascii="Times New Roman" w:hAnsi="Times New Roman"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79B8CE">
            <w:pPr>
              <w:jc w:val="center"/>
              <w:rPr>
                <w:rFonts w:hint="default" w:ascii="Times New Roman" w:hAnsi="Times New Roman"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40E645">
            <w:pPr>
              <w:jc w:val="center"/>
              <w:rPr>
                <w:rFonts w:hint="default" w:ascii="Times New Roman" w:hAnsi="Times New Roman" w:cs="宋体"/>
                <w:b/>
                <w:color w:val="000000"/>
                <w:sz w:val="20"/>
                <w:szCs w:val="20"/>
              </w:rPr>
            </w:pPr>
          </w:p>
        </w:tc>
      </w:tr>
      <w:tr w14:paraId="0B3D7602">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E95235">
            <w:pPr>
              <w:jc w:val="center"/>
              <w:rPr>
                <w:rFonts w:hint="default" w:ascii="Times New Roman" w:hAnsi="Times New Roman"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60FFA27">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218579">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F1E837">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8DC714">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FD7E4C">
            <w:pPr>
              <w:jc w:val="center"/>
              <w:rPr>
                <w:rFonts w:hint="default" w:ascii="Times New Roman" w:hAnsi="Times New Roman"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0EF2C8">
            <w:pPr>
              <w:jc w:val="center"/>
              <w:rPr>
                <w:rFonts w:hint="default" w:ascii="Times New Roman" w:hAnsi="Times New Roman"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EAEBAF">
            <w:pPr>
              <w:jc w:val="center"/>
              <w:rPr>
                <w:rFonts w:hint="default" w:ascii="Times New Roman" w:hAnsi="Times New Roman"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7C1730">
            <w:pPr>
              <w:jc w:val="center"/>
              <w:rPr>
                <w:rFonts w:hint="default" w:ascii="Times New Roman" w:hAnsi="Times New Roman"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CC07BB">
            <w:pPr>
              <w:jc w:val="center"/>
              <w:rPr>
                <w:rFonts w:hint="default" w:ascii="Times New Roman" w:hAnsi="Times New Roman" w:cs="宋体"/>
                <w:b/>
                <w:color w:val="000000"/>
                <w:sz w:val="20"/>
                <w:szCs w:val="20"/>
              </w:rPr>
            </w:pPr>
          </w:p>
        </w:tc>
      </w:tr>
      <w:tr w14:paraId="07E9067F">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CD9D47">
            <w:pPr>
              <w:jc w:val="center"/>
              <w:rPr>
                <w:rFonts w:hint="default" w:ascii="Times New Roman" w:hAnsi="Times New Roman"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1D367DA">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A23988">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F886CD">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92CAB2">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0CC1DD">
            <w:pPr>
              <w:jc w:val="center"/>
              <w:rPr>
                <w:rFonts w:hint="default" w:ascii="Times New Roman" w:hAnsi="Times New Roman"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A2C596">
            <w:pPr>
              <w:jc w:val="center"/>
              <w:rPr>
                <w:rFonts w:hint="default" w:ascii="Times New Roman" w:hAnsi="Times New Roman"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170DA8">
            <w:pPr>
              <w:jc w:val="center"/>
              <w:rPr>
                <w:rFonts w:hint="default" w:ascii="Times New Roman" w:hAnsi="Times New Roman"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E70B16">
            <w:pPr>
              <w:jc w:val="center"/>
              <w:rPr>
                <w:rFonts w:hint="default" w:ascii="Times New Roman" w:hAnsi="Times New Roman"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8EE234">
            <w:pPr>
              <w:jc w:val="center"/>
              <w:rPr>
                <w:rFonts w:hint="default" w:ascii="Times New Roman" w:hAnsi="Times New Roman" w:cs="宋体"/>
                <w:b/>
                <w:color w:val="000000"/>
                <w:sz w:val="20"/>
                <w:szCs w:val="20"/>
              </w:rPr>
            </w:pPr>
          </w:p>
        </w:tc>
      </w:tr>
      <w:tr w14:paraId="7EAFD3E8">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074F23">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5B696">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515.63</w:t>
            </w:r>
            <w:r>
              <w:rPr>
                <w:rFonts w:ascii="Times New Roman" w:hAnsi="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BE069">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515.63</w:t>
            </w:r>
            <w:r>
              <w:rPr>
                <w:rFonts w:ascii="Times New Roman" w:hAnsi="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CA238">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A589D">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44DC3">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4F450">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8D6B2">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5F487">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r>
      <w:tr w14:paraId="17EC851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03B6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98CC0">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02854">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76.31</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F9E7F">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76.31</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A8AC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C91A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DBEE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42DA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5935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E98E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3C29E64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09E1E">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2EA1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BBF89">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76.31</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4C1A0">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76.31</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592B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B9BC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E596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AF80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4C5B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C568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50E1D5A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7D6E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D63C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00346">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4.60</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FBCA7">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4.60</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3D57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B26C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F41D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5FF3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8D54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971D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28445B0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698F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3057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9F6F">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30.55</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AFA3A">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30.55</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292E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94A1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7FDE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2DC5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B995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2982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6E0FBC3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396D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B1562">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3630D">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41.16</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B42CD">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41.16</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B7A2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E954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D23A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74C7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EFC3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9216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179A91E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89AE3">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7C7B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B4933">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22.83</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1DE45">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22.83</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ABA6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8F4C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133C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7BD0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D1B1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A846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06AF5E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2984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7A2C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B36EE">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22.83</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8BA05">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22.83</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94F4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1241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F5BA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1A89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EE62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3D28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6473B27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E13E0">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3B92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DB61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18.13</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425B1">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18.13</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0B18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7FF8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145C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C0D5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DB1F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E496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7F3DCE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7596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1F0B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1DD1A">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4.70</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7A5E1">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4.70</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AEAC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964F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F8E2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B56C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4F01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6E17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02891F7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AC26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4EAAE">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FE1CC">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393.59</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08A3A">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393.59</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B0C0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B432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D07F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1267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6DED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DE9F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20789CF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34093">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2191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自然生态保护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6A8E7">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393.59</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951ED">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393.59</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7B16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B827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D273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F6AA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E403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AC67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13537C6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BEF5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5CDE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生态保护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40F6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393.59</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D7B13">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393.59</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D214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9784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6AD6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8E9E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A111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313A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0D8654B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764B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1628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78449">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22.91</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6F954">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22.91</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28C9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ED7B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6FA7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56CC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160F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43FB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12277D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59F7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81E1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7BEE6">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22.91</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E5A6B">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22.91</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9F62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E085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D7AD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ABD4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6731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ECD0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2D935BC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A9E5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9F43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5CA4A">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22.91</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B36DF">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22.91</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2179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68E6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99A1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A7D7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02B6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2445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bl>
    <w:p w14:paraId="6778DC30">
      <w:pPr>
        <w:ind w:left="600" w:hanging="600" w:hangingChars="300"/>
        <w:rPr>
          <w:rFonts w:hint="default" w:ascii="Times New Roman" w:hAnsi="Times New Roman" w:cs="宋体"/>
          <w:sz w:val="20"/>
          <w:szCs w:val="20"/>
        </w:rPr>
      </w:pPr>
      <w:r>
        <w:rPr>
          <w:rFonts w:ascii="Times New Roman" w:hAnsi="Times New Roman" w:cs="宋体"/>
          <w:sz w:val="20"/>
          <w:szCs w:val="20"/>
        </w:rPr>
        <w:t>备注：1.本表反映单位本年度取得的各项收入情况。</w:t>
      </w:r>
      <w:r>
        <w:rPr>
          <w:rFonts w:ascii="Times New Roman" w:hAnsi="Times New Roman" w:cs="宋体"/>
          <w:sz w:val="20"/>
          <w:szCs w:val="20"/>
        </w:rPr>
        <w:br w:type="textWrapping"/>
      </w:r>
      <w:r>
        <w:rPr>
          <w:rFonts w:ascii="Times New Roman" w:hAnsi="Times New Roman" w:cs="宋体"/>
          <w:sz w:val="20"/>
          <w:szCs w:val="20"/>
        </w:rPr>
        <w:t>2.本套报表金额单位转换时可能存在尾数误差。</w:t>
      </w:r>
      <w:r>
        <w:rPr>
          <w:rFonts w:ascii="Times New Roman" w:hAnsi="Times New Roman" w:cs="宋体"/>
          <w:sz w:val="20"/>
          <w:szCs w:val="20"/>
        </w:rPr>
        <w:br w:type="textWrapping"/>
      </w:r>
    </w:p>
    <w:p w14:paraId="5A1BD9D9">
      <w:pPr>
        <w:rPr>
          <w:rFonts w:hint="default" w:ascii="Times New Roman" w:hAnsi="Times New Roman" w:cs="宋体"/>
          <w:sz w:val="20"/>
          <w:szCs w:val="20"/>
        </w:rPr>
      </w:pPr>
      <w:r>
        <w:rPr>
          <w:rFonts w:ascii="Times New Roman" w:hAnsi="Times New Roman"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06C24520">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DE1736B">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支出决算表</w:t>
            </w:r>
          </w:p>
        </w:tc>
      </w:tr>
      <w:tr w14:paraId="03C4474B">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477FA4AB">
            <w:pP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u w:color="auto"/>
              </w:rPr>
              <w:t xml:space="preserve">重庆市石柱土家族自治县生态环境监测站 </w:t>
            </w:r>
          </w:p>
        </w:tc>
        <w:tc>
          <w:tcPr>
            <w:tcW w:w="553" w:type="pct"/>
            <w:tcBorders>
              <w:top w:val="nil"/>
              <w:left w:val="nil"/>
              <w:bottom w:val="nil"/>
              <w:right w:val="nil"/>
            </w:tcBorders>
            <w:shd w:val="clear" w:color="auto" w:fill="auto"/>
            <w:noWrap/>
            <w:tcMar>
              <w:top w:w="15" w:type="dxa"/>
              <w:left w:w="15" w:type="dxa"/>
              <w:right w:w="15" w:type="dxa"/>
            </w:tcMar>
            <w:vAlign w:val="bottom"/>
          </w:tcPr>
          <w:p w14:paraId="33B7982E">
            <w:pPr>
              <w:rPr>
                <w:rFonts w:hint="default" w:ascii="Times New Roman" w:hAnsi="Times New Roman"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7A86ED3">
            <w:pPr>
              <w:rPr>
                <w:rFonts w:hint="default" w:ascii="Times New Roman" w:hAnsi="Times New Roman"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FB44E68">
            <w:pPr>
              <w:rPr>
                <w:rFonts w:hint="default" w:ascii="Times New Roman" w:hAnsi="Times New Roman"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F61D20F">
            <w:pPr>
              <w:rPr>
                <w:rFonts w:hint="default" w:ascii="Times New Roman" w:hAnsi="Times New Roman"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435BAA51">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公开03表</w:t>
            </w:r>
          </w:p>
        </w:tc>
      </w:tr>
      <w:tr w14:paraId="605D4963">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172DE38D">
            <w:pPr>
              <w:rPr>
                <w:rFonts w:hint="default" w:ascii="Times New Roman" w:hAnsi="Times New Roman"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9348D94">
            <w:pPr>
              <w:rPr>
                <w:rFonts w:hint="default" w:ascii="Times New Roman" w:hAnsi="Times New Roman"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6307F70">
            <w:pPr>
              <w:rPr>
                <w:rFonts w:hint="default" w:ascii="Times New Roman" w:hAnsi="Times New Roman"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17FACD3">
            <w:pPr>
              <w:rPr>
                <w:rFonts w:hint="default" w:ascii="Times New Roman" w:hAnsi="Times New Roman"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A6F25CF">
            <w:pPr>
              <w:rPr>
                <w:rFonts w:hint="default" w:ascii="Times New Roman" w:hAnsi="Times New Roman"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9D821CB">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075846BA">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E4FF080">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3F93AE">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9FDF06">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9706B9">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E09C74">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F2F5E1">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444C05">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对附属单位补助支出</w:t>
            </w:r>
          </w:p>
        </w:tc>
      </w:tr>
      <w:tr w14:paraId="40C99C10">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331685">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E707E42">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D4AEE0">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0F9D85">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E3A5DF">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158F44">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F5A1B4">
            <w:pPr>
              <w:jc w:val="center"/>
              <w:rPr>
                <w:rFonts w:hint="default" w:ascii="Times New Roman" w:hAnsi="Times New Roman"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641D34">
            <w:pPr>
              <w:jc w:val="center"/>
              <w:rPr>
                <w:rFonts w:hint="default" w:ascii="Times New Roman" w:hAnsi="Times New Roman" w:cs="宋体"/>
                <w:b/>
                <w:color w:val="000000"/>
                <w:sz w:val="20"/>
                <w:szCs w:val="20"/>
              </w:rPr>
            </w:pPr>
          </w:p>
        </w:tc>
      </w:tr>
      <w:tr w14:paraId="10A77AE1">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E8F226">
            <w:pPr>
              <w:jc w:val="center"/>
              <w:rPr>
                <w:rFonts w:hint="default" w:ascii="Times New Roman" w:hAnsi="Times New Roman"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710BEBA">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BA0450">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7421C0">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1CEC73">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34892E">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B440CF">
            <w:pPr>
              <w:jc w:val="center"/>
              <w:rPr>
                <w:rFonts w:hint="default" w:ascii="Times New Roman" w:hAnsi="Times New Roman"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C6C624">
            <w:pPr>
              <w:jc w:val="center"/>
              <w:rPr>
                <w:rFonts w:hint="default" w:ascii="Times New Roman" w:hAnsi="Times New Roman" w:cs="宋体"/>
                <w:b/>
                <w:color w:val="000000"/>
                <w:sz w:val="20"/>
                <w:szCs w:val="20"/>
              </w:rPr>
            </w:pPr>
          </w:p>
        </w:tc>
      </w:tr>
      <w:tr w14:paraId="693803AE">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E7DCB">
            <w:pPr>
              <w:jc w:val="center"/>
              <w:rPr>
                <w:rFonts w:hint="default" w:ascii="Times New Roman" w:hAnsi="Times New Roman"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AF3E016">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F34BA8">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FCC8BA">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F1EF7B">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B52014">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66B920">
            <w:pPr>
              <w:jc w:val="center"/>
              <w:rPr>
                <w:rFonts w:hint="default" w:ascii="Times New Roman" w:hAnsi="Times New Roman"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0FD4A5">
            <w:pPr>
              <w:jc w:val="center"/>
              <w:rPr>
                <w:rFonts w:hint="default" w:ascii="Times New Roman" w:hAnsi="Times New Roman" w:cs="宋体"/>
                <w:b/>
                <w:color w:val="000000"/>
                <w:sz w:val="20"/>
                <w:szCs w:val="20"/>
              </w:rPr>
            </w:pPr>
          </w:p>
        </w:tc>
      </w:tr>
      <w:tr w14:paraId="006004E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3A899B">
            <w:pPr>
              <w:jc w:val="center"/>
              <w:rPr>
                <w:rFonts w:hint="default" w:ascii="Times New Roman" w:hAnsi="Times New Roman"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0327272">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F739C8">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A16DB8">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9DEAC0">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5D9F3A">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16389B">
            <w:pPr>
              <w:jc w:val="center"/>
              <w:rPr>
                <w:rFonts w:hint="default" w:ascii="Times New Roman" w:hAnsi="Times New Roman"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F43198">
            <w:pPr>
              <w:jc w:val="center"/>
              <w:rPr>
                <w:rFonts w:hint="default" w:ascii="Times New Roman" w:hAnsi="Times New Roman" w:cs="宋体"/>
                <w:b/>
                <w:color w:val="000000"/>
                <w:sz w:val="20"/>
                <w:szCs w:val="20"/>
              </w:rPr>
            </w:pPr>
          </w:p>
        </w:tc>
      </w:tr>
      <w:tr w14:paraId="341009F4">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A2336A">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BEA31">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515.63</w:t>
            </w:r>
            <w:r>
              <w:rPr>
                <w:rFonts w:ascii="Times New Roman" w:hAnsi="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5C854">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515.63</w:t>
            </w:r>
            <w:r>
              <w:rPr>
                <w:rFonts w:ascii="Times New Roman" w:hAnsi="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58437">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6D0C4">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3D13A">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5E65D">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r>
      <w:tr w14:paraId="7961D74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4BAE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D0B2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C0F79">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76.31</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F3591">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76.31</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01D0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1902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5CE2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3F28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7E38453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6C0E4">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FB84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1149C">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76.31</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ED8B5">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76.31</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4B0A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F0D9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6095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6085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14EEB6E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5703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159B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FB3E4">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4.60</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618B1">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4.60</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EB80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9E19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DFC3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BDE2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3B060BB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7FDF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9C1D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704F7">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30.55</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69ABC">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30.55</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EFFF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D3B8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BAF4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33B6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6FD2CD8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3384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86EF2">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541FD">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41.16</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CB851">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41.16</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34B3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F984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558F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D25E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C21C6C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8C65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EEB70">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BFA24">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22.83</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D218D">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22.83</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A3F5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BB8C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0108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5075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526541E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7B3D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8FEB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9C76B">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22.83</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F4685">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22.83</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7FC8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98B2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B93B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4E49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0567760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F8C9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43DA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1914C">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18.13</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B3196">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18.13</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5769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F738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6C04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B858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7ED1CB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8C94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BD5F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EA32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4.70</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0AFB6">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4.70</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DAC6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C915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21D2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FBB7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54E0393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3722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1F040">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A92EB">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393.59</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52775">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393.59</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2F08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D167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F325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04FC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150269D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47D6">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C4483">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自然生态保护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5031D">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393.59</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1885B">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393.59</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4884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78FC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5435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8EB6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2814394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1A2B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72930">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生态保护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D4A93">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393.59</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95B86">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393.59</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FCD0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0D73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1890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C868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2F6C677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97F4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DC0C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F9CA5">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22.91</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05CCE">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22.91</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9D7C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8AFC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A90F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59BB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3E5B45F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AFCF6">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C2BE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2D39B">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22.91</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7891B">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22.91</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7BB7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A8B2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77EB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50E3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2E63CA0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E5F0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389D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A3051">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22.91</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5A24A">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22.91</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20E5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977E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3C7F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430A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bl>
    <w:p w14:paraId="338A1224">
      <w:pPr>
        <w:rPr>
          <w:rFonts w:hint="default" w:ascii="Times New Roman" w:hAnsi="Times New Roman" w:cs="宋体"/>
          <w:sz w:val="21"/>
          <w:szCs w:val="21"/>
        </w:rPr>
      </w:pPr>
      <w:r>
        <w:rPr>
          <w:rFonts w:ascii="Times New Roman" w:hAnsi="Times New Roman" w:cs="宋体"/>
          <w:sz w:val="20"/>
          <w:szCs w:val="20"/>
        </w:rPr>
        <w:t>备注：1.本表反映单位本年度各项支出情况。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1"/>
          <w:szCs w:val="21"/>
        </w:rPr>
        <w:br w:type="page"/>
      </w:r>
    </w:p>
    <w:p w14:paraId="008ACED4">
      <w:pPr>
        <w:rPr>
          <w:rFonts w:hint="default" w:ascii="Times New Roman" w:hAnsi="Times New Roman"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04050847">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D01F683">
            <w:pPr>
              <w:spacing w:line="40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财政拨款收入支出决算总表</w:t>
            </w:r>
          </w:p>
        </w:tc>
      </w:tr>
      <w:tr w14:paraId="7FE337CD">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55011097">
            <w:pPr>
              <w:spacing w:line="200" w:lineRule="exact"/>
              <w:rPr>
                <w:rFonts w:hint="default" w:ascii="Times New Roman" w:hAnsi="Times New Roman" w:cs="宋体"/>
                <w:color w:val="000000"/>
                <w:sz w:val="18"/>
                <w:szCs w:val="18"/>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u w:color="auto"/>
              </w:rPr>
              <w:t>重庆市石柱土家族自治县生态环境监测站</w:t>
            </w:r>
          </w:p>
        </w:tc>
        <w:tc>
          <w:tcPr>
            <w:tcW w:w="577" w:type="pct"/>
            <w:tcBorders>
              <w:top w:val="nil"/>
              <w:left w:val="nil"/>
              <w:bottom w:val="nil"/>
              <w:right w:val="nil"/>
            </w:tcBorders>
            <w:shd w:val="clear" w:color="auto" w:fill="auto"/>
            <w:noWrap/>
            <w:tcMar>
              <w:top w:w="15" w:type="dxa"/>
              <w:left w:w="15" w:type="dxa"/>
              <w:right w:w="15" w:type="dxa"/>
            </w:tcMar>
            <w:vAlign w:val="bottom"/>
          </w:tcPr>
          <w:p w14:paraId="74E408BA">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2B48E52">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D1E9987">
            <w:pPr>
              <w:spacing w:line="200" w:lineRule="exact"/>
              <w:rPr>
                <w:rFonts w:hint="default" w:ascii="Times New Roman" w:hAnsi="Times New Roman"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64D0CA1">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公开04表</w:t>
            </w:r>
          </w:p>
        </w:tc>
      </w:tr>
      <w:tr w14:paraId="64E25323">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5E00DD8A">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8D3D26C">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D6F2DB2">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F1CC3A8">
            <w:pPr>
              <w:spacing w:line="200" w:lineRule="exact"/>
              <w:rPr>
                <w:rFonts w:hint="default" w:ascii="Times New Roman" w:hAnsi="Times New Roman"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4B07490">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6EB3B2EA">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5CE4A">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F1AB6">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支     出</w:t>
            </w:r>
          </w:p>
        </w:tc>
      </w:tr>
      <w:tr w14:paraId="6E6BCF5C">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231AEC">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A3F824">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F62A60">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CAA4B2">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决算数</w:t>
            </w:r>
          </w:p>
        </w:tc>
      </w:tr>
      <w:tr w14:paraId="6F514E87">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B45D16">
            <w:pPr>
              <w:spacing w:line="200" w:lineRule="exact"/>
              <w:jc w:val="center"/>
              <w:rPr>
                <w:rFonts w:hint="default" w:ascii="Times New Roman" w:hAnsi="Times New Roman"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273A2D">
            <w:pPr>
              <w:spacing w:line="200" w:lineRule="exact"/>
              <w:jc w:val="center"/>
              <w:rPr>
                <w:rFonts w:hint="default" w:ascii="Times New Roman" w:hAnsi="Times New Roman"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AEA31C">
            <w:pPr>
              <w:spacing w:line="200" w:lineRule="exact"/>
              <w:jc w:val="center"/>
              <w:rPr>
                <w:rFonts w:hint="default" w:ascii="Times New Roman" w:hAnsi="Times New Roman"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23A5F">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148B8D">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EE9DC9">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64F71C">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国有资本经营预算财政拨款</w:t>
            </w:r>
          </w:p>
        </w:tc>
      </w:tr>
      <w:tr w14:paraId="4C6ABD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BC48A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53FF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515.63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21F27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1725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88AD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FE66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B47F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1BD0C74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9E84D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F088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30E97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4C8C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128C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BACB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540B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510E09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50E2B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6C45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74DCA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22F8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05A0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3F3F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8E3B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7B3DB6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51809E">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B234FC">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62BE4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7E45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D3CE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60C6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8BD1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1A0E36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CF360">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F857EA">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134C3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0249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C4CD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9FBD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98DC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63E4461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73EC35">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3AF247">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A25DA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178B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EB1F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D0D6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22F4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40DACA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05248B">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5B85F4">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0C81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D518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BF7C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F508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B1F0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649DFA7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2E7EE8">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3C3ADE">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D368D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551B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76.31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490C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76.31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B4BD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5955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5EC6F86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5E0B66">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E00251">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69CC6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754A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22.83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31F1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22.83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E0FB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EF8C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2491DCD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82F29">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20A7A">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B1A94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27B3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393.59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EC12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393.59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A3DE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3972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1C6C9FE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CBACB2">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66804">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F0DD6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E7A0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DA43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47E6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30E9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7CB651A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08D60B">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D0011">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664F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0FDB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8B3D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B616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4316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3A44BDC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AFBD1">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0740A">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2524D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ED85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2D1F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94F1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1C49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421039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66C918">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83AD6">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1AFC7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FDD9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96F7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D096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C342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7D3F48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F7E32E">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ED8E3">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69F8C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404B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F991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E728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1B56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200A1FF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C466C1">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1FD13">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1B3F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BAD7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89CC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B489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AFBE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4E00576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B620EE">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84E3E">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A290D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74B5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8B2B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0DF6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DE77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58C593F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66F93">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0833C">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9751A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37E6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9044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3DA5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D47E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15FCE9B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AE78D8">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03C82">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7769B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6B76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22.91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30F5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22.91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A3CE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33F6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52F2FA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8065B">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2B776">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B7C37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943C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687E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7A94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BABA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1E88EE4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C2715">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6796E">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5C6CC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52FE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AAC1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68DF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F23D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2A3A55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902447">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49859">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883D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4FFB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C4DE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6E88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780B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4F5189D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5E0D17">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7D562">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0EA4C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422E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B944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3C04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1424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3F3046A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72951DC">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589B8">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18440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FF8C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C752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D6A8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79A6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3DC2BC7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EA33BF0">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FEADD">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0D011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0BFE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EC9C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646E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B4B3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1111436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ACB2688">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71FBC">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1126D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5439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4552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BE00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6D52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14FC98A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F692D">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A14D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515.63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15FBA">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DCE8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515.63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5AE1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515.63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CB04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5CF9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28E42F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F54DF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9900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41170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4A12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1BCB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CEF0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D08F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447F223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1127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4329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9C5EBE3">
            <w:pPr>
              <w:spacing w:line="200" w:lineRule="exac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88FEA9">
            <w:pPr>
              <w:spacing w:line="200" w:lineRule="exac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65E209">
            <w:pPr>
              <w:spacing w:line="200" w:lineRule="exac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108049">
            <w:pPr>
              <w:spacing w:line="200" w:lineRule="exact"/>
              <w:rPr>
                <w:rFonts w:hint="default" w:ascii="Times New Roman" w:hAnsi="Times New Roman"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B25EEF">
            <w:pPr>
              <w:spacing w:line="200" w:lineRule="exact"/>
              <w:rPr>
                <w:rFonts w:hint="default" w:ascii="Times New Roman" w:hAnsi="Times New Roman" w:cs="宋体"/>
                <w:color w:val="000000"/>
                <w:sz w:val="18"/>
                <w:szCs w:val="18"/>
              </w:rPr>
            </w:pPr>
          </w:p>
        </w:tc>
      </w:tr>
      <w:tr w14:paraId="0064279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DCCA4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902C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9C67C9">
            <w:pPr>
              <w:spacing w:line="200" w:lineRule="exact"/>
              <w:jc w:val="center"/>
              <w:rPr>
                <w:rFonts w:hint="default" w:ascii="Times New Roman" w:hAnsi="Times New Roman"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C5D97">
            <w:pPr>
              <w:spacing w:line="200" w:lineRule="exact"/>
              <w:jc w:val="righ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F9B26">
            <w:pPr>
              <w:spacing w:line="200" w:lineRule="exact"/>
              <w:jc w:val="righ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2423A">
            <w:pPr>
              <w:spacing w:line="200" w:lineRule="exact"/>
              <w:jc w:val="right"/>
              <w:rPr>
                <w:rFonts w:hint="default" w:ascii="Times New Roman" w:hAnsi="Times New Roman"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9C5E8">
            <w:pPr>
              <w:spacing w:line="200" w:lineRule="exact"/>
              <w:jc w:val="right"/>
              <w:rPr>
                <w:rFonts w:hint="default" w:ascii="Times New Roman" w:hAnsi="Times New Roman" w:cs="宋体"/>
                <w:color w:val="000000"/>
                <w:sz w:val="18"/>
                <w:szCs w:val="18"/>
              </w:rPr>
            </w:pPr>
          </w:p>
        </w:tc>
      </w:tr>
      <w:tr w14:paraId="11690B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2966E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1A37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AE47D6">
            <w:pPr>
              <w:spacing w:line="200" w:lineRule="exact"/>
              <w:jc w:val="center"/>
              <w:rPr>
                <w:rFonts w:hint="default" w:ascii="Times New Roman" w:hAnsi="Times New Roman"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BD7DB">
            <w:pPr>
              <w:spacing w:line="200" w:lineRule="exact"/>
              <w:jc w:val="righ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58DC6">
            <w:pPr>
              <w:spacing w:line="200" w:lineRule="exact"/>
              <w:jc w:val="righ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74696">
            <w:pPr>
              <w:spacing w:line="200" w:lineRule="exact"/>
              <w:jc w:val="right"/>
              <w:rPr>
                <w:rFonts w:hint="default" w:ascii="Times New Roman" w:hAnsi="Times New Roman"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FBF17">
            <w:pPr>
              <w:spacing w:line="200" w:lineRule="exact"/>
              <w:jc w:val="right"/>
              <w:rPr>
                <w:rFonts w:hint="default" w:ascii="Times New Roman" w:hAnsi="Times New Roman" w:cs="宋体"/>
                <w:color w:val="000000"/>
                <w:sz w:val="18"/>
                <w:szCs w:val="18"/>
              </w:rPr>
            </w:pPr>
          </w:p>
        </w:tc>
      </w:tr>
      <w:tr w14:paraId="2868C57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6D04A">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D079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515.63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AE1E1">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0038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515.63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7EF6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515.63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DB57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1087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bl>
    <w:p w14:paraId="409F5784">
      <w:pPr>
        <w:spacing w:line="240" w:lineRule="exact"/>
        <w:rPr>
          <w:rFonts w:hint="default" w:ascii="Times New Roman" w:hAnsi="Times New Roman" w:cs="宋体"/>
          <w:sz w:val="20"/>
          <w:szCs w:val="20"/>
        </w:rPr>
      </w:pPr>
      <w:r>
        <w:rPr>
          <w:rFonts w:ascii="Times New Roman" w:hAnsi="Times New Roman" w:cs="宋体"/>
          <w:sz w:val="20"/>
          <w:szCs w:val="20"/>
        </w:rPr>
        <w:t>备注：1.本表反映单位本年度一般公共预算财政拨款、政府性基金预算财政拨款及国有资本经营预算财政拨款的总收支和年末结转结余情况。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r>
        <w:rPr>
          <w:rFonts w:ascii="Times New Roman" w:hAnsi="Times New Roman"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68E8F410">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202A7E9">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一般公共预算财政拨款支出决算表</w:t>
            </w:r>
          </w:p>
        </w:tc>
      </w:tr>
      <w:tr w14:paraId="75938C02">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33A20696">
            <w:pP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u w:color="auto"/>
              </w:rPr>
              <w:t>重庆市石柱土家族自治县生态环境监测站</w:t>
            </w:r>
          </w:p>
        </w:tc>
        <w:tc>
          <w:tcPr>
            <w:tcW w:w="1079" w:type="pct"/>
            <w:tcBorders>
              <w:top w:val="nil"/>
              <w:left w:val="nil"/>
              <w:bottom w:val="nil"/>
              <w:right w:val="nil"/>
            </w:tcBorders>
            <w:shd w:val="clear" w:color="auto" w:fill="auto"/>
            <w:noWrap/>
            <w:tcMar>
              <w:top w:w="15" w:type="dxa"/>
              <w:left w:w="15" w:type="dxa"/>
              <w:right w:w="15" w:type="dxa"/>
            </w:tcMar>
            <w:vAlign w:val="bottom"/>
          </w:tcPr>
          <w:p w14:paraId="0A7CB091">
            <w:pPr>
              <w:rPr>
                <w:rFonts w:hint="default" w:ascii="Times New Roman" w:hAnsi="Times New Roman"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98ED9D7">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公开05表</w:t>
            </w:r>
          </w:p>
        </w:tc>
      </w:tr>
      <w:tr w14:paraId="7644EC7C">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3AC273CB">
            <w:pPr>
              <w:rPr>
                <w:rFonts w:hint="default" w:ascii="Times New Roman" w:hAnsi="Times New Roman"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3A0C84D9">
            <w:pPr>
              <w:rPr>
                <w:rFonts w:hint="default" w:ascii="Times New Roman" w:hAnsi="Times New Roman"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7C89B3E">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6DF00A46">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EB7052">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CDA1A76">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r>
      <w:tr w14:paraId="06321C23">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51DA35">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56677F">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891704">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2595AA">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FFD3BC">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r>
      <w:tr w14:paraId="50975254">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F21A35">
            <w:pPr>
              <w:jc w:val="center"/>
              <w:rPr>
                <w:rFonts w:hint="default" w:ascii="Times New Roman" w:hAnsi="Times New Roman"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532642">
            <w:pPr>
              <w:jc w:val="center"/>
              <w:rPr>
                <w:rFonts w:hint="default" w:ascii="Times New Roman" w:hAnsi="Times New Roman"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A1082D">
            <w:pPr>
              <w:jc w:val="center"/>
              <w:rPr>
                <w:rFonts w:hint="default" w:ascii="Times New Roman" w:hAnsi="Times New Roman"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921196">
            <w:pPr>
              <w:jc w:val="center"/>
              <w:rPr>
                <w:rFonts w:hint="default" w:ascii="Times New Roman" w:hAnsi="Times New Roman"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5B0E3E">
            <w:pPr>
              <w:jc w:val="center"/>
              <w:rPr>
                <w:rFonts w:hint="default" w:ascii="Times New Roman" w:hAnsi="Times New Roman" w:cs="宋体"/>
                <w:b/>
                <w:color w:val="000000"/>
                <w:sz w:val="20"/>
                <w:szCs w:val="20"/>
              </w:rPr>
            </w:pPr>
          </w:p>
        </w:tc>
      </w:tr>
      <w:tr w14:paraId="63444A94">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78D76E">
            <w:pPr>
              <w:jc w:val="center"/>
              <w:rPr>
                <w:rFonts w:hint="default" w:ascii="Times New Roman" w:hAnsi="Times New Roman"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1FC558">
            <w:pPr>
              <w:jc w:val="center"/>
              <w:rPr>
                <w:rFonts w:hint="default" w:ascii="Times New Roman" w:hAnsi="Times New Roman"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4A444B">
            <w:pPr>
              <w:jc w:val="center"/>
              <w:rPr>
                <w:rFonts w:hint="default" w:ascii="Times New Roman" w:hAnsi="Times New Roman"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D43EA1">
            <w:pPr>
              <w:jc w:val="center"/>
              <w:rPr>
                <w:rFonts w:hint="default" w:ascii="Times New Roman" w:hAnsi="Times New Roman"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A9D681">
            <w:pPr>
              <w:jc w:val="center"/>
              <w:rPr>
                <w:rFonts w:hint="default" w:ascii="Times New Roman" w:hAnsi="Times New Roman" w:cs="宋体"/>
                <w:b/>
                <w:color w:val="000000"/>
                <w:sz w:val="20"/>
                <w:szCs w:val="20"/>
              </w:rPr>
            </w:pPr>
          </w:p>
        </w:tc>
      </w:tr>
      <w:tr w14:paraId="7B997885">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252CDB">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3E8E5">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515.63</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6635E">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515.63</w:t>
            </w:r>
            <w:r>
              <w:rPr>
                <w:rFonts w:ascii="Times New Roman" w:hAnsi="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229F0">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r>
      <w:tr w14:paraId="0E49496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8444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6B62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FA759">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76.31</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2EF4C">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76.31</w:t>
            </w:r>
            <w:r>
              <w:rPr>
                <w:rFonts w:ascii="Times New Roman" w:hAnsi="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9E2E9">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6D0B87D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FBB8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1DE9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469C3">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76.31</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3E084">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76.31</w:t>
            </w:r>
            <w:r>
              <w:rPr>
                <w:rFonts w:ascii="Times New Roman" w:hAnsi="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9EC65">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33CAA0C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077B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2787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6231A">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4.60</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2E025">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4.60</w:t>
            </w: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7D371">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2761ABB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AF53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E9FF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24EF5">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30.55</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07926">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30.55</w:t>
            </w: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0D3E7">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229E670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1916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08F50">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E0B01">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41.16</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F0346">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41.16</w:t>
            </w: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E9B15">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23C3FE9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F56D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8CCB3">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5B221">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22.83</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F2EEC">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22.83</w:t>
            </w:r>
            <w:r>
              <w:rPr>
                <w:rFonts w:ascii="Times New Roman" w:hAnsi="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C15B1">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001318B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62C7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9F3D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006C9">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22.83</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86FF6">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22.83</w:t>
            </w:r>
            <w:r>
              <w:rPr>
                <w:rFonts w:ascii="Times New Roman" w:hAnsi="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562B9">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2E7B9E0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582C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C234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7F900">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18.13</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87B24">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18.13</w:t>
            </w: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09218">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227E43F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10E7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F4A0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1D8F7">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4.70</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FB0E9">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4.70</w:t>
            </w: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9221C">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2E7B7A0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36D6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9C23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4BF16">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393.59</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94B5C">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393.59</w:t>
            </w:r>
            <w:r>
              <w:rPr>
                <w:rFonts w:ascii="Times New Roman" w:hAnsi="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CCD91">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3E7AB61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5D32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9440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自然生态保护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663F2">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393.59</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D2D67">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393.59</w:t>
            </w:r>
            <w:r>
              <w:rPr>
                <w:rFonts w:ascii="Times New Roman" w:hAnsi="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D1228">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56A71D4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365F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13BE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生态保护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A9A54">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393.59</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915B4">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393.59</w:t>
            </w: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5E088">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289A061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B5BC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B6AF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D92CC">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22.91</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FE999">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22.91</w:t>
            </w:r>
            <w:r>
              <w:rPr>
                <w:rFonts w:ascii="Times New Roman" w:hAnsi="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1EC1F">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1F90547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2911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6D044">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26AF0">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22.91</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3E41A">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22.91</w:t>
            </w:r>
            <w:r>
              <w:rPr>
                <w:rFonts w:ascii="Times New Roman" w:hAnsi="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EB979">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19D2A9C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E300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D769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83616">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22.91</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F326D">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22.91</w:t>
            </w: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E7E0F">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bl>
    <w:p w14:paraId="5D2FDE95">
      <w:pPr>
        <w:rPr>
          <w:rFonts w:hint="default" w:ascii="Times New Roman" w:hAnsi="Times New Roman" w:cs="宋体"/>
          <w:sz w:val="21"/>
          <w:szCs w:val="21"/>
        </w:rPr>
      </w:pPr>
      <w:r>
        <w:rPr>
          <w:rFonts w:ascii="Times New Roman" w:hAnsi="Times New Roman" w:cs="宋体"/>
          <w:sz w:val="20"/>
          <w:szCs w:val="20"/>
        </w:rPr>
        <w:t>备注：1.本表反映单位本年度一般公共预算财政拨款支出情况。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14:paraId="7632EFAF">
      <w:pPr>
        <w:ind w:firstLine="630" w:firstLineChars="300"/>
        <w:rPr>
          <w:rFonts w:hint="default" w:ascii="Times New Roman" w:hAnsi="Times New Roman" w:cs="宋体"/>
          <w:sz w:val="21"/>
          <w:szCs w:val="21"/>
        </w:rPr>
      </w:pPr>
      <w:r>
        <w:rPr>
          <w:rFonts w:ascii="Times New Roman" w:hAnsi="Times New Roman"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17EB2653">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34085A9">
            <w:pPr>
              <w:spacing w:line="44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一般公共预算财政拨款基本支出决算表</w:t>
            </w:r>
          </w:p>
        </w:tc>
      </w:tr>
      <w:tr w14:paraId="04379E13">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526EB46C">
            <w:pPr>
              <w:spacing w:line="200" w:lineRule="exact"/>
              <w:rPr>
                <w:rFonts w:hint="default" w:ascii="Times New Roman" w:hAnsi="Times New Roman" w:cs="宋体"/>
                <w:color w:val="000000"/>
                <w:sz w:val="18"/>
                <w:szCs w:val="18"/>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u w:color="auto"/>
              </w:rPr>
              <w:t>重庆市石柱土家族自治县生态环境监测站</w:t>
            </w:r>
          </w:p>
        </w:tc>
        <w:tc>
          <w:tcPr>
            <w:tcW w:w="626" w:type="pct"/>
            <w:tcBorders>
              <w:top w:val="nil"/>
              <w:left w:val="nil"/>
              <w:bottom w:val="nil"/>
              <w:right w:val="nil"/>
            </w:tcBorders>
            <w:shd w:val="clear" w:color="auto" w:fill="auto"/>
            <w:noWrap/>
            <w:tcMar>
              <w:top w:w="15" w:type="dxa"/>
              <w:left w:w="15" w:type="dxa"/>
              <w:right w:w="15" w:type="dxa"/>
            </w:tcMar>
            <w:vAlign w:val="bottom"/>
          </w:tcPr>
          <w:p w14:paraId="289B2DD0">
            <w:pPr>
              <w:spacing w:line="200" w:lineRule="exact"/>
              <w:rPr>
                <w:rFonts w:hint="default" w:ascii="Times New Roman" w:hAnsi="Times New Roman"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F455A57">
            <w:pPr>
              <w:spacing w:line="200" w:lineRule="exact"/>
              <w:rPr>
                <w:rFonts w:hint="default" w:ascii="Times New Roman" w:hAnsi="Times New Roman"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A39998E">
            <w:pPr>
              <w:spacing w:line="200" w:lineRule="exact"/>
              <w:rPr>
                <w:rFonts w:hint="default" w:ascii="Times New Roman" w:hAnsi="Times New Roman"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C737883">
            <w:pPr>
              <w:spacing w:line="200" w:lineRule="exact"/>
              <w:rPr>
                <w:rFonts w:hint="default" w:ascii="Times New Roman" w:hAnsi="Times New Roman"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E25ED48">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公开06表</w:t>
            </w:r>
          </w:p>
        </w:tc>
      </w:tr>
      <w:tr w14:paraId="15166056">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231876FD">
            <w:pPr>
              <w:spacing w:line="200" w:lineRule="exact"/>
              <w:rPr>
                <w:rFonts w:hint="default" w:ascii="Times New Roman" w:hAnsi="Times New Roman"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5F337267">
            <w:pPr>
              <w:spacing w:line="200" w:lineRule="exact"/>
              <w:rPr>
                <w:rFonts w:hint="default" w:ascii="Times New Roman" w:hAnsi="Times New Roman"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E937799">
            <w:pPr>
              <w:spacing w:line="200" w:lineRule="exact"/>
              <w:rPr>
                <w:rFonts w:hint="default" w:ascii="Times New Roman" w:hAnsi="Times New Roman"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354E610">
            <w:pPr>
              <w:spacing w:line="200" w:lineRule="exact"/>
              <w:rPr>
                <w:rFonts w:hint="default" w:ascii="Times New Roman" w:hAnsi="Times New Roman"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0D265A0">
            <w:pPr>
              <w:spacing w:line="200" w:lineRule="exact"/>
              <w:rPr>
                <w:rFonts w:hint="default" w:ascii="Times New Roman" w:hAnsi="Times New Roman"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D27DC11">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056A8474">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A0456A">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B430700">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公用经费</w:t>
            </w:r>
          </w:p>
        </w:tc>
      </w:tr>
      <w:tr w14:paraId="4EBEF12F">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992796">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D08A7F">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1D7CF1">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7F6E09">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EACDD8">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28C87A">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155C7E">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B1D41C">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6C69A4">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r>
      <w:tr w14:paraId="2689B60B">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A96E67">
            <w:pPr>
              <w:spacing w:line="200" w:lineRule="exact"/>
              <w:jc w:val="center"/>
              <w:rPr>
                <w:rFonts w:hint="default" w:ascii="Times New Roman" w:hAnsi="Times New Roman"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EA0A0D">
            <w:pPr>
              <w:spacing w:line="200" w:lineRule="exact"/>
              <w:jc w:val="center"/>
              <w:rPr>
                <w:rFonts w:hint="default" w:ascii="Times New Roman" w:hAnsi="Times New Roman"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D4CC90">
            <w:pPr>
              <w:spacing w:line="200" w:lineRule="exact"/>
              <w:jc w:val="center"/>
              <w:rPr>
                <w:rFonts w:hint="default" w:ascii="Times New Roman" w:hAnsi="Times New Roman"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E10D04">
            <w:pPr>
              <w:spacing w:line="200" w:lineRule="exact"/>
              <w:jc w:val="center"/>
              <w:rPr>
                <w:rFonts w:hint="default" w:ascii="Times New Roman" w:hAnsi="Times New Roman"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AA37DC">
            <w:pPr>
              <w:spacing w:line="200" w:lineRule="exact"/>
              <w:jc w:val="center"/>
              <w:rPr>
                <w:rFonts w:hint="default" w:ascii="Times New Roman" w:hAnsi="Times New Roman"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223F4E">
            <w:pPr>
              <w:spacing w:line="200" w:lineRule="exact"/>
              <w:jc w:val="center"/>
              <w:rPr>
                <w:rFonts w:hint="default" w:ascii="Times New Roman" w:hAnsi="Times New Roman"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7185A1">
            <w:pPr>
              <w:spacing w:line="200" w:lineRule="exact"/>
              <w:jc w:val="center"/>
              <w:rPr>
                <w:rFonts w:hint="default" w:ascii="Times New Roman" w:hAnsi="Times New Roman"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7837E7">
            <w:pPr>
              <w:spacing w:line="200" w:lineRule="exact"/>
              <w:jc w:val="center"/>
              <w:rPr>
                <w:rFonts w:hint="default" w:ascii="Times New Roman" w:hAnsi="Times New Roman"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70C834">
            <w:pPr>
              <w:spacing w:line="200" w:lineRule="exact"/>
              <w:jc w:val="center"/>
              <w:rPr>
                <w:rFonts w:hint="default" w:ascii="Times New Roman" w:hAnsi="Times New Roman" w:cs="宋体"/>
                <w:b/>
                <w:color w:val="000000"/>
                <w:sz w:val="18"/>
                <w:szCs w:val="18"/>
              </w:rPr>
            </w:pPr>
          </w:p>
        </w:tc>
      </w:tr>
      <w:tr w14:paraId="11E2F2F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C7B3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5B829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FAF0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437.98</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160E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743B9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4BD4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72.56</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B4875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D154F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BBE8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75A39EC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C7178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DF0D5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5DE3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93.39</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FCFFD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76FCD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3AFF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25.58</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CD462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CB2CE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1F45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3332DCB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0F96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B98B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25C2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19.62</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E4F2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BA4E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4DAA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2.99</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E34F0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2C66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AF45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63D18B1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883DF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DEEB4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5E9F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5F643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25D17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29AC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DDAE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92832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F4E7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396E22B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7A62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47298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E3C1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CD30A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3C721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5476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034A3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3988F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C2D1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375E0B2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1EE9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79FA8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694C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204.72</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5439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DE13D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EA88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0.18</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55430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3362F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18D7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443A49B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EF5F7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8295A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5FDF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30.55</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70C9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D4AF8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3343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2.86</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A82F1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5095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0B0C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7310B37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B291D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6A5DC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E1BD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41.16</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3594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1C96D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7B96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0.99</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418F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62C61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1BB7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14B94ED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3D9E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039DC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CC1B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19.08</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BE1A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2D784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1964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8D96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4CB4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694C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67A7941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4B833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489C2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351D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2F94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6AE8E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46F4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2.00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810F5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2F015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E8CB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683524B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E770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D3BC8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5F2B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2.35</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3F44B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B2F0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E51B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10.42</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8CE3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042FC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A3D9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75DFA74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B81D4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C1129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B0F6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22.91</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E5FAB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A550B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0C6E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A9CFF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581B6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C58F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72A09ED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723F9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370B8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C887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4.20</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ABAE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D1FEA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73F1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2.00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079DA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36804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57B0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76C485B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CDF48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2F81F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A35C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48938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0513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21F1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CB679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702DB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68E2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4695E93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A9841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A3E09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821D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5.10</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20C5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61685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792D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4.00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7D36D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002C8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B309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715E1B3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5B348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400B6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44A2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1273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B0DEA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E391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1.00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10F64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0093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F03E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034027F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53A68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64CF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1808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E35E4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BBABD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56D1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2.00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C4B21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C3A30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7C91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478E07F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6833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CCEEF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BBD9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C5FB2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EAE3E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D4FC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5.00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D6E1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9C88C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65CB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5DE7784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5F72F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941A1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F56F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7E58F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9FB98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8414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17CF8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6DBAC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D1B0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796067B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31903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A12A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F9E0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4.60</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6099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A214F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DFDD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45E76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C1C98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D85E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5303094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D782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6D82D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0CC0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B67C7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A81FC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0DD6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2.42</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A3298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636F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46D5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50082B7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CF05A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E76C6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1077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0.50</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4345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0D6D4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CEAB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5B719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7107F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8C9C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06AA7F5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5FDD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854BE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DEA4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F554F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BA277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36C6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3.56</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3521C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1B94D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A4EC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57F9374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BF7D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81EE1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0814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EC095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97618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77F1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0ECC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84347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6932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2EA4549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67F45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C99F3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5383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DBCEC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2BA15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E57F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2C61F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BCE5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8E2F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65ECA2A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745B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3147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49C6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FF56A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45E8E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DBDE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2.00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666A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B4A3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81AB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6AAEDC2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CD6B1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56CF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DFB8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DEA2E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479B8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11F1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D609C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BA0A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E35A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52E3F62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538D09">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AB41D6">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170C62">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AEF2A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16768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36E3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5.55</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4161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5C55E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BBD7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1BA5915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2E1B79">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150B4E">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7E7827">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4B470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EBD1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5233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26EFD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80F00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26AD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0DD87A3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FBC664">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1457F8">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EB30F6">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B0730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6CE1D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D3B1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0B630B">
            <w:pPr>
              <w:spacing w:line="200" w:lineRule="exact"/>
              <w:rPr>
                <w:rFonts w:hint="default" w:ascii="Times New Roman" w:hAnsi="Times New Roman"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53821">
            <w:pPr>
              <w:spacing w:line="200" w:lineRule="exact"/>
              <w:rPr>
                <w:rFonts w:hint="default" w:ascii="Times New Roman" w:hAnsi="Times New Roman"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CB103">
            <w:pPr>
              <w:spacing w:line="200" w:lineRule="exact"/>
              <w:jc w:val="right"/>
              <w:rPr>
                <w:rFonts w:hint="default" w:ascii="Times New Roman" w:hAnsi="Times New Roman" w:cs="宋体"/>
                <w:color w:val="000000"/>
                <w:sz w:val="18"/>
                <w:szCs w:val="18"/>
              </w:rPr>
            </w:pPr>
          </w:p>
        </w:tc>
      </w:tr>
      <w:tr w14:paraId="5D398BA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D0B99">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E54FF">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AB912C">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4B340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354A2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8B9B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F2881">
            <w:pPr>
              <w:spacing w:line="200" w:lineRule="exact"/>
              <w:rPr>
                <w:rFonts w:hint="default" w:ascii="Times New Roman" w:hAnsi="Times New Roman"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4551C1">
            <w:pPr>
              <w:spacing w:line="200" w:lineRule="exact"/>
              <w:rPr>
                <w:rFonts w:hint="default" w:ascii="Times New Roman" w:hAnsi="Times New Roman"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11550">
            <w:pPr>
              <w:spacing w:line="200" w:lineRule="exact"/>
              <w:jc w:val="right"/>
              <w:rPr>
                <w:rFonts w:hint="default" w:ascii="Times New Roman" w:hAnsi="Times New Roman" w:cs="宋体"/>
                <w:color w:val="000000"/>
                <w:sz w:val="18"/>
                <w:szCs w:val="18"/>
              </w:rPr>
            </w:pPr>
          </w:p>
        </w:tc>
      </w:tr>
      <w:tr w14:paraId="756FA8B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BF3888">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43568">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6FBA56">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5E51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797AF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BF91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5159E0">
            <w:pPr>
              <w:spacing w:line="200" w:lineRule="exact"/>
              <w:rPr>
                <w:rFonts w:hint="default" w:ascii="Times New Roman" w:hAnsi="Times New Roman"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2EB3CA">
            <w:pPr>
              <w:spacing w:line="200" w:lineRule="exact"/>
              <w:rPr>
                <w:rFonts w:hint="default" w:ascii="Times New Roman" w:hAnsi="Times New Roman"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4E09B">
            <w:pPr>
              <w:spacing w:line="200" w:lineRule="exact"/>
              <w:jc w:val="right"/>
              <w:rPr>
                <w:rFonts w:hint="default" w:ascii="Times New Roman" w:hAnsi="Times New Roman" w:cs="宋体"/>
                <w:color w:val="000000"/>
                <w:sz w:val="18"/>
                <w:szCs w:val="18"/>
              </w:rPr>
            </w:pPr>
          </w:p>
        </w:tc>
      </w:tr>
      <w:tr w14:paraId="34DB47E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48F142">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E9FBB3">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6EFD2F">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08C5A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3421D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4E9F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C1FD42">
            <w:pPr>
              <w:spacing w:line="200" w:lineRule="exact"/>
              <w:rPr>
                <w:rFonts w:hint="default" w:ascii="Times New Roman" w:hAnsi="Times New Roman"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63321A">
            <w:pPr>
              <w:spacing w:line="200" w:lineRule="exact"/>
              <w:rPr>
                <w:rFonts w:hint="default" w:ascii="Times New Roman" w:hAnsi="Times New Roman"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29EC2">
            <w:pPr>
              <w:spacing w:line="200" w:lineRule="exact"/>
              <w:jc w:val="right"/>
              <w:rPr>
                <w:rFonts w:hint="default" w:ascii="Times New Roman" w:hAnsi="Times New Roman" w:cs="宋体"/>
                <w:color w:val="000000"/>
                <w:sz w:val="18"/>
                <w:szCs w:val="18"/>
              </w:rPr>
            </w:pPr>
          </w:p>
        </w:tc>
      </w:tr>
      <w:tr w14:paraId="173C15E4">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D2D74E">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5814D9">
            <w:pPr>
              <w:wordWrap w:val="0"/>
              <w:spacing w:line="200" w:lineRule="exact"/>
              <w:jc w:val="right"/>
              <w:textAlignment w:val="bottom"/>
              <w:rPr>
                <w:rFonts w:hint="default" w:ascii="Times New Roman" w:hAnsi="Times New Roman" w:cs="宋体"/>
                <w:color w:val="000000"/>
                <w:sz w:val="18"/>
                <w:szCs w:val="18"/>
              </w:rPr>
            </w:pPr>
            <w:r>
              <w:rPr>
                <w:rFonts w:ascii="Times New Roman" w:hAnsi="Times New Roman" w:cs="宋体"/>
                <w:color w:val="000000"/>
                <w:sz w:val="18"/>
                <w:szCs w:val="18"/>
              </w:rPr>
              <w:t>443.08</w:t>
            </w:r>
            <w:r>
              <w:rPr>
                <w:rFonts w:ascii="Times New Roman" w:hAnsi="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5FF938">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E3A3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72.56</w:t>
            </w:r>
            <w:r>
              <w:rPr>
                <w:rFonts w:ascii="Times New Roman" w:hAnsi="Times New Roman"/>
                <w:color w:val="000000"/>
                <w:sz w:val="18"/>
                <w:u w:color="auto"/>
              </w:rPr>
              <w:t xml:space="preserve"> </w:t>
            </w:r>
          </w:p>
        </w:tc>
      </w:tr>
    </w:tbl>
    <w:p w14:paraId="347B35A4">
      <w:pPr>
        <w:spacing w:line="280" w:lineRule="exact"/>
        <w:rPr>
          <w:rFonts w:hint="default" w:ascii="Times New Roman" w:hAnsi="Times New Roman" w:cs="宋体"/>
          <w:sz w:val="20"/>
          <w:szCs w:val="20"/>
        </w:rPr>
      </w:pPr>
      <w:r>
        <w:rPr>
          <w:rFonts w:ascii="Times New Roman" w:hAnsi="Times New Roman" w:cs="宋体"/>
          <w:sz w:val="20"/>
          <w:szCs w:val="20"/>
        </w:rPr>
        <w:t>备注：1.本表反映单位本年度一般公共预算财政拨款基本支出明细情况。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r>
        <w:rPr>
          <w:rFonts w:ascii="Times New Roman" w:hAnsi="Times New Roman"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0DFBEFAC">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3BB58BA">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政府性基金预算财政拨款收入支出决算表</w:t>
            </w:r>
          </w:p>
        </w:tc>
      </w:tr>
      <w:tr w14:paraId="31A802ED">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58D27AAD">
            <w:pP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u w:color="auto"/>
              </w:rPr>
              <w:t>重庆市石柱土家族自治县生态环境监测站</w:t>
            </w:r>
          </w:p>
        </w:tc>
        <w:tc>
          <w:tcPr>
            <w:tcW w:w="555" w:type="pct"/>
            <w:tcBorders>
              <w:top w:val="nil"/>
              <w:left w:val="nil"/>
              <w:bottom w:val="nil"/>
              <w:right w:val="nil"/>
            </w:tcBorders>
            <w:shd w:val="clear" w:color="auto" w:fill="auto"/>
            <w:noWrap/>
            <w:tcMar>
              <w:top w:w="15" w:type="dxa"/>
              <w:left w:w="15" w:type="dxa"/>
              <w:right w:w="15" w:type="dxa"/>
            </w:tcMar>
            <w:vAlign w:val="bottom"/>
          </w:tcPr>
          <w:p w14:paraId="38C4EF96">
            <w:pP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B6A74FF">
            <w:pP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1F9E64D">
            <w:pPr>
              <w:rPr>
                <w:rFonts w:hint="default" w:ascii="Times New Roman" w:hAnsi="Times New Roman"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D8335B5">
            <w:pPr>
              <w:rPr>
                <w:rFonts w:hint="default" w:ascii="Times New Roman" w:hAnsi="Times New Roman"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677D5E9">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公开07表</w:t>
            </w:r>
          </w:p>
        </w:tc>
      </w:tr>
      <w:tr w14:paraId="352E2EBA">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05536A12">
            <w:pP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148CA1C">
            <w:pP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C284353">
            <w:pP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3B10D13">
            <w:pPr>
              <w:rPr>
                <w:rFonts w:hint="default" w:ascii="Times New Roman" w:hAnsi="Times New Roman"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F06F5FD">
            <w:pPr>
              <w:rPr>
                <w:rFonts w:hint="default" w:ascii="Times New Roman" w:hAnsi="Times New Roman"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E997E0C">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77299388">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37160D">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5DD7412">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B66734">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B1524B7">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F67F95">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年末结转和结余</w:t>
            </w:r>
          </w:p>
        </w:tc>
      </w:tr>
      <w:tr w14:paraId="6A207BEA">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510B71">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E70FDF">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3AE9E30">
            <w:pPr>
              <w:jc w:val="center"/>
              <w:rPr>
                <w:rFonts w:hint="default" w:ascii="Times New Roman" w:hAnsi="Times New Roman"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F7C5EE">
            <w:pPr>
              <w:jc w:val="center"/>
              <w:rPr>
                <w:rFonts w:hint="default" w:ascii="Times New Roman" w:hAnsi="Times New Roman"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944620">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0AD0C8">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A54DF1">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CF33A6">
            <w:pPr>
              <w:jc w:val="center"/>
              <w:rPr>
                <w:rFonts w:hint="default" w:ascii="Times New Roman" w:hAnsi="Times New Roman" w:cs="宋体"/>
                <w:b/>
                <w:color w:val="000000"/>
                <w:sz w:val="20"/>
                <w:szCs w:val="20"/>
              </w:rPr>
            </w:pPr>
          </w:p>
        </w:tc>
      </w:tr>
      <w:tr w14:paraId="564C45A4">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C00FCF">
            <w:pPr>
              <w:jc w:val="center"/>
              <w:rPr>
                <w:rFonts w:hint="default" w:ascii="Times New Roman" w:hAnsi="Times New Roman"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0CC305">
            <w:pPr>
              <w:jc w:val="center"/>
              <w:rPr>
                <w:rFonts w:hint="default" w:ascii="Times New Roman" w:hAnsi="Times New Roman"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D6338E6">
            <w:pPr>
              <w:jc w:val="center"/>
              <w:rPr>
                <w:rFonts w:hint="default" w:ascii="Times New Roman" w:hAnsi="Times New Roman"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AB62AF">
            <w:pPr>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0466A3">
            <w:pPr>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41F4C9">
            <w:pPr>
              <w:jc w:val="center"/>
              <w:rPr>
                <w:rFonts w:hint="default" w:ascii="Times New Roman" w:hAnsi="Times New Roman"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2E67C3">
            <w:pPr>
              <w:jc w:val="center"/>
              <w:rPr>
                <w:rFonts w:hint="default" w:ascii="Times New Roman" w:hAnsi="Times New Roman"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78AD82">
            <w:pPr>
              <w:jc w:val="center"/>
              <w:rPr>
                <w:rFonts w:hint="default" w:ascii="Times New Roman" w:hAnsi="Times New Roman" w:cs="宋体"/>
                <w:b/>
                <w:color w:val="000000"/>
                <w:sz w:val="20"/>
                <w:szCs w:val="20"/>
              </w:rPr>
            </w:pPr>
          </w:p>
        </w:tc>
      </w:tr>
      <w:tr w14:paraId="3FA5C5AB">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3415D5">
            <w:pPr>
              <w:jc w:val="center"/>
              <w:rPr>
                <w:rFonts w:hint="default" w:ascii="Times New Roman" w:hAnsi="Times New Roman"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6F6F0E">
            <w:pPr>
              <w:jc w:val="center"/>
              <w:rPr>
                <w:rFonts w:hint="default" w:ascii="Times New Roman" w:hAnsi="Times New Roman"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67896C7">
            <w:pPr>
              <w:jc w:val="center"/>
              <w:rPr>
                <w:rFonts w:hint="default" w:ascii="Times New Roman" w:hAnsi="Times New Roman"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346723">
            <w:pPr>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9CB7FA">
            <w:pPr>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A6E385">
            <w:pPr>
              <w:jc w:val="center"/>
              <w:rPr>
                <w:rFonts w:hint="default" w:ascii="Times New Roman" w:hAnsi="Times New Roman"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93FB42">
            <w:pPr>
              <w:jc w:val="center"/>
              <w:rPr>
                <w:rFonts w:hint="default" w:ascii="Times New Roman" w:hAnsi="Times New Roman"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282503">
            <w:pPr>
              <w:jc w:val="center"/>
              <w:rPr>
                <w:rFonts w:hint="default" w:ascii="Times New Roman" w:hAnsi="Times New Roman" w:cs="宋体"/>
                <w:b/>
                <w:color w:val="000000"/>
                <w:sz w:val="20"/>
                <w:szCs w:val="20"/>
              </w:rPr>
            </w:pPr>
          </w:p>
        </w:tc>
      </w:tr>
      <w:tr w14:paraId="43BBC2AF">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1F644A">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3878C">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543B5">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70443">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1971E">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3D2A4">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7C708">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r>
    </w:tbl>
    <w:p w14:paraId="16143511">
      <w:pPr>
        <w:rPr>
          <w:rFonts w:hint="default" w:ascii="Times New Roman" w:hAnsi="Times New Roman" w:cs="宋体"/>
          <w:sz w:val="21"/>
          <w:szCs w:val="21"/>
        </w:rPr>
      </w:pPr>
      <w:r>
        <w:rPr>
          <w:rFonts w:ascii="Times New Roman" w:hAnsi="Times New Roman" w:cs="宋体"/>
          <w:sz w:val="20"/>
          <w:szCs w:val="20"/>
        </w:rPr>
        <w:t>备注：本表反映单位本年度政府性基金预算财政拨款收入支出及结转和结余情况。本单位无政府性基金收支，故本表无数据。</w:t>
      </w:r>
      <w:r>
        <w:rPr>
          <w:rFonts w:ascii="Times New Roman" w:hAnsi="Times New Roman" w:cs="宋体"/>
          <w:sz w:val="20"/>
          <w:szCs w:val="20"/>
        </w:rPr>
        <w:br w:type="textWrapping"/>
      </w:r>
      <w:r>
        <w:rPr>
          <w:rFonts w:ascii="Times New Roman" w:hAnsi="Times New Roman" w:cs="宋体"/>
          <w:sz w:val="20"/>
          <w:szCs w:val="20"/>
        </w:rPr>
        <w:br w:type="textWrapping"/>
      </w:r>
    </w:p>
    <w:p w14:paraId="14AC3CCD">
      <w:pPr>
        <w:rPr>
          <w:rFonts w:hint="default" w:ascii="Times New Roman" w:hAnsi="Times New Roman" w:cs="宋体"/>
          <w:sz w:val="21"/>
          <w:szCs w:val="21"/>
        </w:rPr>
      </w:pPr>
      <w:r>
        <w:rPr>
          <w:rFonts w:ascii="Times New Roman" w:hAnsi="Times New Roman"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40AE009F">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7C8D462">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国有资本经营预算财政拨款支出决算表</w:t>
            </w:r>
          </w:p>
        </w:tc>
      </w:tr>
      <w:tr w14:paraId="16A18B59">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143153B7">
            <w:pP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u w:color="auto"/>
              </w:rPr>
              <w:t>重庆市石柱土家族自治县生态环境监测站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2E1CC4D">
            <w:pPr>
              <w:rPr>
                <w:rFonts w:hint="default" w:ascii="Times New Roman" w:hAnsi="Times New Roman"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29F16B8">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公开08表</w:t>
            </w:r>
          </w:p>
        </w:tc>
      </w:tr>
      <w:tr w14:paraId="78FD1695">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5B57C0E1">
            <w:pPr>
              <w:rPr>
                <w:rFonts w:hint="default" w:ascii="Times New Roman" w:hAnsi="Times New Roman"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3BB7B0C">
            <w:pPr>
              <w:rPr>
                <w:rFonts w:hint="default" w:ascii="Times New Roman" w:hAnsi="Times New Roman"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F1ED881">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47EC607A">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C31E26A">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C32F509">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r>
      <w:tr w14:paraId="166CF02A">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AD52C4">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115C63">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041537">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3F0951">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C71D01">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r>
      <w:tr w14:paraId="07CA9744">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36FE56">
            <w:pPr>
              <w:jc w:val="center"/>
              <w:rPr>
                <w:rFonts w:hint="default" w:ascii="Times New Roman" w:hAnsi="Times New Roman"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F7E05D">
            <w:pPr>
              <w:jc w:val="center"/>
              <w:rPr>
                <w:rFonts w:hint="default" w:ascii="Times New Roman" w:hAnsi="Times New Roman"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648CD4">
            <w:pPr>
              <w:jc w:val="center"/>
              <w:rPr>
                <w:rFonts w:hint="default" w:ascii="Times New Roman" w:hAnsi="Times New Roman"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955DEF">
            <w:pPr>
              <w:jc w:val="center"/>
              <w:rPr>
                <w:rFonts w:hint="default" w:ascii="Times New Roman" w:hAnsi="Times New Roman"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87F71C">
            <w:pPr>
              <w:jc w:val="center"/>
              <w:rPr>
                <w:rFonts w:hint="default" w:ascii="Times New Roman" w:hAnsi="Times New Roman" w:cs="宋体"/>
                <w:b/>
                <w:color w:val="000000"/>
                <w:sz w:val="20"/>
                <w:szCs w:val="20"/>
              </w:rPr>
            </w:pPr>
          </w:p>
        </w:tc>
      </w:tr>
      <w:tr w14:paraId="592BE85E">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134CCA">
            <w:pPr>
              <w:jc w:val="center"/>
              <w:rPr>
                <w:rFonts w:hint="default" w:ascii="Times New Roman" w:hAnsi="Times New Roman"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E5688C">
            <w:pPr>
              <w:jc w:val="center"/>
              <w:rPr>
                <w:rFonts w:hint="default" w:ascii="Times New Roman" w:hAnsi="Times New Roman"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3D373A">
            <w:pPr>
              <w:jc w:val="center"/>
              <w:rPr>
                <w:rFonts w:hint="default" w:ascii="Times New Roman" w:hAnsi="Times New Roman"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AF182A">
            <w:pPr>
              <w:jc w:val="center"/>
              <w:rPr>
                <w:rFonts w:hint="default" w:ascii="Times New Roman" w:hAnsi="Times New Roman"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80DCF5">
            <w:pPr>
              <w:jc w:val="center"/>
              <w:rPr>
                <w:rFonts w:hint="default" w:ascii="Times New Roman" w:hAnsi="Times New Roman" w:cs="宋体"/>
                <w:b/>
                <w:color w:val="000000"/>
                <w:sz w:val="20"/>
                <w:szCs w:val="20"/>
              </w:rPr>
            </w:pPr>
          </w:p>
        </w:tc>
      </w:tr>
      <w:tr w14:paraId="59B3EEF9">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7E692B">
            <w:pPr>
              <w:jc w:val="center"/>
              <w:rPr>
                <w:rFonts w:hint="default" w:ascii="Times New Roman" w:hAnsi="Times New Roman"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99DCCF">
            <w:pPr>
              <w:jc w:val="center"/>
              <w:rPr>
                <w:rFonts w:hint="default" w:ascii="Times New Roman" w:hAnsi="Times New Roman"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95BBCE">
            <w:pPr>
              <w:jc w:val="center"/>
              <w:rPr>
                <w:rFonts w:hint="default" w:ascii="Times New Roman" w:hAnsi="Times New Roman"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997A8D">
            <w:pPr>
              <w:jc w:val="center"/>
              <w:rPr>
                <w:rFonts w:hint="default" w:ascii="Times New Roman" w:hAnsi="Times New Roman"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7A2BD4">
            <w:pPr>
              <w:jc w:val="center"/>
              <w:rPr>
                <w:rFonts w:hint="default" w:ascii="Times New Roman" w:hAnsi="Times New Roman" w:cs="宋体"/>
                <w:b/>
                <w:color w:val="000000"/>
                <w:sz w:val="20"/>
                <w:szCs w:val="20"/>
              </w:rPr>
            </w:pPr>
          </w:p>
        </w:tc>
      </w:tr>
      <w:tr w14:paraId="155E689B">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66087F">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841C5">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2ACCD">
            <w:pPr>
              <w:jc w:val="right"/>
              <w:rPr>
                <w:rFonts w:hint="default" w:ascii="Times New Roman" w:hAnsi="Times New Roman"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0566D">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r>
    </w:tbl>
    <w:p w14:paraId="784FF2A0">
      <w:pPr>
        <w:rPr>
          <w:rFonts w:hint="default" w:ascii="Times New Roman" w:hAnsi="Times New Roman" w:cs="宋体"/>
          <w:sz w:val="21"/>
          <w:szCs w:val="21"/>
        </w:rPr>
      </w:pPr>
      <w:r>
        <w:rPr>
          <w:rFonts w:ascii="Times New Roman" w:hAnsi="Times New Roman" w:cs="宋体"/>
          <w:sz w:val="20"/>
          <w:szCs w:val="20"/>
        </w:rPr>
        <w:t>备注：本表反映单位本年度国有资本经营预算财政拨款支出情况。本单位无国有资本经营收支，故本表无数据。</w:t>
      </w:r>
      <w:r>
        <w:rPr>
          <w:rFonts w:ascii="Times New Roman" w:hAnsi="Times New Roman" w:cs="宋体"/>
          <w:sz w:val="20"/>
          <w:szCs w:val="20"/>
        </w:rPr>
        <w:br w:type="textWrapping"/>
      </w:r>
      <w:r>
        <w:rPr>
          <w:rFonts w:ascii="Times New Roman" w:hAnsi="Times New Roman" w:cs="宋体"/>
          <w:sz w:val="20"/>
          <w:szCs w:val="20"/>
        </w:rPr>
        <w:br w:type="textWrapping"/>
      </w:r>
      <w:r>
        <w:rPr>
          <w:rFonts w:hint="default" w:ascii="Times New Roman" w:hAnsi="Times New Roman"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67502F2A">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5F06853">
            <w:pPr>
              <w:spacing w:line="40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机构运行信息表</w:t>
            </w:r>
          </w:p>
        </w:tc>
      </w:tr>
      <w:tr w14:paraId="52C260A4">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44BD03DF">
            <w:pPr>
              <w:spacing w:line="280" w:lineRule="exact"/>
              <w:rPr>
                <w:rFonts w:hint="default" w:ascii="Times New Roman" w:hAnsi="Times New Roman"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7DFA31A5">
            <w:pPr>
              <w:spacing w:line="280" w:lineRule="exact"/>
              <w:jc w:val="center"/>
              <w:rPr>
                <w:rFonts w:hint="default" w:ascii="Times New Roman" w:hAnsi="Times New Roman"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6985D334">
            <w:pPr>
              <w:spacing w:line="280" w:lineRule="exact"/>
              <w:jc w:val="right"/>
              <w:rPr>
                <w:rFonts w:hint="default" w:ascii="Times New Roman" w:hAnsi="Times New Roman"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48474C8E">
            <w:pPr>
              <w:spacing w:line="280" w:lineRule="exact"/>
              <w:rPr>
                <w:rFonts w:hint="default" w:ascii="Times New Roman" w:hAnsi="Times New Roman"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09883D10">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公开09表</w:t>
            </w:r>
          </w:p>
        </w:tc>
      </w:tr>
      <w:tr w14:paraId="0195C87B">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716CB9F">
            <w:pPr>
              <w:spacing w:line="280" w:lineRule="exact"/>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u w:color="auto"/>
              </w:rPr>
              <w:t>重庆市石柱土家族自治县生态环境监测站</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64D32C43">
            <w:pPr>
              <w:spacing w:line="280" w:lineRule="exact"/>
              <w:jc w:val="right"/>
              <w:rPr>
                <w:rFonts w:hint="default" w:ascii="Times New Roman" w:hAnsi="Times New Roman"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202E7355">
            <w:pPr>
              <w:spacing w:line="280" w:lineRule="exact"/>
              <w:rPr>
                <w:rFonts w:hint="default" w:ascii="Times New Roman" w:hAnsi="Times New Roman"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26A3C49D">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28082106">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DC15BBE">
            <w:pPr>
              <w:spacing w:line="200" w:lineRule="exact"/>
              <w:jc w:val="center"/>
              <w:textAlignment w:val="center"/>
              <w:rPr>
                <w:rFonts w:hint="default" w:ascii="Times New Roman" w:hAnsi="Times New Roman" w:cs="宋体"/>
                <w:b/>
                <w:color w:val="000000"/>
                <w:sz w:val="16"/>
                <w:szCs w:val="16"/>
              </w:rPr>
            </w:pPr>
            <w:r>
              <w:rPr>
                <w:rFonts w:ascii="Times New Roman" w:hAnsi="Times New Roman"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122BCB">
            <w:pPr>
              <w:spacing w:line="200" w:lineRule="exact"/>
              <w:jc w:val="center"/>
              <w:textAlignment w:val="center"/>
              <w:rPr>
                <w:rFonts w:hint="default" w:ascii="Times New Roman" w:hAnsi="Times New Roman" w:cs="宋体"/>
                <w:b/>
                <w:color w:val="000000"/>
                <w:sz w:val="16"/>
                <w:szCs w:val="16"/>
              </w:rPr>
            </w:pPr>
            <w:r>
              <w:rPr>
                <w:rFonts w:ascii="Times New Roman" w:hAnsi="Times New Roman"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7B6FCA">
            <w:pPr>
              <w:spacing w:line="200" w:lineRule="exact"/>
              <w:jc w:val="center"/>
              <w:textAlignment w:val="center"/>
              <w:rPr>
                <w:rFonts w:hint="default" w:ascii="Times New Roman" w:hAnsi="Times New Roman" w:cs="宋体"/>
                <w:b/>
                <w:color w:val="000000"/>
                <w:sz w:val="16"/>
                <w:szCs w:val="16"/>
              </w:rPr>
            </w:pPr>
            <w:r>
              <w:rPr>
                <w:rFonts w:ascii="Times New Roman" w:hAnsi="Times New Roman"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4E18D1">
            <w:pPr>
              <w:spacing w:line="200" w:lineRule="exact"/>
              <w:jc w:val="center"/>
              <w:textAlignment w:val="center"/>
              <w:rPr>
                <w:rFonts w:hint="default" w:ascii="Times New Roman" w:hAnsi="Times New Roman" w:cs="宋体"/>
                <w:b/>
                <w:color w:val="000000"/>
                <w:sz w:val="16"/>
                <w:szCs w:val="16"/>
              </w:rPr>
            </w:pPr>
            <w:r>
              <w:rPr>
                <w:rFonts w:ascii="Times New Roman" w:hAnsi="Times New Roman"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4A636C3">
            <w:pPr>
              <w:spacing w:line="200" w:lineRule="exact"/>
              <w:jc w:val="center"/>
              <w:textAlignment w:val="center"/>
              <w:rPr>
                <w:rFonts w:hint="default" w:ascii="Times New Roman" w:hAnsi="Times New Roman" w:cs="宋体"/>
                <w:b/>
                <w:color w:val="000000"/>
                <w:sz w:val="16"/>
                <w:szCs w:val="16"/>
              </w:rPr>
            </w:pPr>
            <w:r>
              <w:rPr>
                <w:rFonts w:ascii="Times New Roman" w:hAnsi="Times New Roman" w:cs="宋体"/>
                <w:b/>
                <w:color w:val="000000"/>
                <w:sz w:val="16"/>
                <w:szCs w:val="16"/>
              </w:rPr>
              <w:t>决算数</w:t>
            </w:r>
          </w:p>
        </w:tc>
      </w:tr>
      <w:tr w14:paraId="710EC360">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88E36D">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53C868">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9E00ED">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10DEE0">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E0389F">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38AD58B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F3E5AF8">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C1FEF2">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2.00</w:t>
            </w:r>
            <w:r>
              <w:rPr>
                <w:rFonts w:ascii="Times New Roman" w:hAnsi="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E14627">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2.00</w:t>
            </w: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C2DC8A">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E71393">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7B9A2D4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43A072">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C883F4">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77413F">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69F275">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C1A3E5">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1C488CE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5550E33">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9C1632">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11BFBA">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25F33B">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1B02CD">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r>
      <w:tr w14:paraId="2EF3A06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58B7E5A">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72A3D7">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DF235B">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E0B5C96">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7224FC">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 xml:space="preserve">   </w:t>
            </w:r>
          </w:p>
        </w:tc>
      </w:tr>
      <w:tr w14:paraId="7870C2C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66060AC">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3CD51F">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39DB7D">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366BE90">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4B1872">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07A2036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2FF0B4A">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21C7A2">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2.00</w:t>
            </w:r>
            <w:r>
              <w:rPr>
                <w:rFonts w:ascii="Times New Roman" w:hAnsi="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3A9B6E">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2.00</w:t>
            </w: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A16E5E5">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15A07A">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08F23C9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43BE13A">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A6F1B2">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5E2DAE">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2.00</w:t>
            </w: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8A44A27">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1E6727">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28F3C3C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621C10B">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0C964B">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BB0E8D">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DE722D2">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A0289F">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70A90A2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5DC0CB7">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6BD055">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9F3BF6">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65C5188">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5F5A0B">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6DCB045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126871F">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0E9F1C">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D02281">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56EC99F">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FFB81E">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2D44572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F5FB34B">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57A015">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E81BB36">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D757334">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332E24">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36194DF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4AA02C9">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3FA92A">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CD0FC65">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DF9CAAB">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B3D4F6">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3512B13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DD34279">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BC9050">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F2B9B77">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4051B4B">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9164E6">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2EBC66A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C5C1F81">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3A0BBC">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C6B7475">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B6A2EE8">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3DF778">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r>
      <w:tr w14:paraId="5FC9CA9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BFDABD9">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9813BF">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3618BB7">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60</w:t>
            </w: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63E71A">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C5C588">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060A91F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9546882">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939A3E">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5991FB5">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5FA6DD">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E7D07B">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283AE10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59D2E1E">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60D809">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BFD6346">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230</w:t>
            </w: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F09CD2">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B50F34">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1ACCAD4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9CF75B9">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084E02">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CA8D55B">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499F352">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E2ADA7">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7103C0D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C30F347">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2CBD27">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4B0E29E">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3433607">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0AB3AD">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63E542B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676BEFB">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D869E4">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312985F">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1179596">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613F64">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6CED9CB5">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A5F9C9">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7AE492">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095938">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4.00</w:t>
            </w: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5DFC8A">
            <w:pPr>
              <w:spacing w:line="200" w:lineRule="exact"/>
              <w:rPr>
                <w:rFonts w:hint="default" w:ascii="Times New Roman" w:hAnsi="Times New Roman"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B487A5">
            <w:pPr>
              <w:spacing w:line="200" w:lineRule="exact"/>
              <w:jc w:val="right"/>
              <w:rPr>
                <w:rFonts w:hint="default" w:ascii="Times New Roman" w:hAnsi="Times New Roman" w:cs="宋体"/>
                <w:color w:val="000000"/>
                <w:sz w:val="16"/>
                <w:szCs w:val="16"/>
              </w:rPr>
            </w:pPr>
          </w:p>
        </w:tc>
      </w:tr>
      <w:tr w14:paraId="41DF0268">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11DD95">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5DA87A">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E1D79A">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1.00</w:t>
            </w: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4F837A2">
            <w:pPr>
              <w:spacing w:line="200" w:lineRule="exact"/>
              <w:rPr>
                <w:rFonts w:hint="default" w:ascii="Times New Roman" w:hAnsi="Times New Roman"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DCFC6">
            <w:pPr>
              <w:spacing w:line="200" w:lineRule="exact"/>
              <w:jc w:val="right"/>
              <w:rPr>
                <w:rFonts w:hint="default" w:ascii="Times New Roman" w:hAnsi="Times New Roman" w:cs="宋体"/>
                <w:color w:val="000000"/>
                <w:sz w:val="16"/>
                <w:szCs w:val="16"/>
              </w:rPr>
            </w:pPr>
          </w:p>
        </w:tc>
      </w:tr>
    </w:tbl>
    <w:p w14:paraId="29E59EFE">
      <w:pPr>
        <w:rPr>
          <w:rFonts w:hint="default" w:ascii="Times New Roman" w:hAnsi="Times New Roman" w:cs="宋体"/>
          <w:sz w:val="21"/>
          <w:szCs w:val="21"/>
        </w:rPr>
      </w:pPr>
      <w:r>
        <w:rPr>
          <w:rFonts w:ascii="Times New Roman" w:hAnsi="Times New Roman"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2DDF5">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017E7DDC">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533DC">
    <w:pPr>
      <w:pStyle w:val="3"/>
      <w:jc w:val="both"/>
      <w:rPr>
        <w:rFonts w:hint="default"/>
      </w:rPr>
    </w:pPr>
    <w:r>
      <w:rPr>
        <w:rFonts w:hint="default"/>
      </w:rPr>
      <w:pict>
        <v:shape id="_x0000_s1029" o:spid="_x0000_s1029"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363CEB08">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30" o:spid="_x0000_s1030"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235DD8E2">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7CFF5">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Q5OTM2NDJlYzFmYWI2YWY4ZGI5YWQ3ZDUxNWJkYj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256124A"/>
    <w:rsid w:val="030749EA"/>
    <w:rsid w:val="03B87EA0"/>
    <w:rsid w:val="03E3214F"/>
    <w:rsid w:val="044C50BA"/>
    <w:rsid w:val="05BC6D49"/>
    <w:rsid w:val="061471A2"/>
    <w:rsid w:val="06194FF1"/>
    <w:rsid w:val="06A2550B"/>
    <w:rsid w:val="06F80EE2"/>
    <w:rsid w:val="07001CCA"/>
    <w:rsid w:val="075678DB"/>
    <w:rsid w:val="079D7CC7"/>
    <w:rsid w:val="08051BCA"/>
    <w:rsid w:val="086C12F4"/>
    <w:rsid w:val="08705944"/>
    <w:rsid w:val="08BA052C"/>
    <w:rsid w:val="08DB07BA"/>
    <w:rsid w:val="093E5041"/>
    <w:rsid w:val="0969353F"/>
    <w:rsid w:val="098305D0"/>
    <w:rsid w:val="0A2B3FEC"/>
    <w:rsid w:val="0A3317EA"/>
    <w:rsid w:val="0A5C4B69"/>
    <w:rsid w:val="0A86124A"/>
    <w:rsid w:val="0AB54CC0"/>
    <w:rsid w:val="0B9335CE"/>
    <w:rsid w:val="0BF2311A"/>
    <w:rsid w:val="0C7927C4"/>
    <w:rsid w:val="0C9B098C"/>
    <w:rsid w:val="0D673E11"/>
    <w:rsid w:val="0DDA54E4"/>
    <w:rsid w:val="0E397F21"/>
    <w:rsid w:val="0E3A5F83"/>
    <w:rsid w:val="0F836721"/>
    <w:rsid w:val="0FA25D96"/>
    <w:rsid w:val="107B59E5"/>
    <w:rsid w:val="10EC0126"/>
    <w:rsid w:val="10F70B9A"/>
    <w:rsid w:val="111445C7"/>
    <w:rsid w:val="1138564F"/>
    <w:rsid w:val="114278C6"/>
    <w:rsid w:val="1158083A"/>
    <w:rsid w:val="11643A4B"/>
    <w:rsid w:val="11ED0F98"/>
    <w:rsid w:val="11F03528"/>
    <w:rsid w:val="12027E46"/>
    <w:rsid w:val="12C921C4"/>
    <w:rsid w:val="13871C70"/>
    <w:rsid w:val="13A71CB4"/>
    <w:rsid w:val="13AF1D43"/>
    <w:rsid w:val="13CE1647"/>
    <w:rsid w:val="13FD55AB"/>
    <w:rsid w:val="14200702"/>
    <w:rsid w:val="14AF7B8F"/>
    <w:rsid w:val="163A6CEE"/>
    <w:rsid w:val="16CE4E1B"/>
    <w:rsid w:val="173708E3"/>
    <w:rsid w:val="17BE585A"/>
    <w:rsid w:val="17C374FC"/>
    <w:rsid w:val="182E4AB6"/>
    <w:rsid w:val="189079DC"/>
    <w:rsid w:val="189B0D0B"/>
    <w:rsid w:val="18B43F7C"/>
    <w:rsid w:val="194A1770"/>
    <w:rsid w:val="19B906A4"/>
    <w:rsid w:val="1B6F15B6"/>
    <w:rsid w:val="1BAA2EDC"/>
    <w:rsid w:val="1C8A485F"/>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213429"/>
    <w:rsid w:val="21556F04"/>
    <w:rsid w:val="223A1E45"/>
    <w:rsid w:val="22403BD3"/>
    <w:rsid w:val="22525B39"/>
    <w:rsid w:val="24B92327"/>
    <w:rsid w:val="24C14514"/>
    <w:rsid w:val="2533755C"/>
    <w:rsid w:val="25791755"/>
    <w:rsid w:val="26396DF4"/>
    <w:rsid w:val="27167136"/>
    <w:rsid w:val="271B442C"/>
    <w:rsid w:val="27861059"/>
    <w:rsid w:val="27B23302"/>
    <w:rsid w:val="28B906C0"/>
    <w:rsid w:val="29310A5F"/>
    <w:rsid w:val="29C37A35"/>
    <w:rsid w:val="2A076083"/>
    <w:rsid w:val="2A40557B"/>
    <w:rsid w:val="2A465F84"/>
    <w:rsid w:val="2A73162E"/>
    <w:rsid w:val="2B167953"/>
    <w:rsid w:val="2B200583"/>
    <w:rsid w:val="2B8209DE"/>
    <w:rsid w:val="2C636760"/>
    <w:rsid w:val="2C6762A3"/>
    <w:rsid w:val="2CC118F2"/>
    <w:rsid w:val="2DB2017D"/>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9A2F70"/>
    <w:rsid w:val="37BF1123"/>
    <w:rsid w:val="383C3F15"/>
    <w:rsid w:val="38BE4696"/>
    <w:rsid w:val="3939115E"/>
    <w:rsid w:val="39B82A39"/>
    <w:rsid w:val="39C42CA8"/>
    <w:rsid w:val="39D70B69"/>
    <w:rsid w:val="39DC4FD6"/>
    <w:rsid w:val="39E13457"/>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EB812F3"/>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5911D6"/>
    <w:rsid w:val="45CB699A"/>
    <w:rsid w:val="465B470D"/>
    <w:rsid w:val="469D6AD4"/>
    <w:rsid w:val="471E6C84"/>
    <w:rsid w:val="4748792B"/>
    <w:rsid w:val="475D719D"/>
    <w:rsid w:val="47674801"/>
    <w:rsid w:val="47C118B7"/>
    <w:rsid w:val="48225EF7"/>
    <w:rsid w:val="488F422B"/>
    <w:rsid w:val="48E36915"/>
    <w:rsid w:val="48EB6572"/>
    <w:rsid w:val="495C4A24"/>
    <w:rsid w:val="497135DF"/>
    <w:rsid w:val="4A263DF2"/>
    <w:rsid w:val="4A6F6675"/>
    <w:rsid w:val="4B135857"/>
    <w:rsid w:val="4B7951CB"/>
    <w:rsid w:val="4B7C315C"/>
    <w:rsid w:val="4DAC4ACA"/>
    <w:rsid w:val="4DB075BC"/>
    <w:rsid w:val="4DBE01D2"/>
    <w:rsid w:val="4F020D3F"/>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4D57E2"/>
    <w:rsid w:val="54861779"/>
    <w:rsid w:val="54BF3CE3"/>
    <w:rsid w:val="552256E1"/>
    <w:rsid w:val="554E5773"/>
    <w:rsid w:val="555829E0"/>
    <w:rsid w:val="555A3CBC"/>
    <w:rsid w:val="5582012B"/>
    <w:rsid w:val="558E4E05"/>
    <w:rsid w:val="55BE2E85"/>
    <w:rsid w:val="56530F5D"/>
    <w:rsid w:val="567700D3"/>
    <w:rsid w:val="56A542CA"/>
    <w:rsid w:val="56FF7E9E"/>
    <w:rsid w:val="578867FC"/>
    <w:rsid w:val="5842572D"/>
    <w:rsid w:val="58F509F1"/>
    <w:rsid w:val="5A3B59D6"/>
    <w:rsid w:val="5AB83D91"/>
    <w:rsid w:val="5AD134D8"/>
    <w:rsid w:val="5AF62615"/>
    <w:rsid w:val="5C263CE4"/>
    <w:rsid w:val="5C5D2777"/>
    <w:rsid w:val="5CF66BF3"/>
    <w:rsid w:val="5D290C69"/>
    <w:rsid w:val="5DB1033D"/>
    <w:rsid w:val="5ED510A9"/>
    <w:rsid w:val="5F2D4A41"/>
    <w:rsid w:val="60C74F6C"/>
    <w:rsid w:val="61025A59"/>
    <w:rsid w:val="61097C74"/>
    <w:rsid w:val="613D5BBC"/>
    <w:rsid w:val="61536C39"/>
    <w:rsid w:val="61A143EB"/>
    <w:rsid w:val="62944DD7"/>
    <w:rsid w:val="6319381F"/>
    <w:rsid w:val="63C25DC5"/>
    <w:rsid w:val="63C62057"/>
    <w:rsid w:val="64571EF5"/>
    <w:rsid w:val="64FB113D"/>
    <w:rsid w:val="655A113B"/>
    <w:rsid w:val="656152C6"/>
    <w:rsid w:val="6587477F"/>
    <w:rsid w:val="658C3A08"/>
    <w:rsid w:val="65C031CA"/>
    <w:rsid w:val="65CE6852"/>
    <w:rsid w:val="66267C04"/>
    <w:rsid w:val="663F505A"/>
    <w:rsid w:val="66EE5541"/>
    <w:rsid w:val="67924660"/>
    <w:rsid w:val="679A2E90"/>
    <w:rsid w:val="679F2254"/>
    <w:rsid w:val="68407834"/>
    <w:rsid w:val="6883293E"/>
    <w:rsid w:val="688412AD"/>
    <w:rsid w:val="68EB1B71"/>
    <w:rsid w:val="6A6C7940"/>
    <w:rsid w:val="6AAD2300"/>
    <w:rsid w:val="6AD87FA2"/>
    <w:rsid w:val="6B474EF5"/>
    <w:rsid w:val="6BA42CAD"/>
    <w:rsid w:val="6C0A5AC5"/>
    <w:rsid w:val="6C560CAE"/>
    <w:rsid w:val="6C576495"/>
    <w:rsid w:val="6D903FF5"/>
    <w:rsid w:val="6DA955B8"/>
    <w:rsid w:val="6DE346AB"/>
    <w:rsid w:val="6DE5391A"/>
    <w:rsid w:val="6EFD1324"/>
    <w:rsid w:val="6F514C93"/>
    <w:rsid w:val="6F5A53AC"/>
    <w:rsid w:val="6FAC003D"/>
    <w:rsid w:val="6FE55E12"/>
    <w:rsid w:val="6FFB2E76"/>
    <w:rsid w:val="708F6F7F"/>
    <w:rsid w:val="70D94BD3"/>
    <w:rsid w:val="71784278"/>
    <w:rsid w:val="71C34D91"/>
    <w:rsid w:val="72DB435C"/>
    <w:rsid w:val="72E2613A"/>
    <w:rsid w:val="72F771F4"/>
    <w:rsid w:val="73934AD2"/>
    <w:rsid w:val="73F90FAD"/>
    <w:rsid w:val="750837F0"/>
    <w:rsid w:val="754758CF"/>
    <w:rsid w:val="75FE1D3F"/>
    <w:rsid w:val="762D2B08"/>
    <w:rsid w:val="764F62AB"/>
    <w:rsid w:val="765C45EC"/>
    <w:rsid w:val="768A7619"/>
    <w:rsid w:val="772E1EBA"/>
    <w:rsid w:val="78104391"/>
    <w:rsid w:val="781926BC"/>
    <w:rsid w:val="796D60A4"/>
    <w:rsid w:val="79A031D5"/>
    <w:rsid w:val="7A1525F7"/>
    <w:rsid w:val="7B420052"/>
    <w:rsid w:val="7BD06A28"/>
    <w:rsid w:val="7C3A7C0B"/>
    <w:rsid w:val="7C5248E4"/>
    <w:rsid w:val="7C566698"/>
    <w:rsid w:val="7C5866A3"/>
    <w:rsid w:val="7D7406BB"/>
    <w:rsid w:val="7DE94331"/>
    <w:rsid w:val="7EB63542"/>
    <w:rsid w:val="7F446A19"/>
    <w:rsid w:val="7F715F0C"/>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8378</Words>
  <Characters>9986</Characters>
  <Lines>190</Lines>
  <Paragraphs>53</Paragraphs>
  <TotalTime>2</TotalTime>
  <ScaleCrop>false</ScaleCrop>
  <LinksUpToDate>false</LinksUpToDate>
  <CharactersWithSpaces>11016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as</cp:lastModifiedBy>
  <dcterms:modified xsi:type="dcterms:W3CDTF">2024-10-10T09:05:56Z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BB46EABDBB2749749395447164B066B3_12</vt:lpwstr>
  </property>
</Properties>
</file>