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outlineLvl w:val="9"/>
        <w:rPr>
          <w:rFonts w:hint="eastAsia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9"/>
        <w:rPr>
          <w:rFonts w:hint="eastAsia" w:eastAsia="方正小标宋_GBK"/>
          <w:spacing w:val="0"/>
          <w:sz w:val="44"/>
          <w:szCs w:val="44"/>
        </w:rPr>
      </w:pPr>
      <w:r>
        <w:rPr>
          <w:rFonts w:hint="eastAsia" w:eastAsia="方正小标宋_GBK"/>
          <w:spacing w:val="0"/>
          <w:sz w:val="44"/>
          <w:szCs w:val="44"/>
          <w:lang w:eastAsia="zh-CN"/>
        </w:rPr>
        <w:t>石柱土家族自治县</w:t>
      </w:r>
      <w:r>
        <w:rPr>
          <w:rFonts w:hint="eastAsia" w:eastAsia="方正小标宋_GBK"/>
          <w:spacing w:val="0"/>
          <w:sz w:val="44"/>
          <w:szCs w:val="44"/>
        </w:rPr>
        <w:t>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9"/>
        <w:rPr>
          <w:rFonts w:hint="eastAsia" w:eastAsia="方正小标宋_GBK"/>
          <w:spacing w:val="0"/>
          <w:sz w:val="44"/>
          <w:szCs w:val="44"/>
        </w:rPr>
      </w:pPr>
      <w:r>
        <w:rPr>
          <w:rFonts w:hint="eastAsia" w:eastAsia="方正小标宋_GBK"/>
          <w:spacing w:val="0"/>
          <w:sz w:val="44"/>
          <w:szCs w:val="44"/>
          <w:lang w:eastAsia="zh-CN"/>
        </w:rPr>
        <w:t>石柱土家族自治县</w:t>
      </w:r>
      <w:r>
        <w:rPr>
          <w:rFonts w:hint="eastAsia" w:eastAsia="方正小标宋_GBK"/>
          <w:spacing w:val="0"/>
          <w:sz w:val="44"/>
          <w:szCs w:val="44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outlineLvl w:val="9"/>
        <w:rPr>
          <w:rFonts w:hint="eastAsia" w:eastAsia="方正小标宋_GBK"/>
          <w:spacing w:val="0"/>
          <w:sz w:val="44"/>
          <w:szCs w:val="44"/>
          <w:lang w:val="en-US" w:eastAsia="zh-CN"/>
        </w:rPr>
      </w:pPr>
      <w:r>
        <w:rPr>
          <w:rFonts w:hint="eastAsia" w:eastAsia="方正小标宋_GBK"/>
          <w:spacing w:val="0"/>
          <w:sz w:val="44"/>
          <w:szCs w:val="44"/>
          <w:lang w:eastAsia="zh-CN"/>
        </w:rPr>
        <w:t>石柱土家族自治县</w:t>
      </w:r>
      <w:r>
        <w:rPr>
          <w:rFonts w:hint="eastAsia" w:eastAsia="方正小标宋_GBK"/>
          <w:spacing w:val="0"/>
          <w:sz w:val="44"/>
          <w:szCs w:val="44"/>
        </w:rPr>
        <w:t>交通运输</w:t>
      </w:r>
      <w:r>
        <w:rPr>
          <w:rFonts w:hint="eastAsia" w:eastAsia="方正小标宋_GBK"/>
          <w:spacing w:val="0"/>
          <w:sz w:val="44"/>
          <w:szCs w:val="44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outlineLvl w:val="9"/>
        <w:rPr>
          <w:rFonts w:eastAsia="方正小标宋_GBK"/>
          <w:spacing w:val="0"/>
          <w:sz w:val="44"/>
          <w:szCs w:val="44"/>
        </w:rPr>
      </w:pPr>
      <w:bookmarkStart w:id="0" w:name="_GoBack"/>
      <w:r>
        <w:rPr>
          <w:rFonts w:eastAsia="方正小标宋_GBK"/>
          <w:spacing w:val="0"/>
          <w:sz w:val="44"/>
          <w:szCs w:val="44"/>
        </w:rPr>
        <w:t>关于</w:t>
      </w:r>
      <w:r>
        <w:rPr>
          <w:rFonts w:hint="eastAsia" w:eastAsia="方正小标宋_GBK"/>
          <w:spacing w:val="0"/>
          <w:sz w:val="44"/>
          <w:szCs w:val="44"/>
        </w:rPr>
        <w:t>优化调整</w:t>
      </w:r>
      <w:r>
        <w:rPr>
          <w:rFonts w:eastAsia="方正小标宋_GBK"/>
          <w:spacing w:val="0"/>
          <w:sz w:val="44"/>
          <w:szCs w:val="44"/>
        </w:rPr>
        <w:t>高排放</w:t>
      </w:r>
      <w:r>
        <w:rPr>
          <w:rFonts w:hint="eastAsia" w:eastAsia="方正小标宋_GBK"/>
          <w:spacing w:val="0"/>
          <w:sz w:val="44"/>
          <w:szCs w:val="44"/>
        </w:rPr>
        <w:t>柴油货车</w:t>
      </w:r>
      <w:r>
        <w:rPr>
          <w:rFonts w:eastAsia="方正小标宋_GBK"/>
          <w:spacing w:val="0"/>
          <w:sz w:val="44"/>
          <w:szCs w:val="44"/>
        </w:rPr>
        <w:t>限行</w:t>
      </w:r>
      <w:r>
        <w:rPr>
          <w:rFonts w:hint="eastAsia" w:eastAsia="方正小标宋_GBK"/>
          <w:spacing w:val="0"/>
          <w:sz w:val="44"/>
          <w:szCs w:val="44"/>
        </w:rPr>
        <w:t>措施</w:t>
      </w:r>
      <w:r>
        <w:rPr>
          <w:rFonts w:eastAsia="方正小标宋_GBK"/>
          <w:spacing w:val="0"/>
          <w:sz w:val="44"/>
          <w:szCs w:val="44"/>
        </w:rPr>
        <w:t>的通</w:t>
      </w:r>
      <w:r>
        <w:rPr>
          <w:rFonts w:hint="eastAsia" w:eastAsia="方正小标宋_GBK"/>
          <w:spacing w:val="0"/>
          <w:sz w:val="44"/>
          <w:szCs w:val="44"/>
          <w:lang w:val="en-US" w:eastAsia="zh-CN"/>
        </w:rPr>
        <w:t xml:space="preserve">  </w:t>
      </w:r>
      <w:r>
        <w:rPr>
          <w:rFonts w:eastAsia="方正小标宋_GBK"/>
          <w:spacing w:val="0"/>
          <w:sz w:val="44"/>
          <w:szCs w:val="44"/>
        </w:rPr>
        <w:t>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0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为贯彻落实《中共中央国务院关于深入打好污染防治攻坚战的意见》，进一步改善环境空气质量，根据《重庆市大气污染防治条例》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规定，经</w:t>
      </w:r>
      <w:r>
        <w:rPr>
          <w:rFonts w:hint="eastAsia" w:ascii="Times New Roman" w:hAnsi="Times New Roman" w:eastAsia="方正仿宋_GBK" w:cs="Times New Roman"/>
          <w:spacing w:val="0"/>
          <w:kern w:val="24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政府同意，决定优化调整高排放</w:t>
      </w:r>
      <w:r>
        <w:rPr>
          <w:rFonts w:hint="eastAsia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柴油货车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限行措施，现通告如下。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从202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年1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月1日起，全天24小时禁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止国三及以下排放标准的柴油货车驶入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lang w:val="en-US" w:eastAsia="zh-CN"/>
        </w:rPr>
        <w:t>都督大道（关门岩公园至火车站转盘）、万寿大道（城东加油站至财信城）、利民街、人民街、滨河中街、城东路、干溪子路（城东加油站至玉带天城）及合围区域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从2026年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月1日起，全天24小时禁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止国四及以下排放标准的柴油货车驶入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lang w:val="en-US" w:eastAsia="zh-CN"/>
        </w:rPr>
        <w:t>都督大道（关门岩公园至火车站转盘）、万寿大道（城东加油站至财信城）、利民街、人民街、滨河中街、城东路、干溪子路（城东加油站至玉带天城）及合围区域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4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军车、警车、消防车、工程救险车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和中国邮政专用车不在限行对象范围内。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对违规闯禁的高排放车辆，由公安部门依法查处。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本通告自202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0"/>
          <w:kern w:val="2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kern w:val="24"/>
          <w:sz w:val="32"/>
          <w:szCs w:val="32"/>
        </w:rPr>
        <w:t>月1日起实施。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石柱土家族自治县生态环境局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石柱土家族自治县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公安局</w:t>
      </w:r>
    </w:p>
    <w:p>
      <w:pPr>
        <w:keepNext w:val="0"/>
        <w:keepLines w:val="0"/>
        <w:pageBreakBefore w:val="0"/>
        <w:widowControl w:val="0"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石柱土家族自治县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交通运输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2025年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F6626"/>
    <w:rsid w:val="314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2025-10-21T03:04:00Z</dcterms:created>
  <dc:creator>Administrator</dc:creator>
  <cp:lastModifiedBy>Administrator</cp:lastModifiedBy>
  <dcterms:modified xsi:type="dcterms:W3CDTF">2025-10-21T03:15:29Z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