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0"/>
          <w:szCs w:val="40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0"/>
          <w:szCs w:val="40"/>
        </w:rPr>
        <w:t>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</w:rPr>
        <w:t>责令改正违法行为决定书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石环执令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〔2020〕2号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被责令改正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单位：</w:t>
      </w: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重庆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加珠建材有限公司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统一社会信用代码：91500240581491935R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法定代表人：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程永平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住所：重庆市石柱土家族自治县万朝镇万富村万华组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我队于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日对你公司进行了调查，发现你公司实施了以下环境违法行为：你公司位于石柱土家族自治县万朝镇万富村的“技改年产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万吨建筑用石灰岩碎石项目”需配套建设的环境保护设施未经验收，建设项目即投入生产或者使用。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以上事实有《现场检查（勘察）笔录》及现场照片、《调查询问笔录》、营业执照等证据为证。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你公司的上述行为违反了《建设项目环境保护管理条例》第十九条第一款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编制环境影响报告书、环境影响报告表的建设项目，其配套建设的环境保护设施经验收合格，方可投入生产或者使用；未经验收或者验收不合格的，不得投入生产或者使用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依据《建设项目环境保护管理条例》第二十三条第一款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违反本条例规定，需要配套建设的环境保护设施未建成、未经验收或者验收不合格，建设项目即投入生产或者使用，或者在环境保护设施验收中弄虚作假的，由县级以上环境保护行政主管部门责令限期改正，处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万元以上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万元以下的罚款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之规定，现对你公司作出如下行政命令：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责令你公司改正违法行为。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你公司如对本决定不服，可在收到本决定书之日起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20" w:firstLine="67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20" w:firstLine="67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 石柱土家族自治县生态环境保护综合行政执法支队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8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        2020年1月15日 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70272"/>
    <w:rsid w:val="394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2024-01-12T08:53:00Z</dcterms:created>
  <dc:creator>Administrator</dc:creator>
  <cp:lastModifiedBy>Administrator</cp:lastModifiedBy>
  <dcterms:modified xsi:type="dcterms:W3CDTF">2024-01-12T08:53:47Z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8FE15702294440ADB8FD7335125E845A</vt:lpwstr>
  </property>
</Properties>
</file>