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30"/>
          <w:sz w:val="43"/>
          <w:szCs w:val="43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30"/>
          <w:sz w:val="43"/>
          <w:szCs w:val="43"/>
        </w:rPr>
        <w:t>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责令改正违法行为决定书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执令〔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12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-15"/>
          <w:sz w:val="31"/>
          <w:szCs w:val="31"/>
        </w:rPr>
        <w:t>被责令改正单位名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-15"/>
          <w:sz w:val="31"/>
          <w:szCs w:val="31"/>
        </w:rPr>
        <w:t>称：石柱土家族自治县荣兴砂石有限公司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统一社会信用代码：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91500240089100672P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法定代表人：杨华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1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地址：重庆市石柱土家族自治县南宾镇滨河路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17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日现场检查，发现你公司位于石柱土家族自治县冷水镇玉龙村石门坎的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瑜鑫碎石厂石灰岩矿山项目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物料露天堆存，未采取密闭、围挡、遮盖等措施，减少粉尘排放。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以上事实有《现场检查（勘察）笔录》及现场照片、《调查询问笔录》、营业执照等证据为证。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你公司的上述行为违反了《中华人民共和国大气污染防治法》第四十八条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钢铁、建材、有色金属、石油、化工、制药、矿产开采等企业，应当加强精细化管理，采取集中收集处理等措施，严格控制粉尘和气态污染物的排放。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工业生产企业应当采取密闭、围挡、遮盖、清扫、洒水等措施，减少内部物料的堆存、传输、装卸等环节产生的粉尘和气态污染物的排放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依据《中华人民共和国大气污染防治法》第一百零八条违反本法规定，有下列行为之一的，由县级以上人民政府环境保护主管部门责令改正，处二万元以上二十万元以下的罚款；拒不改正的，责令停产整治：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……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（五）钢铁、建材、有色金属、石油、化工、制药、矿产开采等企业，未采取集中收集处理、密闭、围挡、遮盖、清扫、洒水等措施，控制、减少粉尘和气态污染物排放的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之规定，现对你公司作出如下行政命令：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责令你公司改正违法行为。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你公司如对本决定不服，可在收到本决定书之日起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645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645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96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石柱土家族自治县生态环境保护综合行政执法支队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64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                                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3F1F"/>
    <w:rsid w:val="2B8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2024-01-12T08:49:00Z</dcterms:created>
  <dc:creator>Administrator</dc:creator>
  <cp:lastModifiedBy>Administrator</cp:lastModifiedBy>
  <dcterms:modified xsi:type="dcterms:W3CDTF">2024-01-12T08:50:40Z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C5A67511EE2240F7BB8C39AAF2BEC69B</vt:lpwstr>
  </property>
</Properties>
</file>