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w:t>
      </w:r>
    </w:p>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bookmarkStart w:id="0" w:name="_GoBack"/>
      <w:r>
        <w:rPr>
          <w:rFonts w:hint="eastAsia" w:ascii="方正小标宋_GBK" w:hAnsi="方正小标宋_GBK" w:eastAsia="方正小标宋_GBK" w:cs="方正小标宋_GBK"/>
          <w:i w:val="0"/>
          <w:iCs w:val="0"/>
          <w:caps w:val="0"/>
          <w:color w:val="000000"/>
          <w:spacing w:val="0"/>
          <w:sz w:val="44"/>
          <w:szCs w:val="44"/>
          <w:vertAlign w:val="baseline"/>
        </w:rPr>
        <w:t>审查建设项目环评信息公示表</w:t>
      </w:r>
    </w:p>
    <w:bookmarkEnd w:id="0"/>
    <w:p>
      <w:pPr>
        <w:pStyle w:val="2"/>
        <w:keepNext w:val="0"/>
        <w:keepLines w:val="0"/>
        <w:widowControl/>
        <w:suppressLineNumbers w:val="0"/>
        <w:spacing w:before="0" w:beforeAutospacing="0" w:after="0" w:afterAutospacing="0" w:line="600" w:lineRule="atLeast"/>
        <w:ind w:left="0" w:right="0" w:firstLine="630"/>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6</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19</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6</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25</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66"/>
        <w:gridCol w:w="717"/>
        <w:gridCol w:w="897"/>
        <w:gridCol w:w="895"/>
        <w:gridCol w:w="895"/>
        <w:gridCol w:w="1612"/>
        <w:gridCol w:w="1969"/>
        <w:gridCol w:w="89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高端线材加工项目</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石柱县南宾工业园区B区一期标准厂房3-2号（8号楼）第1层</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重庆开禧电子有限公司</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重庆工商大学环境保护研究所</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租用重庆市石柱土家族自治县下路街道柏树社区（工业园区B区标准厂房3-2号（8号楼）第1层，生产铜线和金线，建成后实现年产高端线材铜线50万米（14吨）、金线50万米（0.7吨）万米共100万米的生产规模。</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360"/>
            </w:pPr>
            <w:r>
              <w:rPr>
                <w:rFonts w:hint="eastAsia" w:ascii="方正仿宋_GBK" w:hAnsi="方正仿宋_GBK" w:eastAsia="方正仿宋_GBK" w:cs="方正仿宋_GBK"/>
                <w:sz w:val="18"/>
                <w:szCs w:val="18"/>
                <w:bdr w:val="none" w:color="auto" w:sz="0" w:space="0"/>
              </w:rPr>
              <w:t>1、废水污染防治措施：生活污水经厂区生化池处理进行处理后经过市政管网进入污水处理厂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360"/>
            </w:pPr>
            <w:r>
              <w:rPr>
                <w:rFonts w:hint="eastAsia" w:ascii="方正仿宋_GBK" w:hAnsi="方正仿宋_GBK" w:eastAsia="方正仿宋_GBK" w:cs="方正仿宋_GBK"/>
                <w:sz w:val="18"/>
                <w:szCs w:val="18"/>
                <w:bdr w:val="none" w:color="auto" w:sz="0" w:space="0"/>
              </w:rPr>
              <w:t>2、废气污染防治措施：熔铸产生的废气和润滑液挥发产生的有机废气厂房内无组织排放，加强内部车间通风。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firstLine="360"/>
            </w:pPr>
            <w:r>
              <w:rPr>
                <w:rFonts w:hint="eastAsia" w:ascii="方正仿宋_GBK" w:hAnsi="方正仿宋_GBK" w:eastAsia="方正仿宋_GBK" w:cs="方正仿宋_GBK"/>
                <w:sz w:val="18"/>
                <w:szCs w:val="18"/>
                <w:bdr w:val="none" w:color="auto" w:sz="0" w:space="0"/>
              </w:rPr>
              <w:t>3、噪声污染防治措施：通过合理布局，并采取隔声、减振、消声、吸声等措施后，可有效的降低了噪声对环境的影响。厂界昼、夜间噪声均能满足《声环境质量标准》（GB3096-2008）中3类标准要求，不会对周边环境产生噪声污染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一般工业固体废物主要为产品包装产生的废包装材料集中收集后由废品回收单位进行处理。设一般工业固废暂存点，约7m2，位于厂房东侧，并做好“三防”措施（防扬散、防流失、防渗漏），并设标识牌。危险废物暂存点进行防风、防雨、防晒、防渗漏处理，设置危险废物标识标牌等，交有资质单位处置。生活垃圾由环卫部门统一收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30FB5"/>
    <w:rsid w:val="49E3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2024-01-15T08:48:00Z</dcterms:created>
  <dc:creator>Administrator</dc:creator>
  <cp:lastModifiedBy>Administrator</cp:lastModifiedBy>
  <dcterms:modified xsi:type="dcterms:W3CDTF">2024-01-15T08:49:02Z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619B5E365CB942E5951DDD5DAE832236</vt:lpwstr>
  </property>
</Properties>
</file>