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05" w:lineRule="atLeast"/>
        <w:ind w:right="0"/>
        <w:jc w:val="center"/>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拟作出的建设项目固体废物污染防治设施 竣工环境保护验收决定公示</w:t>
      </w:r>
      <w:bookmarkStart w:id="0" w:name="_GoBack"/>
      <w:bookmarkEnd w:id="0"/>
    </w:p>
    <w:p>
      <w:pPr>
        <w:pStyle w:val="2"/>
        <w:keepNext w:val="0"/>
        <w:keepLines w:val="0"/>
        <w:widowControl/>
        <w:suppressLineNumbers w:val="0"/>
        <w:spacing w:before="0" w:beforeAutospacing="0" w:after="0" w:afterAutospacing="0" w:line="405" w:lineRule="atLeast"/>
        <w:ind w:left="0" w:right="0" w:firstLine="855" w:firstLineChars="300"/>
        <w:rPr>
          <w:rFonts w:ascii="sans-serif" w:hAnsi="sans-serif" w:eastAsia="sans-serif" w:cs="sans-serif"/>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28"/>
          <w:szCs w:val="28"/>
        </w:rPr>
        <w:t>根据《中华人民共和国固体废物污染环境防治法》《建设项目环境保护管理条例》以及《建设项目竣工环境保护验收暂行办法》有关规定，经审查，我局拟对</w:t>
      </w:r>
      <w:r>
        <w:rPr>
          <w:rFonts w:hint="eastAsia" w:ascii="方正仿宋_GBK" w:hAnsi="方正仿宋_GBK" w:eastAsia="方正仿宋_GBK" w:cs="方正仿宋_GBK"/>
          <w:i w:val="0"/>
          <w:iCs w:val="0"/>
          <w:caps w:val="0"/>
          <w:color w:val="000000"/>
          <w:spacing w:val="0"/>
          <w:sz w:val="28"/>
          <w:szCs w:val="28"/>
        </w:rPr>
        <w:t>以下建设项目固体废物污染防治设施作出竣工环境保护验收决定。为保证此次审查工作的严肃性和公正性，现将拟作出竣工环保验收决定的建设项目固体废物污染防治设施情况予以公示，公示期为</w:t>
      </w:r>
      <w:r>
        <w:rPr>
          <w:rFonts w:hint="default" w:ascii="Times New Roman" w:hAnsi="Times New Roman" w:eastAsia="sans-serif" w:cs="Times New Roman"/>
          <w:i w:val="0"/>
          <w:iCs w:val="0"/>
          <w:caps w:val="0"/>
          <w:color w:val="000000"/>
          <w:spacing w:val="0"/>
          <w:sz w:val="28"/>
          <w:szCs w:val="28"/>
        </w:rPr>
        <w:t>20</w:t>
      </w:r>
      <w:r>
        <w:rPr>
          <w:rFonts w:hint="eastAsia" w:ascii="方正仿宋_GBK" w:hAnsi="方正仿宋_GBK" w:eastAsia="方正仿宋_GBK" w:cs="方正仿宋_GBK"/>
          <w:i w:val="0"/>
          <w:iCs w:val="0"/>
          <w:caps w:val="0"/>
          <w:color w:val="000000"/>
          <w:spacing w:val="0"/>
          <w:sz w:val="28"/>
          <w:szCs w:val="28"/>
        </w:rPr>
        <w:t>20年6月30日－</w:t>
      </w:r>
      <w:r>
        <w:rPr>
          <w:rFonts w:hint="default" w:ascii="Times New Roman" w:hAnsi="Times New Roman" w:eastAsia="sans-serif" w:cs="Times New Roman"/>
          <w:i w:val="0"/>
          <w:iCs w:val="0"/>
          <w:caps w:val="0"/>
          <w:color w:val="000000"/>
          <w:spacing w:val="0"/>
          <w:sz w:val="28"/>
          <w:szCs w:val="28"/>
        </w:rPr>
        <w:t>20</w:t>
      </w:r>
      <w:r>
        <w:rPr>
          <w:rFonts w:hint="eastAsia" w:ascii="方正仿宋_GBK" w:hAnsi="方正仿宋_GBK" w:eastAsia="方正仿宋_GBK" w:cs="方正仿宋_GBK"/>
          <w:i w:val="0"/>
          <w:iCs w:val="0"/>
          <w:caps w:val="0"/>
          <w:color w:val="000000"/>
          <w:spacing w:val="0"/>
          <w:sz w:val="28"/>
          <w:szCs w:val="28"/>
        </w:rPr>
        <w:t>20年7月6日（</w:t>
      </w:r>
      <w:r>
        <w:rPr>
          <w:rFonts w:hint="default" w:ascii="Times New Roman" w:hAnsi="Times New Roman" w:eastAsia="sans-serif" w:cs="Times New Roman"/>
          <w:i w:val="0"/>
          <w:iCs w:val="0"/>
          <w:caps w:val="0"/>
          <w:color w:val="000000"/>
          <w:spacing w:val="0"/>
          <w:sz w:val="28"/>
          <w:szCs w:val="28"/>
        </w:rPr>
        <w:t>5</w:t>
      </w:r>
      <w:r>
        <w:rPr>
          <w:rFonts w:hint="eastAsia" w:ascii="方正仿宋_GBK" w:hAnsi="方正仿宋_GBK" w:eastAsia="方正仿宋_GBK" w:cs="方正仿宋_GBK"/>
          <w:i w:val="0"/>
          <w:iCs w:val="0"/>
          <w:caps w:val="0"/>
          <w:color w:val="000000"/>
          <w:spacing w:val="0"/>
          <w:sz w:val="28"/>
          <w:szCs w:val="28"/>
        </w:rPr>
        <w:t>个工作日）。</w:t>
      </w:r>
    </w:p>
    <w:p>
      <w:pPr>
        <w:pStyle w:val="2"/>
        <w:keepNext w:val="0"/>
        <w:keepLines w:val="0"/>
        <w:widowControl/>
        <w:suppressLineNumbers w:val="0"/>
        <w:spacing w:before="0" w:beforeAutospacing="0" w:after="0" w:afterAutospacing="0" w:line="40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　　听证权利告知：依据《中华人民共和国行政许可法》，自公示起五日内申请人、利害关系人可对以下拟作出的建设项目噪声、固体废物污染防治设施竣工环境保护验收合格意见要求听证。</w:t>
      </w:r>
    </w:p>
    <w:p>
      <w:pPr>
        <w:pStyle w:val="2"/>
        <w:keepNext w:val="0"/>
        <w:keepLines w:val="0"/>
        <w:widowControl/>
        <w:suppressLineNumbers w:val="0"/>
        <w:spacing w:before="0" w:beforeAutospacing="0" w:after="0" w:afterAutospacing="0" w:line="405" w:lineRule="atLeast"/>
        <w:ind w:left="0" w:right="0" w:firstLine="55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联系电话：</w:t>
      </w:r>
      <w:r>
        <w:rPr>
          <w:rFonts w:hint="default" w:ascii="Times New Roman" w:hAnsi="Times New Roman" w:eastAsia="sans-serif" w:cs="Times New Roman"/>
          <w:i w:val="0"/>
          <w:iCs w:val="0"/>
          <w:caps w:val="0"/>
          <w:color w:val="000000"/>
          <w:spacing w:val="0"/>
          <w:sz w:val="28"/>
          <w:szCs w:val="28"/>
        </w:rPr>
        <w:t>023-</w:t>
      </w:r>
      <w:r>
        <w:rPr>
          <w:rFonts w:hint="eastAsia" w:ascii="方正仿宋_GBK" w:hAnsi="方正仿宋_GBK" w:eastAsia="方正仿宋_GBK" w:cs="方正仿宋_GBK"/>
          <w:i w:val="0"/>
          <w:iCs w:val="0"/>
          <w:caps w:val="0"/>
          <w:color w:val="000000"/>
          <w:spacing w:val="0"/>
          <w:sz w:val="28"/>
          <w:szCs w:val="28"/>
        </w:rPr>
        <w:t>73378685</w:t>
      </w:r>
    </w:p>
    <w:p>
      <w:pPr>
        <w:pStyle w:val="2"/>
        <w:keepNext w:val="0"/>
        <w:keepLines w:val="0"/>
        <w:widowControl/>
        <w:suppressLineNumbers w:val="0"/>
        <w:spacing w:before="0" w:beforeAutospacing="0" w:after="0" w:afterAutospacing="0" w:line="405" w:lineRule="atLeast"/>
        <w:ind w:left="0" w:right="0" w:firstLine="55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传真电话：</w:t>
      </w:r>
      <w:r>
        <w:rPr>
          <w:rFonts w:hint="default" w:ascii="Times New Roman" w:hAnsi="Times New Roman" w:eastAsia="sans-serif" w:cs="Times New Roman"/>
          <w:i w:val="0"/>
          <w:iCs w:val="0"/>
          <w:caps w:val="0"/>
          <w:color w:val="000000"/>
          <w:spacing w:val="0"/>
          <w:sz w:val="28"/>
          <w:szCs w:val="28"/>
        </w:rPr>
        <w:t>023-</w:t>
      </w:r>
      <w:r>
        <w:rPr>
          <w:rFonts w:hint="eastAsia" w:ascii="方正仿宋_GBK" w:hAnsi="方正仿宋_GBK" w:eastAsia="方正仿宋_GBK" w:cs="方正仿宋_GBK"/>
          <w:i w:val="0"/>
          <w:iCs w:val="0"/>
          <w:caps w:val="0"/>
          <w:color w:val="000000"/>
          <w:spacing w:val="0"/>
          <w:sz w:val="28"/>
          <w:szCs w:val="28"/>
        </w:rPr>
        <w:t>73378695</w:t>
      </w:r>
    </w:p>
    <w:p>
      <w:pPr>
        <w:pStyle w:val="2"/>
        <w:keepNext w:val="0"/>
        <w:keepLines w:val="0"/>
        <w:widowControl/>
        <w:suppressLineNumbers w:val="0"/>
        <w:spacing w:before="0" w:beforeAutospacing="0" w:after="0" w:afterAutospacing="0" w:line="405" w:lineRule="atLeast"/>
        <w:ind w:left="570" w:right="0" w:firstLine="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通讯地址：重庆市石柱土家族自治县南宾街道鲤塘坝综合楼8楼邮政编码：400910</w:t>
      </w:r>
    </w:p>
    <w:p>
      <w:pPr>
        <w:pStyle w:val="2"/>
        <w:keepNext w:val="0"/>
        <w:keepLines w:val="0"/>
        <w:widowControl/>
        <w:suppressLineNumbers w:val="0"/>
        <w:spacing w:before="0" w:beforeAutospacing="0" w:after="0" w:afterAutospacing="0" w:line="405" w:lineRule="atLeast"/>
        <w:ind w:left="0" w:right="0" w:firstLine="55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拟作出固体废物污染防治设施竣工环境保护验收合格决定的建设项目</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630"/>
        <w:gridCol w:w="15"/>
        <w:gridCol w:w="645"/>
        <w:gridCol w:w="675"/>
        <w:gridCol w:w="840"/>
        <w:gridCol w:w="825"/>
        <w:gridCol w:w="1695"/>
        <w:gridCol w:w="234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645" w:type="dxa"/>
            <w:gridSpan w:val="2"/>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序号</w:t>
            </w:r>
          </w:p>
        </w:tc>
        <w:tc>
          <w:tcPr>
            <w:tcW w:w="64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项目名称</w:t>
            </w:r>
          </w:p>
        </w:tc>
        <w:tc>
          <w:tcPr>
            <w:tcW w:w="6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建设地点</w:t>
            </w:r>
          </w:p>
        </w:tc>
        <w:tc>
          <w:tcPr>
            <w:tcW w:w="8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单位</w:t>
            </w:r>
          </w:p>
        </w:tc>
        <w:tc>
          <w:tcPr>
            <w:tcW w:w="82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验收监测（调查）单位</w:t>
            </w:r>
          </w:p>
        </w:tc>
        <w:tc>
          <w:tcPr>
            <w:tcW w:w="169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项目概况</w:t>
            </w:r>
          </w:p>
        </w:tc>
        <w:tc>
          <w:tcPr>
            <w:tcW w:w="23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环境保护设施落实情况</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公众参与情况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95" w:hRule="atLeast"/>
        </w:trPr>
        <w:tc>
          <w:tcPr>
            <w:tcW w:w="63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仿宋_GB2312" w:hAnsi="sans-serif" w:eastAsia="仿宋_GB2312" w:cs="仿宋_GB2312"/>
                <w:i w:val="0"/>
                <w:iCs w:val="0"/>
                <w:caps w:val="0"/>
                <w:color w:val="000000"/>
                <w:spacing w:val="0"/>
                <w:sz w:val="21"/>
                <w:szCs w:val="21"/>
                <w:bdr w:val="none" w:color="auto" w:sz="0" w:space="0"/>
              </w:rPr>
              <w:t>1</w:t>
            </w:r>
          </w:p>
        </w:tc>
        <w:tc>
          <w:tcPr>
            <w:tcW w:w="660" w:type="dxa"/>
            <w:gridSpan w:val="2"/>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龙池坝石灰岩矿山技改扩能年产55万吨建筑用碎石项目</w:t>
            </w:r>
          </w:p>
        </w:tc>
        <w:tc>
          <w:tcPr>
            <w:tcW w:w="6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石柱县六塘乡冷水溪</w:t>
            </w:r>
          </w:p>
        </w:tc>
        <w:tc>
          <w:tcPr>
            <w:tcW w:w="8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石柱土家族自治县顺鹏建材有限公司</w:t>
            </w:r>
          </w:p>
        </w:tc>
        <w:tc>
          <w:tcPr>
            <w:tcW w:w="82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重庆腾盛节能环保咨询有限公司</w:t>
            </w:r>
          </w:p>
        </w:tc>
        <w:tc>
          <w:tcPr>
            <w:tcW w:w="169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石柱土家族自治顺鹏建材有限公司龙池坝石灰岩矿山技改扩能年产 55 万吨建筑用碎石项目位于石柱土家族自治县六塘乡辖区范围。矿山中心点 80 坐标：X：3310302、Y:</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36526275。矿山开采矿种为建筑石料用灰岩，主要用于加工建筑材料所用的碎石。改扩建项目由主体工程、辅助工程、公用工程、环保工程及储运工程五部分组成，项目改扩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建后形成 1 条碎石生产线。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本项目矿区范围由 10 个拐点坐标圈闭，矿区面积 0.1346km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2，开采标高为+1486～+1314m，开采嘉陵江组第一段（T1j1）石灰岩。剩余可采储量 512.3 万吨，生产规模为55 万吨/年，剩余开采年限 9.3 年。</w:t>
            </w:r>
          </w:p>
        </w:tc>
        <w:tc>
          <w:tcPr>
            <w:tcW w:w="23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1、固体废物：本项目弃土及废石运至矿区外东南侧 2000m 的公共渣场堆放或出售（矿山后期生态恢复委托专业公司进行，不存在无表土可用的情况）。弃土石堆放及合理利用对环境影响小。生活垃圾采用垃圾桶收集，定期交环卫部门统一处理，对环境影响较小。产生的废油、废棉纱、含油手套交有资质的单位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 </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95" w:hRule="atLeast"/>
        </w:trPr>
        <w:tc>
          <w:tcPr>
            <w:tcW w:w="63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hAnsi="sans-serif" w:eastAsia="仿宋_GB2312" w:cs="仿宋_GB2312"/>
                <w:i w:val="0"/>
                <w:iCs w:val="0"/>
                <w:caps w:val="0"/>
                <w:color w:val="000000"/>
                <w:spacing w:val="0"/>
                <w:sz w:val="21"/>
                <w:szCs w:val="21"/>
                <w:bdr w:val="none" w:color="auto" w:sz="0" w:space="0"/>
              </w:rPr>
              <w:t>2</w:t>
            </w:r>
          </w:p>
        </w:tc>
        <w:tc>
          <w:tcPr>
            <w:tcW w:w="660" w:type="dxa"/>
            <w:gridSpan w:val="2"/>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新发建材厂年产20万吨石灰石碎石生产项目</w:t>
            </w:r>
          </w:p>
        </w:tc>
        <w:tc>
          <w:tcPr>
            <w:tcW w:w="6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石柱土家族自治县万朝镇万康村</w:t>
            </w:r>
          </w:p>
        </w:tc>
        <w:tc>
          <w:tcPr>
            <w:tcW w:w="8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石柱土家族自治县银发建材有限公司</w:t>
            </w:r>
          </w:p>
        </w:tc>
        <w:tc>
          <w:tcPr>
            <w:tcW w:w="82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重庆市居安环境工程有限公司</w:t>
            </w:r>
          </w:p>
        </w:tc>
        <w:tc>
          <w:tcPr>
            <w:tcW w:w="169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石柱土家族自治县银发建材有限公司新发建材厂年产20万吨石灰石碎石生产项目位于石柱县万朝镇万康村茶园组，将生产规模由原来的5万t/a扩大为20万t/a，重新调整的矿区范围由9个拐点圈定，矿山范围由0.0135km2扩大为0.0366km2，开采标高为+740~+605m，露天开采三叠系下统嘉陵江组二、三段的石灰岩矿。石灰岩矿山占用储量为279.7万t，可采储量为251.73万t，服务年限11.4a。</w:t>
            </w:r>
          </w:p>
        </w:tc>
        <w:tc>
          <w:tcPr>
            <w:tcW w:w="23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1、固体废物：设置弃土场存放矿山表土和废石，弃土场下方设置挡墙，四周设置截水沟。厂区设置生活垃圾定点收集桶，定期交环卫部门处理；产生少量的含油废棉纱、含油废手套、废油、废油桶暂存于危废暂存间，交有危废处理资质单位处置；除尘灰集中收集后作为产品外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 </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未开展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95" w:hRule="atLeast"/>
        </w:trPr>
        <w:tc>
          <w:tcPr>
            <w:tcW w:w="63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hAnsi="sans-serif" w:eastAsia="仿宋_GB2312" w:cs="仿宋_GB2312"/>
                <w:i w:val="0"/>
                <w:iCs w:val="0"/>
                <w:caps w:val="0"/>
                <w:color w:val="000000"/>
                <w:spacing w:val="0"/>
                <w:sz w:val="21"/>
                <w:szCs w:val="21"/>
                <w:bdr w:val="none" w:color="auto" w:sz="0" w:space="0"/>
              </w:rPr>
              <w:t>3</w:t>
            </w:r>
          </w:p>
        </w:tc>
        <w:tc>
          <w:tcPr>
            <w:tcW w:w="660" w:type="dxa"/>
            <w:gridSpan w:val="2"/>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七眼泉水电站项目</w:t>
            </w:r>
          </w:p>
        </w:tc>
        <w:tc>
          <w:tcPr>
            <w:tcW w:w="6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石柱县金铃乡华阳村</w:t>
            </w:r>
          </w:p>
        </w:tc>
        <w:tc>
          <w:tcPr>
            <w:tcW w:w="8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重庆龙池水电开发有限公司</w:t>
            </w:r>
          </w:p>
        </w:tc>
        <w:tc>
          <w:tcPr>
            <w:tcW w:w="82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重庆市居安环境工程有限公司</w:t>
            </w:r>
          </w:p>
        </w:tc>
        <w:tc>
          <w:tcPr>
            <w:tcW w:w="169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七眼泉水电站为无调节引水式电站，在白杨坝河七眼泉主泉出流下游80m处建低拦水坝取水，沿右岸修建引水隧洞和明渠总长1547.38m，将河水引至华阳大桥右岸上游约100m岸坡上建压力前池，经压力管道再引至河岸边厂房发电。电站拦水坝坝址控制集雨面积57.35km2，坝址多年平均流量2.46m3/s，多年平均径流量7758万m3。电站装机容量1000kW，保证出力362kW，多年平均发电量468.9874万Kw.h，年利用小时4690h。根据《水利水电工程等级划分及洪水标准（SL252-2000）》第2.1.1款之规定，七眼泉电站工程属Ⅴ等小（2）型工程，主要建筑物由电站拦水坝、引水隧洞和明渠、压力前池、压力管道以及地面厂房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 </w:t>
            </w:r>
          </w:p>
        </w:tc>
        <w:tc>
          <w:tcPr>
            <w:tcW w:w="23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1、固体废物：厂区设置生活垃圾定点收集桶，定期交环卫部门处理；产生的危废暂存于危废暂存间，交有危废处理资质单位处置。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21"/>
                <w:szCs w:val="21"/>
                <w:bdr w:val="none" w:color="auto" w:sz="0" w:space="0"/>
              </w:rPr>
              <w:t> </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开展</w:t>
            </w:r>
          </w:p>
        </w:tc>
      </w:tr>
    </w:tbl>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A5218"/>
    <w:rsid w:val="787A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2024-01-15T08:43:00Z</dcterms:created>
  <dc:creator>Administrator</dc:creator>
  <cp:lastModifiedBy>Administrator</cp:lastModifiedBy>
  <dcterms:modified xsi:type="dcterms:W3CDTF">2024-01-15T08:45:03Z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EC43416A67D347A3A09D557E80517AAD</vt:lpwstr>
  </property>
</Properties>
</file>