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75E6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1" w:name="_GoBack"/>
      <w:bookmarkEnd w:id="1"/>
      <w:r>
        <w:rPr>
          <w:rFonts w:hint="eastAsia" w:ascii="方正小标宋_GBK" w:hAnsi="方正小标宋_GBK" w:eastAsia="方正小标宋_GBK" w:cs="方正小标宋_GBK"/>
          <w:sz w:val="36"/>
          <w:szCs w:val="36"/>
        </w:rPr>
        <w:t>石柱土家族自治县水利局（本级）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28535455">
      <w:pPr>
        <w:pStyle w:val="3"/>
        <w:pageBreakBefore w:val="0"/>
        <w:widowControl/>
        <w:numPr>
          <w:ilvl w:val="0"/>
          <w:numId w:val="0"/>
        </w:numPr>
        <w:kinsoku/>
        <w:overflowPunct/>
        <w:topLinePunct w:val="0"/>
        <w:autoSpaceDN/>
        <w:bidi w:val="0"/>
        <w:adjustRightInd/>
        <w:snapToGrid w:val="0"/>
        <w:spacing w:line="20" w:lineRule="atLeast"/>
        <w:rPr>
          <w:rFonts w:hint="default" w:ascii="宋体" w:hAnsi="宋体" w:eastAsia="宋体" w:cs="宋体"/>
        </w:rPr>
      </w:pPr>
      <w:r>
        <w:rPr>
          <w:rFonts w:hint="eastAsia" w:ascii="宋体" w:hAnsi="宋体" w:eastAsia="宋体" w:cs="宋体"/>
        </w:rPr>
        <w:t>一、</w:t>
      </w:r>
      <w:r>
        <w:rPr>
          <w:rFonts w:hint="eastAsia" w:ascii="宋体" w:hAnsi="宋体" w:eastAsia="宋体" w:cs="宋体"/>
          <w:lang w:eastAsia="zh-CN"/>
        </w:rPr>
        <w:t>单位</w:t>
      </w:r>
      <w:r>
        <w:rPr>
          <w:rFonts w:hint="eastAsia" w:ascii="宋体" w:hAnsi="宋体" w:eastAsia="宋体" w:cs="宋体"/>
        </w:rPr>
        <w:t>基本情况</w:t>
      </w:r>
    </w:p>
    <w:p w14:paraId="5E364291">
      <w:pPr>
        <w:pStyle w:val="8"/>
        <w:bidi w:val="0"/>
        <w:rPr>
          <w:rStyle w:val="12"/>
          <w:rFonts w:hint="default"/>
          <w:sz w:val="28"/>
          <w:szCs w:val="28"/>
        </w:rPr>
      </w:pPr>
      <w:r>
        <w:rPr>
          <w:rStyle w:val="12"/>
          <w:sz w:val="28"/>
          <w:szCs w:val="28"/>
        </w:rPr>
        <w:t>（一）职能职责</w:t>
      </w:r>
    </w:p>
    <w:p w14:paraId="1D8AF4B4">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负责保障水资源的合理开发利用。贯彻执行水利水资源法律法规规章及方针政策；研究提出全县水利发展规划和政策建议，起草水利规范性文件，组织编制全县水资源规划、江河湖泊流域综合规划、防洪规划等水利规划。</w:t>
      </w:r>
    </w:p>
    <w:p w14:paraId="3D1DA760">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2.负责生活、生产经营和生态环境用水的统筹和保障。组织实施最严格的水资源管理制度，实施水资源的统一监督管理，拟订全县和重要区域水中长期供求规划、水量分配方案并监督实施。负责主要流域、区域以及调水工程的水资源调度。按权限组织实施取水许可、水资源论证和防洪论证制度，推进开展水资源有偿使用工作。指导水利行业供水和乡镇供水工作。</w:t>
      </w:r>
    </w:p>
    <w:p w14:paraId="2BCB889D">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3.按规定拟订水利工程建设有关制度并组织实施，负责提出全县水利固定资产投资规模、方向、具体安排建议并组织实施，按县政府规定权限审批、核准规划内和年度计划规模内固定资产投资项目，提出县级及以上水利资金安排建议并负责项目实施的监督管理。</w:t>
      </w:r>
    </w:p>
    <w:p w14:paraId="363D73AE">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4.负责水资源保护工作。组织编制并实施水资源保护规划。会同有关部门做好饮用水水源保护有关工作，指导地下水开发利用，按规定权限负责地下水的统一管理和监督工作。</w:t>
      </w:r>
    </w:p>
    <w:p w14:paraId="12ABC110">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5.负责节约用水工作。贯彻落实节约用水政策及有关标准，组织编制节约用水规划并监督实施，组织实施用水总量控制等管理制度，指导和推动节水型社会建设工作。</w:t>
      </w:r>
    </w:p>
    <w:p w14:paraId="6E28EC68">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6.负责水文工作。负责全县水文水资源监测、水文站网的建设与管理。对江河湖库和地下水实施监测，发布水文水资源信息、情报预报和水资源公报。按规定组织开展水资源、水能资源调查评价和水资源承载能力监测预警工作。</w:t>
      </w:r>
    </w:p>
    <w:p w14:paraId="02F070F3">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7.负责水利设施、水域及其岸线的管理、保护与综合利用。负责水利基础设施网络建设。负责江河湖库及河口的治理、开发和保护。负责河库水生态保护与修复、生态流量水量管理以及水系连通工作。承担全县河（库）长制工作的组织和协调及县河长办公室日常工作。</w:t>
      </w:r>
    </w:p>
    <w:p w14:paraId="036C46E5">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8.负责监督水利工程建设与运行管理。组织实施重要水利工程建设与运行管理。贯彻落实重要水利工程建设、运行管理的有关政策措施，负责监督工程安全运行，组织工程验收有关工作，督促指导协调配套工程建设。</w:t>
      </w:r>
    </w:p>
    <w:p w14:paraId="7B698ED4">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9.负责水土保持工作。拟订水土保持规划并监督实施，组织实施水土流失的综合防治、监测预报并定期公告。负责建设项目水土保持监督管理工作，负责重点水土保持建设项目的实施。承担县水土保持委员会办公室日常工作。</w:t>
      </w:r>
    </w:p>
    <w:p w14:paraId="6C0D1999">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10.负责农村水利工作。组织开展灌排工程建设与改造。组织指导农村饮水安全工程建设管理工作，组织推进节水灌溉有关工作。负责农村水利改革创新和社会化服务体系建设。负责农村水能资源开发、小水电改造和水电农村电气化工作。</w:t>
      </w:r>
    </w:p>
    <w:p w14:paraId="0DFD0A49">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11.负责水利工程移民管理工作。贯彻落实水利工程移民有关政策，组织实施水利工程移民安置验收、监督评估等制度。贯彻落实水库移民后期扶持政策，负责三峡工程后续工作规划的综合协调、组织实施和监督管理，负责三峡库区对口支援等工作。承担县三峡库区对口支援办公室日常工作。</w:t>
      </w:r>
    </w:p>
    <w:p w14:paraId="3CA20CBF">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12.负责组织涉水违法事件的查处，组织指导水政监察和水行政执法。依法负责水利行业安全生产工作，负责水库、水电站大坝、农村水电站的安全监管。负责水利建设市场的监督管理，组织实施水利工程建设的监督。</w:t>
      </w:r>
    </w:p>
    <w:p w14:paraId="734875FE">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13.开展水利科技和交流合作工作。组织开展水利行业质量监督工作，贯彻执行水利行业的技术标准和规程规范，组织开展水利科研技术成果推广。负责水利对外交流、合作等有关事务。</w:t>
      </w:r>
    </w:p>
    <w:p w14:paraId="56FEDB00">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14.负责落实综合防灾减灾规划相关要求，组织编制全县洪水干旱灾害防治规划并组织实施，贯彻落实有关防护标准。承担水情旱情监测预警工作。组织编制重要江河水库和重要水工程的防御洪水抗御旱灾调度及应急水量调度方案，按程序报批并组织实施。承担防御洪水应急抢险的技术支撑工作。</w:t>
      </w:r>
    </w:p>
    <w:p w14:paraId="7708F56D">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15.完成县委和县政府交办的其他任务。</w:t>
      </w:r>
    </w:p>
    <w:p w14:paraId="094F9E21">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16.职能转变。石柱土家族自治县水利局应切实加强水资源合理利用、优化配置和节约保护。坚持节水优先，从增加供给转向更加重视需求管理，严格控制用水总量和提高用水效率。坚持保护优先，加强水资源、水域和水利工程的管理保护，维护河库健康美丽。坚持统筹兼顾，保障合理用水需求和水资源的可持续利用，为经济社会发展提供水安全保障。</w:t>
      </w:r>
    </w:p>
    <w:p w14:paraId="20112793">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17.与有关部门职责分工。关于防汛抗旱工作。石柱土家族自治县水利局负责落实综合防灾减灾规划相关要求，组织编制洪水干旱灾害防治规划并组织实施，贯彻落实有关防护标准；承担水情旱情监测预警工作；组织编制重要江河水库和重要水工程的防御洪水抗御旱灾调度和应急水量调度方案，按程序报批并组织实施；承担其他江河水库和水工程相应方案备案管理并监督实施；承担防御洪水应急抢险的技术支撑工作；负责防汛抗旱先期处置。石柱土家族自治县应急管理局负责组织编制全县总体应急预案和安全生产类、自然灾害类专项预案，综合协调应急预案衔接工作，组织开展预案演练，组织协调较大以上灾害应急救援工作并按权限作出决定</w:t>
      </w:r>
      <w:bookmarkStart w:id="0" w:name="OLE_LINK1"/>
      <w:r>
        <w:rPr>
          <w:rFonts w:hint="eastAsia" w:ascii="宋体" w:hAnsi="宋体" w:cs="Times New Roman"/>
          <w:color w:val="auto"/>
          <w:sz w:val="28"/>
          <w:szCs w:val="24"/>
          <w:lang w:val="en-US" w:eastAsia="zh-CN"/>
        </w:rPr>
        <w:t>；</w:t>
      </w:r>
      <w:bookmarkEnd w:id="0"/>
      <w:r>
        <w:rPr>
          <w:rFonts w:hint="eastAsia" w:ascii="宋体" w:hAnsi="宋体" w:cs="Times New Roman"/>
          <w:color w:val="auto"/>
          <w:sz w:val="28"/>
          <w:szCs w:val="24"/>
          <w:lang w:val="en-US" w:eastAsia="zh-CN"/>
        </w:rPr>
        <w:t>承担县应对较大以上灾害指挥部工作，协助县委、县政府指定的负责同志组织较大以上灾害应急处置工作；组织编制综合防灾减灾规划，指导协调相关部门水旱灾害等防治工作；会同县级有关部门建立统一的应急管理信息平台，建立监测预警和灾情报告制度，健全自然灾害信息资源获取和共享机制，依法统一发布灾情；开展多灾种和灾害链综合监测预警，指导开展自然灾害综合风险评估。</w:t>
      </w:r>
    </w:p>
    <w:p w14:paraId="69C11B70">
      <w:pPr>
        <w:pStyle w:val="8"/>
        <w:bidi w:val="0"/>
        <w:rPr>
          <w:rStyle w:val="12"/>
          <w:rFonts w:hint="default" w:ascii="Times New Roman" w:hAnsi="Times New Roman" w:eastAsia="宋体" w:cs="Times New Roman"/>
          <w:sz w:val="28"/>
          <w:szCs w:val="28"/>
        </w:rPr>
      </w:pPr>
      <w:r>
        <w:rPr>
          <w:rStyle w:val="12"/>
          <w:rFonts w:ascii="Times New Roman" w:hAnsi="Times New Roman" w:eastAsia="宋体" w:cs="Times New Roman"/>
          <w:sz w:val="28"/>
          <w:szCs w:val="28"/>
        </w:rPr>
        <w:t>（二）机构设置</w:t>
      </w:r>
    </w:p>
    <w:p w14:paraId="4C44F1BB">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rPr>
        <w:t>石柱土家族自治县水利局设下列内设机构：</w:t>
      </w:r>
    </w:p>
    <w:p w14:paraId="64941483">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cs="Times New Roman"/>
          <w:color w:val="auto"/>
          <w:sz w:val="28"/>
          <w:szCs w:val="24"/>
          <w:lang w:val="en-US" w:eastAsia="zh-CN"/>
        </w:rPr>
        <w:t>1.</w:t>
      </w:r>
      <w:r>
        <w:rPr>
          <w:rFonts w:hint="eastAsia" w:ascii="宋体" w:hAnsi="宋体" w:cs="Times New Roman"/>
          <w:color w:val="auto"/>
          <w:sz w:val="28"/>
          <w:szCs w:val="24"/>
        </w:rPr>
        <w:t>办公室。负责机关日常运转工作。承担信息、保密、党内法规、政务公开和综合协调、会务、督查督办、考核、新闻宣传、组织人事、机构编制、信访、档案、后勤等工作。负责机关规章制度建设。负责综合性文稿材料撰写工作。牵头负责水利信息化工作。</w:t>
      </w:r>
    </w:p>
    <w:p w14:paraId="4F6A76BA">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2.</w:t>
      </w:r>
      <w:r>
        <w:rPr>
          <w:rFonts w:hint="eastAsia" w:ascii="宋体" w:hAnsi="宋体" w:cs="Times New Roman"/>
          <w:color w:val="auto"/>
          <w:sz w:val="28"/>
          <w:szCs w:val="24"/>
        </w:rPr>
        <w:t>财务科。编制部门预算并组织实施，承担机关及所属单位的财务管理和资产管理工作。负责提出各级水利财政资金安排建议，并统筹协调项目实施的监督管理和绩效评价。提出有关水利价格、基金、信贷等建议。负责本部门及所属事业单位审计工作。</w:t>
      </w:r>
    </w:p>
    <w:p w14:paraId="274B4EDF">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3.</w:t>
      </w:r>
      <w:r>
        <w:rPr>
          <w:rFonts w:hint="eastAsia" w:ascii="宋体" w:hAnsi="宋体" w:cs="Times New Roman"/>
          <w:color w:val="auto"/>
          <w:sz w:val="28"/>
          <w:szCs w:val="24"/>
        </w:rPr>
        <w:t>规划计划科（行政许可服务科）。组织编制全县水利发展规划、流域规划和重大专项规划。协调、指导水利专业和专项规划的编制工作。负责全局性重大水利改革统筹协调。负责水利固定资产投资和建设项目前期工作投资计划的统筹管理。负责水工程建设项目合规性审查。指导水利建设项目前期工作，提出全县水利固定资产投资的规模、方向、项目安排建议和年度建议计划。指导水利建设项目后评估工作。承担水利统计、普查有关工作。负责水利勘察设计市场的监督管理，组织实施县级水利行政许可项目的技术审查以及建设和运行管理重大技术审查工作。承担本部门行政审批制度改革工作，相对集中本部门有关行政审批事项的受理和审批工作。管理本部门行政审批窗口。</w:t>
      </w:r>
    </w:p>
    <w:p w14:paraId="12B3A3A2">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4.</w:t>
      </w:r>
      <w:r>
        <w:rPr>
          <w:rFonts w:hint="eastAsia" w:ascii="宋体" w:hAnsi="宋体" w:cs="Times New Roman"/>
          <w:color w:val="auto"/>
          <w:sz w:val="28"/>
          <w:szCs w:val="24"/>
        </w:rPr>
        <w:t>水利工程建设科(三峡库区工作科)。负责水利工程移民安置管理及后期扶持相关工作。组织编制全县水利工程移民安置规划并监督实施。负责水利工程移民后期扶持政策的实施。负责水利设施的管理、保护与综合利用。负责水利工程建设与运行的监督管理，制定有关制度并组织实施。负责水利建设市场的监督管理。承担已成水利工程的运行管理和除险加固工作。监督执行水利行业技术标准和规程规范。负责三峡工程（石柱库段）后续工作。负责水利科技、教育培训、对外交流合作工作。组织开展水利技术成果推广。</w:t>
      </w:r>
    </w:p>
    <w:p w14:paraId="0AF84E00">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5.</w:t>
      </w:r>
      <w:r>
        <w:rPr>
          <w:rFonts w:hint="eastAsia" w:ascii="宋体" w:hAnsi="宋体" w:cs="Times New Roman"/>
          <w:color w:val="auto"/>
          <w:sz w:val="28"/>
          <w:szCs w:val="24"/>
        </w:rPr>
        <w:t>水资源开发与管理科。负责保障水资源的合理开发和利用。负责生活、生产经营和生态环境用水的统筹和保障。负责水资源保护工作。负责节约用水工作。负责水质检测工作。负责农村水利工作，组织实施灌排工程建设与改造，指导实施农村饮水安全工程建设管理工作，组织指导节水灌溉有关工作。指导水利行业供水和乡镇供水工作。组织实施农村水能资源开发相关工作。负责水利扶贫工作。</w:t>
      </w:r>
    </w:p>
    <w:p w14:paraId="2FEFBE86">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6.</w:t>
      </w:r>
      <w:r>
        <w:rPr>
          <w:rFonts w:hint="eastAsia" w:ascii="宋体" w:hAnsi="宋体" w:cs="Times New Roman"/>
          <w:color w:val="auto"/>
          <w:sz w:val="28"/>
          <w:szCs w:val="24"/>
        </w:rPr>
        <w:t>水生态建设科。负责水域及其岸线的管理、保护与综合利用，以及江河水库的治理、开发和保护。负责河库水生态保护与修复、生态流量水量管理以及水系连通工作。负责河道水域的管理和保护工作。承担河道管理范围内工程建设方案的审查工作，拟订河道清障计划和实施方案并监督实施，负责河道采砂的管理、监督和检查。负责水土保持工作。负责水土保持监测监督管理的具体工作，做好水土流失动态监测评估和预防治理工作。拟订水土保持规划并监督实施，负责重点水土保持建设项目的实施。承担全县河长制工作的组织和协调及石柱县河长办公室日常工作。</w:t>
      </w:r>
    </w:p>
    <w:p w14:paraId="7C9B468B">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7.</w:t>
      </w:r>
      <w:r>
        <w:rPr>
          <w:rFonts w:hint="eastAsia" w:ascii="宋体" w:hAnsi="宋体" w:cs="Times New Roman"/>
          <w:color w:val="auto"/>
          <w:sz w:val="28"/>
          <w:szCs w:val="24"/>
        </w:rPr>
        <w:t>安全监督科。依法负责水利行业安全生产工作，承担水库、水电站大坝、农村水电站等已成水利工程的安全监管。负责水利工程建设质量的监督工作。贯彻执行水利、水资源的法律、法规、规章和方针政策，组织拟订有关规范性文件并监督实施。负责涉水违法事件查处、水事纠纷调处的有关工作，组织水政监察和水行政执法工作。负责水文站网建设和管理工作。负责采集和报送水文信息、情报预报工作。负责落实综合防灾减灾规划相关要求，组织编制全县洪水干旱灾害防治规划并实施，承担水情旱情监测预警工作。组织编制重要江河水库和重要水利工程实施防汛抗旱调度和应急水量调度方案，按程序报批并组织实施，承担防御洪水应急抢险的技术支撑及防汛抗旱先期处置工作。</w:t>
      </w:r>
    </w:p>
    <w:p w14:paraId="58852A50">
      <w:pPr>
        <w:keepNext/>
        <w:keepLines/>
        <w:pageBreakBefore w:val="0"/>
        <w:widowControl/>
        <w:suppressLineNumbers/>
        <w:kinsoku/>
        <w:overflowPunct/>
        <w:topLinePunct w:val="0"/>
        <w:autoSpaceDN/>
        <w:bidi w:val="0"/>
        <w:adjustRightInd/>
        <w:snapToGrid w:val="0"/>
        <w:spacing w:line="20" w:lineRule="atLeast"/>
        <w:ind w:firstLine="560"/>
        <w:jc w:val="left"/>
        <w:rPr>
          <w:rFonts w:hint="eastAsia" w:ascii="宋体" w:hAnsi="宋体" w:cs="Times New Roman"/>
          <w:color w:val="auto"/>
          <w:sz w:val="28"/>
          <w:szCs w:val="24"/>
        </w:rPr>
      </w:pPr>
      <w:r>
        <w:rPr>
          <w:rFonts w:hint="eastAsia" w:ascii="宋体" w:hAnsi="宋体" w:cs="Times New Roman"/>
          <w:color w:val="auto"/>
          <w:sz w:val="28"/>
          <w:szCs w:val="24"/>
        </w:rPr>
        <w:t>机关党支部。负责机关及直属单位党群工作。</w:t>
      </w:r>
    </w:p>
    <w:p w14:paraId="1CF05AD5">
      <w:pPr>
        <w:pStyle w:val="4"/>
        <w:bidi w:val="0"/>
        <w:rPr>
          <w:rStyle w:val="12"/>
          <w:rFonts w:hint="default" w:ascii="黑体" w:hAnsi="黑体" w:eastAsia="黑体" w:cs="黑体"/>
          <w:b/>
          <w:sz w:val="32"/>
          <w:szCs w:val="32"/>
          <w:shd w:val="clear" w:color="auto" w:fill="FFFFFF"/>
        </w:rPr>
      </w:pPr>
      <w:r>
        <w:rPr>
          <w:rStyle w:val="12"/>
          <w:rFonts w:ascii="黑体" w:hAnsi="黑体" w:eastAsia="黑体" w:cs="黑体"/>
          <w:b/>
          <w:sz w:val="32"/>
          <w:szCs w:val="32"/>
          <w:shd w:val="clear" w:color="auto" w:fill="FFFFFF"/>
        </w:rPr>
        <w:t>二、</w:t>
      </w:r>
      <w:r>
        <w:rPr>
          <w:rStyle w:val="12"/>
          <w:rFonts w:hint="eastAsia" w:ascii="黑体" w:hAnsi="黑体" w:eastAsia="黑体" w:cs="黑体"/>
          <w:b/>
          <w:sz w:val="32"/>
          <w:szCs w:val="32"/>
          <w:shd w:val="clear" w:color="auto" w:fill="FFFFFF"/>
          <w:lang w:eastAsia="zh-CN"/>
        </w:rPr>
        <w:t>单位</w:t>
      </w:r>
      <w:r>
        <w:rPr>
          <w:rStyle w:val="12"/>
          <w:rFonts w:ascii="黑体" w:hAnsi="黑体" w:eastAsia="黑体" w:cs="黑体"/>
          <w:b/>
          <w:sz w:val="32"/>
          <w:szCs w:val="32"/>
          <w:shd w:val="clear" w:color="auto" w:fill="FFFFFF"/>
        </w:rPr>
        <w:t>决算</w:t>
      </w:r>
      <w:r>
        <w:rPr>
          <w:rStyle w:val="12"/>
          <w:rFonts w:hint="eastAsia" w:ascii="黑体" w:hAnsi="黑体" w:eastAsia="黑体" w:cs="黑体"/>
          <w:b/>
          <w:sz w:val="32"/>
          <w:szCs w:val="32"/>
          <w:shd w:val="clear" w:color="auto" w:fill="FFFFFF"/>
          <w:lang w:eastAsia="zh-CN"/>
        </w:rPr>
        <w:t>收支</w:t>
      </w:r>
      <w:r>
        <w:rPr>
          <w:rStyle w:val="12"/>
          <w:rFonts w:ascii="黑体" w:hAnsi="黑体" w:eastAsia="黑体" w:cs="黑体"/>
          <w:b/>
          <w:sz w:val="32"/>
          <w:szCs w:val="32"/>
          <w:shd w:val="clear" w:color="auto" w:fill="FFFFFF"/>
        </w:rPr>
        <w:t>情况说明</w:t>
      </w:r>
    </w:p>
    <w:p w14:paraId="12ACBF3A">
      <w:pPr>
        <w:pStyle w:val="13"/>
        <w:keepNext w:val="0"/>
        <w:keepLines w:val="0"/>
        <w:pageBreakBefore w:val="0"/>
        <w:widowControl/>
        <w:kinsoku/>
        <w:wordWrap/>
        <w:overflowPunct/>
        <w:topLinePunct w:val="0"/>
        <w:autoSpaceDE w:val="0"/>
        <w:autoSpaceDN/>
        <w:bidi w:val="0"/>
        <w:adjustRightInd/>
        <w:snapToGrid/>
        <w:spacing w:line="596" w:lineRule="exact"/>
        <w:ind w:firstLine="562" w:firstLineChars="200"/>
        <w:textAlignment w:val="auto"/>
        <w:rPr>
          <w:rFonts w:hint="eastAsia" w:ascii="宋体" w:hAnsi="宋体" w:eastAsia="宋体" w:cs="Times New Roman"/>
          <w:b/>
          <w:bCs/>
          <w:color w:val="auto"/>
          <w:sz w:val="28"/>
          <w:szCs w:val="24"/>
          <w:lang w:val="en-US" w:eastAsia="zh-CN" w:bidi="ar-SA"/>
        </w:rPr>
      </w:pPr>
      <w:r>
        <w:rPr>
          <w:rFonts w:hint="eastAsia" w:ascii="宋体" w:hAnsi="宋体" w:eastAsia="宋体" w:cs="Times New Roman"/>
          <w:b/>
          <w:bCs/>
          <w:color w:val="auto"/>
          <w:sz w:val="28"/>
          <w:szCs w:val="24"/>
          <w:lang w:val="en-US" w:eastAsia="zh-CN" w:bidi="ar-SA"/>
        </w:rPr>
        <w:t>（一）收入支出决算总体情况说明</w:t>
      </w:r>
    </w:p>
    <w:p w14:paraId="384FE320">
      <w:pPr>
        <w:pageBreakBefore w:val="0"/>
        <w:widowControl/>
        <w:numPr>
          <w:ilvl w:val="0"/>
          <w:numId w:val="0"/>
        </w:numPr>
        <w:kinsoku/>
        <w:overflowPunct/>
        <w:topLinePunct w:val="0"/>
        <w:autoSpaceDN/>
        <w:bidi w:val="0"/>
        <w:adjustRightInd/>
        <w:snapToGrid w:val="0"/>
        <w:spacing w:line="20" w:lineRule="atLeast"/>
        <w:ind w:firstLine="560" w:firstLineChars="200"/>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lang w:val="en-US" w:eastAsia="zh-CN" w:bidi="ar-SA"/>
        </w:rPr>
        <w:t>2024</w:t>
      </w:r>
      <w:r>
        <w:rPr>
          <w:rFonts w:hint="eastAsia" w:ascii="宋体" w:hAnsi="宋体" w:eastAsia="宋体" w:cs="Times New Roman"/>
          <w:color w:val="auto"/>
          <w:sz w:val="28"/>
          <w:szCs w:val="24"/>
          <w:lang w:val="en-US" w:eastAsia="zh-CN" w:bidi="ar-SA"/>
        </w:rPr>
        <w:t>年度收、支总计均为</w:t>
      </w:r>
      <w:r>
        <w:rPr>
          <w:rFonts w:hint="default" w:ascii="宋体" w:hAnsi="宋体" w:eastAsia="宋体" w:cs="Times New Roman"/>
          <w:color w:val="auto"/>
          <w:sz w:val="28"/>
          <w:szCs w:val="24"/>
          <w:lang w:val="en-US" w:eastAsia="zh-CN" w:bidi="ar-SA"/>
        </w:rPr>
        <w:t>23522.87</w:t>
      </w:r>
      <w:r>
        <w:rPr>
          <w:rFonts w:hint="eastAsia" w:ascii="宋体" w:hAnsi="宋体" w:eastAsia="宋体" w:cs="Times New Roman"/>
          <w:color w:val="auto"/>
          <w:sz w:val="28"/>
          <w:szCs w:val="24"/>
          <w:lang w:val="en-US" w:eastAsia="zh-CN" w:bidi="ar-SA"/>
        </w:rPr>
        <w:t>万元。</w:t>
      </w:r>
      <w:r>
        <w:rPr>
          <w:rFonts w:hint="default" w:ascii="宋体" w:hAnsi="宋体" w:eastAsia="宋体" w:cs="Times New Roman"/>
          <w:color w:val="auto"/>
          <w:sz w:val="28"/>
          <w:szCs w:val="24"/>
          <w:lang w:val="en-US" w:eastAsia="zh-CN" w:bidi="ar-SA"/>
        </w:rPr>
        <w:t>收、支与2023年度相比，减少14277.97万元，下降37.8%，主要原因是</w:t>
      </w:r>
      <w:r>
        <w:rPr>
          <w:rFonts w:hint="eastAsia" w:ascii="宋体" w:hAnsi="宋体" w:eastAsia="宋体" w:cs="Times New Roman"/>
          <w:color w:val="auto"/>
          <w:sz w:val="28"/>
          <w:szCs w:val="24"/>
          <w:lang w:val="en-US" w:eastAsia="zh-CN" w:bidi="ar-SA"/>
        </w:rPr>
        <w:t>2024年度政府性基金项目资金减少14277.97万元。</w:t>
      </w:r>
    </w:p>
    <w:p w14:paraId="1C1464BB">
      <w:pPr>
        <w:pageBreakBefore w:val="0"/>
        <w:widowControl/>
        <w:numPr>
          <w:ilvl w:val="0"/>
          <w:numId w:val="0"/>
        </w:numPr>
        <w:kinsoku/>
        <w:overflowPunct/>
        <w:topLinePunct w:val="0"/>
        <w:autoSpaceDN/>
        <w:bidi w:val="0"/>
        <w:adjustRightInd/>
        <w:snapToGrid w:val="0"/>
        <w:spacing w:line="20" w:lineRule="atLeast"/>
        <w:ind w:firstLine="562" w:firstLineChars="200"/>
        <w:rPr>
          <w:rFonts w:hint="default" w:ascii="宋体" w:hAnsi="宋体" w:eastAsia="宋体" w:cs="Times New Roman"/>
          <w:color w:val="auto"/>
          <w:sz w:val="28"/>
          <w:szCs w:val="24"/>
          <w:lang w:val="en-US" w:eastAsia="zh-CN" w:bidi="ar-SA"/>
        </w:rPr>
      </w:pPr>
      <w:r>
        <w:rPr>
          <w:rFonts w:hint="eastAsia" w:ascii="宋体" w:hAnsi="宋体" w:eastAsia="宋体" w:cs="Times New Roman"/>
          <w:b/>
          <w:bCs/>
          <w:color w:val="auto"/>
          <w:sz w:val="28"/>
          <w:szCs w:val="24"/>
          <w:lang w:val="en-US" w:eastAsia="zh-CN" w:bidi="ar-SA"/>
        </w:rPr>
        <w:t>1.收入情况</w:t>
      </w:r>
      <w:r>
        <w:rPr>
          <w:rFonts w:hint="eastAsia" w:ascii="宋体" w:hAnsi="宋体" w:eastAsia="宋体" w:cs="Times New Roman"/>
          <w:color w:val="auto"/>
          <w:sz w:val="28"/>
          <w:szCs w:val="24"/>
          <w:lang w:val="en-US" w:eastAsia="zh-CN" w:bidi="ar-SA"/>
        </w:rPr>
        <w:t>。</w:t>
      </w:r>
      <w:r>
        <w:rPr>
          <w:rFonts w:hint="default" w:ascii="宋体" w:hAnsi="宋体" w:eastAsia="宋体" w:cs="Times New Roman"/>
          <w:color w:val="auto"/>
          <w:sz w:val="28"/>
          <w:szCs w:val="24"/>
          <w:lang w:val="en-US" w:eastAsia="zh-CN" w:bidi="ar-SA"/>
        </w:rPr>
        <w:t>2024</w:t>
      </w:r>
      <w:r>
        <w:rPr>
          <w:rFonts w:hint="eastAsia" w:ascii="宋体" w:hAnsi="宋体" w:eastAsia="宋体" w:cs="Times New Roman"/>
          <w:color w:val="auto"/>
          <w:sz w:val="28"/>
          <w:szCs w:val="24"/>
          <w:lang w:val="en-US" w:eastAsia="zh-CN" w:bidi="ar-SA"/>
        </w:rPr>
        <w:t>年度收入合计</w:t>
      </w:r>
      <w:r>
        <w:rPr>
          <w:rFonts w:hint="default" w:ascii="宋体" w:hAnsi="宋体" w:eastAsia="宋体" w:cs="Times New Roman"/>
          <w:color w:val="auto"/>
          <w:sz w:val="28"/>
          <w:szCs w:val="24"/>
          <w:lang w:val="en-US" w:eastAsia="zh-CN" w:bidi="ar-SA"/>
        </w:rPr>
        <w:t>23522.87</w:t>
      </w:r>
      <w:r>
        <w:rPr>
          <w:rFonts w:hint="eastAsia" w:ascii="宋体" w:hAnsi="宋体" w:eastAsia="宋体" w:cs="Times New Roman"/>
          <w:color w:val="auto"/>
          <w:sz w:val="28"/>
          <w:szCs w:val="24"/>
          <w:lang w:val="en-US" w:eastAsia="zh-CN" w:bidi="ar-SA"/>
        </w:rPr>
        <w:t>万元，</w:t>
      </w:r>
      <w:r>
        <w:rPr>
          <w:rFonts w:hint="default" w:ascii="宋体" w:hAnsi="宋体" w:eastAsia="宋体" w:cs="Times New Roman"/>
          <w:color w:val="auto"/>
          <w:sz w:val="28"/>
          <w:szCs w:val="24"/>
          <w:lang w:val="en-US" w:eastAsia="zh-CN" w:bidi="ar-SA"/>
        </w:rPr>
        <w:t>与2023年度相比，减少14277.97万元，下降37.8%</w:t>
      </w:r>
      <w:r>
        <w:rPr>
          <w:rFonts w:hint="eastAsia" w:ascii="宋体" w:hAnsi="宋体" w:eastAsia="宋体" w:cs="Times New Roman"/>
          <w:color w:val="auto"/>
          <w:sz w:val="28"/>
          <w:szCs w:val="24"/>
          <w:lang w:val="en-US" w:eastAsia="zh-CN" w:bidi="ar-SA"/>
        </w:rPr>
        <w:t>，主要原因是2024年度政府性基金项目资金减少14277.97万元。其中：财政拨款收入</w:t>
      </w:r>
      <w:r>
        <w:rPr>
          <w:rFonts w:hint="default" w:ascii="宋体" w:hAnsi="宋体" w:eastAsia="宋体" w:cs="Times New Roman"/>
          <w:color w:val="auto"/>
          <w:sz w:val="28"/>
          <w:szCs w:val="24"/>
          <w:lang w:val="en-US" w:eastAsia="zh-CN" w:bidi="ar-SA"/>
        </w:rPr>
        <w:t>23522.87</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100.0%</w:t>
      </w:r>
      <w:r>
        <w:rPr>
          <w:rFonts w:hint="eastAsia" w:ascii="宋体" w:hAnsi="宋体" w:eastAsia="宋体" w:cs="Times New Roman"/>
          <w:color w:val="auto"/>
          <w:sz w:val="28"/>
          <w:szCs w:val="24"/>
          <w:lang w:val="en-US" w:eastAsia="zh-CN" w:bidi="ar-SA"/>
        </w:rPr>
        <w:t>；事业收入</w:t>
      </w:r>
      <w:r>
        <w:rPr>
          <w:rFonts w:hint="default" w:ascii="宋体" w:hAnsi="宋体" w:eastAsia="宋体" w:cs="Times New Roman"/>
          <w:color w:val="auto"/>
          <w:sz w:val="28"/>
          <w:szCs w:val="24"/>
          <w:lang w:val="en-US" w:eastAsia="zh-CN" w:bidi="ar-SA"/>
        </w:rPr>
        <w:t>0.00</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0.0%</w:t>
      </w:r>
      <w:r>
        <w:rPr>
          <w:rFonts w:hint="eastAsia" w:ascii="宋体" w:hAnsi="宋体" w:eastAsia="宋体" w:cs="Times New Roman"/>
          <w:color w:val="auto"/>
          <w:sz w:val="28"/>
          <w:szCs w:val="24"/>
          <w:lang w:val="en-US" w:eastAsia="zh-CN" w:bidi="ar-SA"/>
        </w:rPr>
        <w:t>；经营收入</w:t>
      </w:r>
      <w:r>
        <w:rPr>
          <w:rFonts w:hint="default" w:ascii="宋体" w:hAnsi="宋体" w:eastAsia="宋体" w:cs="Times New Roman"/>
          <w:color w:val="auto"/>
          <w:sz w:val="28"/>
          <w:szCs w:val="24"/>
          <w:lang w:val="en-US" w:eastAsia="zh-CN" w:bidi="ar-SA"/>
        </w:rPr>
        <w:t>0.00</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0.0%</w:t>
      </w:r>
      <w:r>
        <w:rPr>
          <w:rFonts w:hint="eastAsia" w:ascii="宋体" w:hAnsi="宋体" w:eastAsia="宋体" w:cs="Times New Roman"/>
          <w:color w:val="auto"/>
          <w:sz w:val="28"/>
          <w:szCs w:val="24"/>
          <w:lang w:val="en-US" w:eastAsia="zh-CN" w:bidi="ar-SA"/>
        </w:rPr>
        <w:t>；其他收入</w:t>
      </w:r>
      <w:r>
        <w:rPr>
          <w:rFonts w:hint="default" w:ascii="宋体" w:hAnsi="宋体" w:eastAsia="宋体" w:cs="Times New Roman"/>
          <w:color w:val="auto"/>
          <w:sz w:val="28"/>
          <w:szCs w:val="24"/>
          <w:lang w:val="en-US" w:eastAsia="zh-CN" w:bidi="ar-SA"/>
        </w:rPr>
        <w:t>0.00</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0.0%</w:t>
      </w:r>
      <w:r>
        <w:rPr>
          <w:rFonts w:hint="eastAsia" w:ascii="宋体" w:hAnsi="宋体" w:eastAsia="宋体" w:cs="Times New Roman"/>
          <w:color w:val="auto"/>
          <w:sz w:val="28"/>
          <w:szCs w:val="24"/>
          <w:lang w:val="en-US" w:eastAsia="zh-CN" w:bidi="ar-SA"/>
        </w:rPr>
        <w:t>。此外，使用非财政拨款结余（含专用结余）</w:t>
      </w:r>
      <w:r>
        <w:rPr>
          <w:rFonts w:hint="default" w:ascii="宋体" w:hAnsi="宋体" w:eastAsia="宋体" w:cs="Times New Roman"/>
          <w:color w:val="auto"/>
          <w:sz w:val="28"/>
          <w:szCs w:val="24"/>
          <w:lang w:val="en-US" w:eastAsia="zh-CN" w:bidi="ar-SA"/>
        </w:rPr>
        <w:t>0.00</w:t>
      </w:r>
      <w:r>
        <w:rPr>
          <w:rFonts w:hint="eastAsia" w:ascii="宋体" w:hAnsi="宋体" w:eastAsia="宋体" w:cs="Times New Roman"/>
          <w:color w:val="auto"/>
          <w:sz w:val="28"/>
          <w:szCs w:val="24"/>
          <w:lang w:val="en-US" w:eastAsia="zh-CN" w:bidi="ar-SA"/>
        </w:rPr>
        <w:t>万元，年初结转和结余</w:t>
      </w:r>
      <w:r>
        <w:rPr>
          <w:rFonts w:hint="default" w:ascii="宋体" w:hAnsi="宋体" w:eastAsia="宋体" w:cs="Times New Roman"/>
          <w:color w:val="auto"/>
          <w:sz w:val="28"/>
          <w:szCs w:val="24"/>
          <w:lang w:val="en-US" w:eastAsia="zh-CN" w:bidi="ar-SA"/>
        </w:rPr>
        <w:t>0.00</w:t>
      </w:r>
      <w:r>
        <w:rPr>
          <w:rFonts w:hint="eastAsia" w:ascii="宋体" w:hAnsi="宋体" w:eastAsia="宋体" w:cs="Times New Roman"/>
          <w:color w:val="auto"/>
          <w:sz w:val="28"/>
          <w:szCs w:val="24"/>
          <w:lang w:val="en-US" w:eastAsia="zh-CN" w:bidi="ar-SA"/>
        </w:rPr>
        <w:t>万元。</w:t>
      </w:r>
    </w:p>
    <w:p w14:paraId="33EB5123">
      <w:pPr>
        <w:pStyle w:val="9"/>
        <w:snapToGrid w:val="0"/>
        <w:spacing w:before="0" w:beforeAutospacing="0" w:after="0" w:afterAutospacing="0" w:line="596" w:lineRule="exact"/>
        <w:ind w:firstLine="562" w:firstLineChars="200"/>
        <w:jc w:val="both"/>
        <w:rPr>
          <w:rFonts w:hint="default" w:ascii="宋体" w:hAnsi="宋体" w:eastAsia="宋体" w:cs="Times New Roman"/>
          <w:color w:val="auto"/>
          <w:sz w:val="28"/>
          <w:szCs w:val="24"/>
          <w:lang w:val="en-US" w:eastAsia="zh-CN" w:bidi="ar-SA"/>
        </w:rPr>
      </w:pPr>
      <w:r>
        <w:rPr>
          <w:rStyle w:val="12"/>
          <w:rFonts w:hint="eastAsia" w:asciiTheme="majorEastAsia" w:hAnsiTheme="majorEastAsia" w:eastAsiaTheme="majorEastAsia" w:cstheme="majorEastAsia"/>
          <w:sz w:val="28"/>
          <w:szCs w:val="28"/>
          <w:shd w:val="clear" w:color="auto" w:fill="FFFFFF"/>
          <w:lang w:val="en-US" w:eastAsia="zh-CN"/>
        </w:rPr>
        <w:t>2</w:t>
      </w:r>
      <w:r>
        <w:rPr>
          <w:rStyle w:val="12"/>
          <w:rFonts w:hint="eastAsia" w:asciiTheme="majorEastAsia" w:hAnsiTheme="majorEastAsia" w:eastAsiaTheme="majorEastAsia" w:cstheme="majorEastAsia"/>
          <w:sz w:val="28"/>
          <w:szCs w:val="28"/>
          <w:shd w:val="clear" w:color="auto" w:fill="FFFFFF"/>
        </w:rPr>
        <w:t>.支出情况。</w:t>
      </w:r>
      <w:r>
        <w:rPr>
          <w:rFonts w:hint="default" w:ascii="宋体" w:hAnsi="宋体" w:eastAsia="宋体" w:cs="Times New Roman"/>
          <w:color w:val="auto"/>
          <w:sz w:val="28"/>
          <w:szCs w:val="24"/>
          <w:lang w:val="en-US" w:eastAsia="zh-CN" w:bidi="ar-SA"/>
        </w:rPr>
        <w:t>2024年度支出合计23522.87万元，与2023年度相比，减少14277.97万元，下降37.8%，主要原因是</w:t>
      </w:r>
      <w:r>
        <w:rPr>
          <w:rFonts w:hint="eastAsia" w:ascii="宋体" w:hAnsi="宋体" w:eastAsia="宋体" w:cs="Times New Roman"/>
          <w:color w:val="auto"/>
          <w:sz w:val="28"/>
          <w:szCs w:val="24"/>
          <w:lang w:val="en-US" w:eastAsia="zh-CN" w:bidi="ar-SA"/>
        </w:rPr>
        <w:t>2024年度政府性基金项目资金减少14277.97万元。</w:t>
      </w:r>
      <w:r>
        <w:rPr>
          <w:rFonts w:hint="default" w:ascii="宋体" w:hAnsi="宋体" w:eastAsia="宋体" w:cs="Times New Roman"/>
          <w:color w:val="auto"/>
          <w:sz w:val="28"/>
          <w:szCs w:val="24"/>
          <w:lang w:val="en-US" w:eastAsia="zh-CN" w:bidi="ar-SA"/>
        </w:rPr>
        <w:t>其中：基本支出498.65万元，占2.1%；项目支出23024.22万元，占97.9%；经营支出0.00万元，占0.0%。此外，结余分配0.00万元。</w:t>
      </w:r>
    </w:p>
    <w:p w14:paraId="2279ACC5">
      <w:pPr>
        <w:pStyle w:val="9"/>
        <w:snapToGrid w:val="0"/>
        <w:spacing w:before="0" w:beforeAutospacing="0" w:after="0" w:afterAutospacing="0" w:line="596" w:lineRule="exact"/>
        <w:ind w:firstLine="643" w:firstLineChars="200"/>
        <w:jc w:val="both"/>
        <w:rPr>
          <w:rFonts w:hint="eastAsia" w:ascii="宋体" w:hAnsi="宋体" w:eastAsia="宋体" w:cs="Times New Roman"/>
          <w:color w:val="auto"/>
          <w:sz w:val="28"/>
          <w:szCs w:val="24"/>
          <w:lang w:val="en-US" w:eastAsia="zh-CN" w:bidi="ar-SA"/>
        </w:rPr>
      </w:pPr>
      <w:r>
        <w:rPr>
          <w:rStyle w:val="12"/>
          <w:rFonts w:hint="eastAsia" w:ascii="Times New Roman" w:hAnsi="Times New Roman" w:eastAsia="方正仿宋_GBK"/>
          <w:sz w:val="32"/>
          <w:szCs w:val="32"/>
          <w:shd w:val="clear" w:color="auto" w:fill="FFFFFF"/>
          <w:lang w:val="en-US" w:eastAsia="zh-CN"/>
        </w:rPr>
        <w:t>3</w:t>
      </w:r>
      <w:r>
        <w:rPr>
          <w:rFonts w:hint="eastAsia" w:ascii="宋体" w:hAnsi="宋体" w:eastAsia="宋体" w:cs="Times New Roman"/>
          <w:b/>
          <w:bCs/>
          <w:color w:val="auto"/>
          <w:sz w:val="28"/>
          <w:szCs w:val="24"/>
          <w:lang w:val="en-US" w:eastAsia="zh-CN" w:bidi="ar-SA"/>
        </w:rPr>
        <w:t>.结转结余情况。</w:t>
      </w:r>
      <w:r>
        <w:rPr>
          <w:rFonts w:hint="eastAsia" w:cs="Times New Roman"/>
          <w:b w:val="0"/>
          <w:bCs w:val="0"/>
          <w:color w:val="auto"/>
          <w:sz w:val="28"/>
          <w:szCs w:val="24"/>
          <w:lang w:val="en-US" w:eastAsia="zh-CN" w:bidi="ar-SA"/>
        </w:rPr>
        <w:t>2</w:t>
      </w:r>
      <w:r>
        <w:rPr>
          <w:rFonts w:hint="default" w:ascii="宋体" w:hAnsi="宋体" w:eastAsia="宋体" w:cs="Times New Roman"/>
          <w:color w:val="auto"/>
          <w:sz w:val="28"/>
          <w:szCs w:val="24"/>
          <w:lang w:val="en-US" w:eastAsia="zh-CN" w:bidi="ar-SA"/>
        </w:rPr>
        <w:t>024年度年末结转和结余0.00万元，与2023年度相比，无增减</w:t>
      </w:r>
      <w:r>
        <w:rPr>
          <w:rFonts w:hint="eastAsia" w:ascii="宋体" w:hAnsi="宋体" w:eastAsia="宋体" w:cs="Times New Roman"/>
          <w:color w:val="auto"/>
          <w:sz w:val="28"/>
          <w:szCs w:val="24"/>
          <w:lang w:val="en-US" w:eastAsia="zh-CN" w:bidi="ar-SA"/>
        </w:rPr>
        <w:t>。</w:t>
      </w:r>
    </w:p>
    <w:p w14:paraId="7B7371CD">
      <w:pPr>
        <w:pStyle w:val="13"/>
        <w:keepNext w:val="0"/>
        <w:keepLines w:val="0"/>
        <w:pageBreakBefore w:val="0"/>
        <w:widowControl/>
        <w:kinsoku/>
        <w:wordWrap/>
        <w:overflowPunct/>
        <w:topLinePunct w:val="0"/>
        <w:autoSpaceDE w:val="0"/>
        <w:autoSpaceDN/>
        <w:bidi w:val="0"/>
        <w:adjustRightInd/>
        <w:snapToGrid/>
        <w:spacing w:line="596" w:lineRule="exact"/>
        <w:ind w:firstLine="562" w:firstLineChars="200"/>
        <w:textAlignment w:val="auto"/>
        <w:rPr>
          <w:rFonts w:hint="eastAsia" w:ascii="宋体" w:hAnsi="宋体" w:eastAsia="宋体" w:cs="Times New Roman"/>
          <w:b/>
          <w:bCs/>
          <w:color w:val="auto"/>
          <w:sz w:val="28"/>
          <w:szCs w:val="24"/>
          <w:lang w:val="en-US" w:eastAsia="zh-CN" w:bidi="ar-SA"/>
        </w:rPr>
      </w:pPr>
      <w:r>
        <w:rPr>
          <w:rFonts w:hint="eastAsia" w:ascii="宋体" w:hAnsi="宋体" w:eastAsia="宋体" w:cs="Times New Roman"/>
          <w:b/>
          <w:bCs/>
          <w:color w:val="auto"/>
          <w:sz w:val="28"/>
          <w:szCs w:val="24"/>
          <w:lang w:val="en-US" w:eastAsia="zh-CN" w:bidi="ar-SA"/>
        </w:rPr>
        <w:t>（二）财政拨款收入支出决算总体情况说明</w:t>
      </w:r>
    </w:p>
    <w:p w14:paraId="28072F68">
      <w:pPr>
        <w:pStyle w:val="9"/>
        <w:snapToGrid w:val="0"/>
        <w:spacing w:before="0" w:beforeAutospacing="0" w:after="0" w:afterAutospacing="0" w:line="596" w:lineRule="exact"/>
        <w:ind w:firstLine="560" w:firstLineChars="200"/>
        <w:jc w:val="both"/>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lang w:val="en-US" w:eastAsia="zh-CN" w:bidi="ar-SA"/>
        </w:rPr>
        <w:t>2024</w:t>
      </w:r>
      <w:r>
        <w:rPr>
          <w:rFonts w:hint="eastAsia" w:ascii="宋体" w:hAnsi="宋体" w:eastAsia="宋体" w:cs="Times New Roman"/>
          <w:color w:val="auto"/>
          <w:sz w:val="28"/>
          <w:szCs w:val="24"/>
          <w:lang w:val="en-US" w:eastAsia="zh-CN" w:bidi="ar-SA"/>
        </w:rPr>
        <w:t>年度财政拨款收、支总计均为</w:t>
      </w:r>
      <w:r>
        <w:rPr>
          <w:rFonts w:hint="default" w:ascii="宋体" w:hAnsi="宋体" w:eastAsia="宋体" w:cs="Times New Roman"/>
          <w:color w:val="auto"/>
          <w:sz w:val="28"/>
          <w:szCs w:val="24"/>
          <w:lang w:val="en-US" w:eastAsia="zh-CN" w:bidi="ar-SA"/>
        </w:rPr>
        <w:t>23522.87</w:t>
      </w:r>
      <w:r>
        <w:rPr>
          <w:rFonts w:hint="eastAsia" w:ascii="宋体" w:hAnsi="宋体" w:eastAsia="宋体" w:cs="Times New Roman"/>
          <w:color w:val="auto"/>
          <w:sz w:val="28"/>
          <w:szCs w:val="24"/>
          <w:lang w:val="en-US" w:eastAsia="zh-CN" w:bidi="ar-SA"/>
        </w:rPr>
        <w:t>万元。与</w:t>
      </w:r>
      <w:r>
        <w:rPr>
          <w:rFonts w:hint="default" w:ascii="宋体" w:hAnsi="宋体" w:eastAsia="宋体" w:cs="Times New Roman"/>
          <w:color w:val="auto"/>
          <w:sz w:val="28"/>
          <w:szCs w:val="24"/>
          <w:lang w:val="en-US" w:eastAsia="zh-CN" w:bidi="ar-SA"/>
        </w:rPr>
        <w:t>2023</w:t>
      </w:r>
      <w:r>
        <w:rPr>
          <w:rFonts w:hint="eastAsia" w:ascii="宋体" w:hAnsi="宋体" w:eastAsia="宋体" w:cs="Times New Roman"/>
          <w:color w:val="auto"/>
          <w:sz w:val="28"/>
          <w:szCs w:val="24"/>
          <w:lang w:val="en-US" w:eastAsia="zh-CN" w:bidi="ar-SA"/>
        </w:rPr>
        <w:t>年度相比，</w:t>
      </w:r>
      <w:r>
        <w:rPr>
          <w:rFonts w:hint="default" w:ascii="宋体" w:hAnsi="宋体" w:eastAsia="宋体" w:cs="Times New Roman"/>
          <w:color w:val="auto"/>
          <w:sz w:val="28"/>
          <w:szCs w:val="24"/>
          <w:lang w:val="en-US" w:eastAsia="zh-CN" w:bidi="ar-SA"/>
        </w:rPr>
        <w:t>财政拨款收、支总计各减少14277.97万元，下降37.8%</w:t>
      </w:r>
      <w:r>
        <w:rPr>
          <w:rFonts w:hint="eastAsia" w:ascii="宋体" w:hAnsi="宋体" w:eastAsia="宋体" w:cs="Times New Roman"/>
          <w:color w:val="auto"/>
          <w:sz w:val="28"/>
          <w:szCs w:val="24"/>
          <w:lang w:val="en-US" w:eastAsia="zh-CN" w:bidi="ar-SA"/>
        </w:rPr>
        <w:t>。主要原因是2024年度政府性基金项目资金减少14277.97万元。</w:t>
      </w:r>
    </w:p>
    <w:p w14:paraId="6B77332B">
      <w:pPr>
        <w:pStyle w:val="13"/>
        <w:keepNext w:val="0"/>
        <w:keepLines w:val="0"/>
        <w:pageBreakBefore w:val="0"/>
        <w:widowControl/>
        <w:kinsoku/>
        <w:wordWrap/>
        <w:overflowPunct/>
        <w:topLinePunct w:val="0"/>
        <w:autoSpaceDE w:val="0"/>
        <w:autoSpaceDN/>
        <w:bidi w:val="0"/>
        <w:adjustRightInd/>
        <w:snapToGrid/>
        <w:spacing w:line="596" w:lineRule="exact"/>
        <w:ind w:firstLine="562" w:firstLineChars="200"/>
        <w:textAlignment w:val="auto"/>
        <w:rPr>
          <w:rFonts w:hint="eastAsia" w:ascii="宋体" w:hAnsi="宋体" w:eastAsia="宋体" w:cs="Times New Roman"/>
          <w:b/>
          <w:bCs/>
          <w:color w:val="auto"/>
          <w:sz w:val="28"/>
          <w:szCs w:val="24"/>
          <w:lang w:val="en-US" w:eastAsia="zh-CN" w:bidi="ar-SA"/>
        </w:rPr>
      </w:pPr>
      <w:r>
        <w:rPr>
          <w:rFonts w:hint="eastAsia" w:ascii="宋体" w:hAnsi="宋体" w:eastAsia="宋体" w:cs="Times New Roman"/>
          <w:b/>
          <w:bCs/>
          <w:color w:val="auto"/>
          <w:sz w:val="28"/>
          <w:szCs w:val="24"/>
          <w:lang w:val="en-US" w:eastAsia="zh-CN" w:bidi="ar-SA"/>
        </w:rPr>
        <w:t>（三）一般公共预算财政拨款收入支出决算情况说明</w:t>
      </w:r>
    </w:p>
    <w:p w14:paraId="416C7D80">
      <w:pPr>
        <w:pStyle w:val="9"/>
        <w:snapToGrid w:val="0"/>
        <w:spacing w:before="0" w:beforeAutospacing="0" w:after="0" w:afterAutospacing="0" w:line="596" w:lineRule="exact"/>
        <w:ind w:firstLine="562" w:firstLineChars="200"/>
        <w:jc w:val="both"/>
        <w:rPr>
          <w:rFonts w:hint="default" w:ascii="宋体" w:hAnsi="宋体" w:eastAsia="宋体" w:cs="Times New Roman"/>
          <w:color w:val="auto"/>
          <w:sz w:val="28"/>
          <w:szCs w:val="24"/>
          <w:lang w:val="en-US" w:eastAsia="zh-CN" w:bidi="ar-SA"/>
        </w:rPr>
      </w:pPr>
      <w:r>
        <w:rPr>
          <w:rStyle w:val="12"/>
          <w:rFonts w:hint="eastAsia" w:ascii="宋体" w:hAnsi="宋体" w:eastAsia="宋体" w:cs="宋体"/>
          <w:sz w:val="28"/>
          <w:szCs w:val="28"/>
          <w:shd w:val="clear" w:color="auto" w:fill="FFFFFF"/>
          <w:lang w:val="en-US" w:eastAsia="zh-CN"/>
        </w:rPr>
        <w:t>1.收入情况。</w:t>
      </w:r>
      <w:r>
        <w:rPr>
          <w:rFonts w:hint="default" w:ascii="宋体" w:hAnsi="宋体" w:eastAsia="宋体" w:cs="Times New Roman"/>
          <w:color w:val="auto"/>
          <w:sz w:val="28"/>
          <w:szCs w:val="24"/>
          <w:lang w:val="en-US" w:eastAsia="zh-CN" w:bidi="ar-SA"/>
        </w:rPr>
        <w:t>2024年度一般公共预算财政拨款收入12570.84万元，与2023年度相比，减少846.48万元，下降</w:t>
      </w:r>
      <w:r>
        <w:rPr>
          <w:rFonts w:hint="default" w:ascii="Times New Roman" w:hAnsi="Times New Roman" w:eastAsia="方正仿宋_GBK"/>
          <w:sz w:val="32"/>
          <w:szCs w:val="32"/>
          <w:shd w:val="clear" w:color="auto" w:fill="FFFFFF"/>
        </w:rPr>
        <w:t>6.3%</w:t>
      </w:r>
      <w:r>
        <w:rPr>
          <w:rFonts w:hint="default" w:ascii="宋体" w:hAnsi="宋体" w:eastAsia="宋体" w:cs="Times New Roman"/>
          <w:color w:val="auto"/>
          <w:sz w:val="28"/>
          <w:szCs w:val="24"/>
          <w:lang w:val="en-US" w:eastAsia="zh-CN" w:bidi="ar-SA"/>
        </w:rPr>
        <w:t>。主要原因</w:t>
      </w:r>
      <w:r>
        <w:rPr>
          <w:rFonts w:hint="eastAsia" w:ascii="宋体" w:hAnsi="宋体" w:eastAsia="宋体" w:cs="Times New Roman"/>
          <w:color w:val="auto"/>
          <w:sz w:val="28"/>
          <w:szCs w:val="24"/>
          <w:lang w:val="en-US" w:eastAsia="zh-CN" w:bidi="ar-SA"/>
        </w:rPr>
        <w:t>是水利发展资金项目较上年有所减少。</w:t>
      </w:r>
      <w:r>
        <w:rPr>
          <w:rFonts w:hint="default" w:ascii="宋体" w:hAnsi="宋体" w:eastAsia="宋体" w:cs="Times New Roman"/>
          <w:color w:val="auto"/>
          <w:sz w:val="28"/>
          <w:szCs w:val="24"/>
          <w:lang w:val="en-US" w:eastAsia="zh-CN" w:bidi="ar-SA"/>
        </w:rPr>
        <w:t>较年初预算数增加5847.31万元，增长87.0%</w:t>
      </w:r>
      <w:r>
        <w:rPr>
          <w:rFonts w:hint="eastAsia" w:ascii="宋体" w:hAnsi="宋体" w:eastAsia="宋体" w:cs="Times New Roman"/>
          <w:color w:val="auto"/>
          <w:sz w:val="28"/>
          <w:szCs w:val="24"/>
          <w:lang w:val="en-US" w:eastAsia="zh-CN" w:bidi="ar-SA"/>
        </w:rPr>
        <w:t>。主要原因是中小河流治理项目在年初基础上追加下达了5533万元。此外，年初财政拨款结转和结余</w:t>
      </w:r>
      <w:r>
        <w:rPr>
          <w:rFonts w:hint="default" w:ascii="宋体" w:hAnsi="宋体" w:eastAsia="宋体" w:cs="Times New Roman"/>
          <w:color w:val="auto"/>
          <w:sz w:val="28"/>
          <w:szCs w:val="24"/>
          <w:lang w:val="en-US" w:eastAsia="zh-CN" w:bidi="ar-SA"/>
        </w:rPr>
        <w:t>0.00</w:t>
      </w:r>
      <w:r>
        <w:rPr>
          <w:rFonts w:hint="eastAsia" w:ascii="宋体" w:hAnsi="宋体" w:eastAsia="宋体" w:cs="Times New Roman"/>
          <w:color w:val="auto"/>
          <w:sz w:val="28"/>
          <w:szCs w:val="24"/>
          <w:lang w:val="en-US" w:eastAsia="zh-CN" w:bidi="ar-SA"/>
        </w:rPr>
        <w:t>万元。</w:t>
      </w:r>
    </w:p>
    <w:p w14:paraId="277EC31D">
      <w:pPr>
        <w:pStyle w:val="9"/>
        <w:snapToGrid w:val="0"/>
        <w:spacing w:before="0" w:beforeAutospacing="0" w:after="0" w:afterAutospacing="0" w:line="596" w:lineRule="exact"/>
        <w:ind w:firstLine="562" w:firstLineChars="200"/>
        <w:jc w:val="both"/>
        <w:rPr>
          <w:rFonts w:hint="eastAsia" w:ascii="宋体" w:hAnsi="宋体" w:eastAsia="宋体" w:cs="Times New Roman"/>
          <w:color w:val="auto"/>
          <w:sz w:val="28"/>
          <w:szCs w:val="24"/>
          <w:lang w:val="en-US" w:eastAsia="zh-CN" w:bidi="ar-SA"/>
        </w:rPr>
      </w:pPr>
      <w:r>
        <w:rPr>
          <w:rStyle w:val="12"/>
          <w:rFonts w:hint="eastAsia" w:ascii="宋体" w:hAnsi="宋体" w:eastAsia="宋体" w:cs="宋体"/>
          <w:sz w:val="28"/>
          <w:szCs w:val="28"/>
          <w:shd w:val="clear" w:color="auto" w:fill="FFFFFF"/>
          <w:lang w:val="en-US" w:eastAsia="zh-CN"/>
        </w:rPr>
        <w:t>2.支出情况。</w:t>
      </w:r>
      <w:r>
        <w:rPr>
          <w:rFonts w:hint="default" w:ascii="宋体" w:hAnsi="宋体" w:eastAsia="宋体" w:cs="Times New Roman"/>
          <w:color w:val="auto"/>
          <w:sz w:val="28"/>
          <w:szCs w:val="24"/>
          <w:lang w:val="en-US" w:eastAsia="zh-CN" w:bidi="ar-SA"/>
        </w:rPr>
        <w:t>2024</w:t>
      </w:r>
      <w:r>
        <w:rPr>
          <w:rFonts w:hint="eastAsia" w:ascii="宋体" w:hAnsi="宋体" w:eastAsia="宋体" w:cs="Times New Roman"/>
          <w:color w:val="auto"/>
          <w:sz w:val="28"/>
          <w:szCs w:val="24"/>
          <w:lang w:val="en-US" w:eastAsia="zh-CN" w:bidi="ar-SA"/>
        </w:rPr>
        <w:t>年度一般公共预算财政拨款支出</w:t>
      </w:r>
      <w:r>
        <w:rPr>
          <w:rFonts w:hint="default" w:ascii="宋体" w:hAnsi="宋体" w:eastAsia="宋体" w:cs="Times New Roman"/>
          <w:color w:val="auto"/>
          <w:sz w:val="28"/>
          <w:szCs w:val="24"/>
          <w:lang w:val="en-US" w:eastAsia="zh-CN" w:bidi="ar-SA"/>
        </w:rPr>
        <w:t>12570.84</w:t>
      </w:r>
      <w:r>
        <w:rPr>
          <w:rFonts w:hint="eastAsia" w:ascii="宋体" w:hAnsi="宋体" w:eastAsia="宋体" w:cs="Times New Roman"/>
          <w:color w:val="auto"/>
          <w:sz w:val="28"/>
          <w:szCs w:val="24"/>
          <w:lang w:val="en-US" w:eastAsia="zh-CN" w:bidi="ar-SA"/>
        </w:rPr>
        <w:t>万元，</w:t>
      </w:r>
      <w:r>
        <w:rPr>
          <w:rFonts w:hint="default" w:ascii="宋体" w:hAnsi="宋体" w:eastAsia="宋体" w:cs="Times New Roman"/>
          <w:color w:val="auto"/>
          <w:sz w:val="28"/>
          <w:szCs w:val="24"/>
          <w:lang w:val="en-US" w:eastAsia="zh-CN" w:bidi="ar-SA"/>
        </w:rPr>
        <w:t>与2023年度相比，减少846.48万元，下降6.3%</w:t>
      </w:r>
      <w:r>
        <w:rPr>
          <w:rFonts w:hint="eastAsia" w:ascii="宋体" w:hAnsi="宋体" w:eastAsia="宋体" w:cs="Times New Roman"/>
          <w:color w:val="auto"/>
          <w:sz w:val="28"/>
          <w:szCs w:val="24"/>
          <w:lang w:val="en-US" w:eastAsia="zh-CN" w:bidi="ar-SA"/>
        </w:rPr>
        <w:t>。主要原因是水利发展资金项目较上年有所减少。</w:t>
      </w:r>
      <w:r>
        <w:rPr>
          <w:rFonts w:hint="default" w:ascii="宋体" w:hAnsi="宋体" w:eastAsia="宋体" w:cs="Times New Roman"/>
          <w:color w:val="auto"/>
          <w:sz w:val="28"/>
          <w:szCs w:val="24"/>
          <w:lang w:val="en-US" w:eastAsia="zh-CN" w:bidi="ar-SA"/>
        </w:rPr>
        <w:t>较年初预算数增加5847.31万元，增长87.0%</w:t>
      </w:r>
      <w:r>
        <w:rPr>
          <w:rFonts w:hint="eastAsia" w:ascii="宋体" w:hAnsi="宋体" w:eastAsia="宋体" w:cs="Times New Roman"/>
          <w:color w:val="auto"/>
          <w:sz w:val="28"/>
          <w:szCs w:val="24"/>
          <w:lang w:val="en-US" w:eastAsia="zh-CN" w:bidi="ar-SA"/>
        </w:rPr>
        <w:t>。主要原因是中小河流治理项目在年初基础上追加下达了5533万元。</w:t>
      </w:r>
    </w:p>
    <w:p w14:paraId="7AE947A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560" w:firstLineChars="200"/>
        <w:jc w:val="both"/>
        <w:textAlignment w:val="auto"/>
        <w:rPr>
          <w:rFonts w:hint="eastAsia" w:asciiTheme="minorEastAsia" w:hAnsiTheme="minorEastAsia" w:eastAsiaTheme="minorEastAsia" w:cstheme="minorEastAsia"/>
          <w:sz w:val="28"/>
          <w:szCs w:val="28"/>
          <w:highlight w:val="none"/>
          <w:shd w:val="clear" w:color="auto" w:fill="FFFFFF"/>
        </w:rPr>
      </w:pPr>
      <w:r>
        <w:rPr>
          <w:rFonts w:hint="eastAsia" w:asciiTheme="minorEastAsia" w:hAnsiTheme="minorEastAsia" w:eastAsiaTheme="minorEastAsia" w:cstheme="minorEastAsia"/>
          <w:sz w:val="28"/>
          <w:szCs w:val="28"/>
          <w:highlight w:val="none"/>
          <w:shd w:val="clear" w:color="auto" w:fill="FFFFFF"/>
        </w:rPr>
        <w:t>一般公共预算财政拨款支出主要</w:t>
      </w:r>
      <w:r>
        <w:rPr>
          <w:rFonts w:hint="eastAsia" w:asciiTheme="minorEastAsia" w:hAnsiTheme="minorEastAsia" w:eastAsiaTheme="minorEastAsia" w:cstheme="minorEastAsia"/>
          <w:sz w:val="28"/>
          <w:szCs w:val="28"/>
          <w:highlight w:val="none"/>
          <w:shd w:val="clear" w:color="auto" w:fill="FFFFFF"/>
          <w:lang w:eastAsia="zh-CN"/>
        </w:rPr>
        <w:t>用途如下</w:t>
      </w:r>
      <w:r>
        <w:rPr>
          <w:rFonts w:hint="eastAsia" w:asciiTheme="minorEastAsia" w:hAnsiTheme="minorEastAsia" w:eastAsiaTheme="minorEastAsia" w:cstheme="minorEastAsia"/>
          <w:sz w:val="28"/>
          <w:szCs w:val="28"/>
          <w:highlight w:val="none"/>
          <w:shd w:val="clear" w:color="auto" w:fill="FFFFFF"/>
        </w:rPr>
        <w:t>：</w:t>
      </w:r>
    </w:p>
    <w:p w14:paraId="12F27D86">
      <w:pPr>
        <w:pStyle w:val="9"/>
        <w:snapToGrid w:val="0"/>
        <w:spacing w:before="0" w:beforeAutospacing="0" w:after="0" w:afterAutospacing="0" w:line="596" w:lineRule="exact"/>
        <w:ind w:firstLine="560" w:firstLineChars="200"/>
        <w:jc w:val="both"/>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w:t>
      </w:r>
      <w:r>
        <w:rPr>
          <w:rFonts w:hint="default" w:ascii="宋体" w:hAnsi="宋体" w:eastAsia="宋体" w:cs="Times New Roman"/>
          <w:color w:val="auto"/>
          <w:sz w:val="28"/>
          <w:szCs w:val="24"/>
          <w:lang w:val="en-US" w:eastAsia="zh-CN" w:bidi="ar-SA"/>
        </w:rPr>
        <w:t>1</w:t>
      </w:r>
      <w:r>
        <w:rPr>
          <w:rFonts w:hint="eastAsia" w:ascii="宋体" w:hAnsi="宋体" w:eastAsia="宋体" w:cs="Times New Roman"/>
          <w:color w:val="auto"/>
          <w:sz w:val="28"/>
          <w:szCs w:val="24"/>
          <w:lang w:val="en-US" w:eastAsia="zh-CN" w:bidi="ar-SA"/>
        </w:rPr>
        <w:t>）一般公共服务支出</w:t>
      </w:r>
      <w:r>
        <w:rPr>
          <w:rFonts w:hint="default" w:ascii="宋体" w:hAnsi="宋体" w:eastAsia="宋体" w:cs="Times New Roman"/>
          <w:color w:val="auto"/>
          <w:sz w:val="28"/>
          <w:szCs w:val="24"/>
          <w:lang w:val="en-US" w:eastAsia="zh-CN" w:bidi="ar-SA"/>
        </w:rPr>
        <w:t>14.09</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0.1%</w:t>
      </w:r>
      <w:r>
        <w:rPr>
          <w:rFonts w:hint="eastAsia" w:ascii="宋体" w:hAnsi="宋体" w:eastAsia="宋体" w:cs="Times New Roman"/>
          <w:color w:val="auto"/>
          <w:sz w:val="28"/>
          <w:szCs w:val="24"/>
          <w:lang w:val="en-US" w:eastAsia="zh-CN" w:bidi="ar-SA"/>
        </w:rPr>
        <w:t>，</w:t>
      </w:r>
      <w:r>
        <w:rPr>
          <w:rFonts w:hint="default" w:ascii="宋体" w:hAnsi="宋体" w:eastAsia="宋体" w:cs="Times New Roman"/>
          <w:color w:val="auto"/>
          <w:sz w:val="28"/>
          <w:szCs w:val="24"/>
          <w:lang w:val="en-US" w:eastAsia="zh-CN" w:bidi="ar-SA"/>
        </w:rPr>
        <w:t>较年初预算数增加14.09万元，增长100.0%</w:t>
      </w:r>
      <w:r>
        <w:rPr>
          <w:rFonts w:hint="eastAsia" w:ascii="宋体" w:hAnsi="宋体" w:eastAsia="宋体" w:cs="Times New Roman"/>
          <w:color w:val="auto"/>
          <w:sz w:val="28"/>
          <w:szCs w:val="24"/>
          <w:lang w:val="en-US" w:eastAsia="zh-CN" w:bidi="ar-SA"/>
        </w:rPr>
        <w:t>，主要原因是年初预算未列入本科目。</w:t>
      </w:r>
    </w:p>
    <w:p w14:paraId="5DBE13D5">
      <w:pPr>
        <w:pStyle w:val="9"/>
        <w:snapToGrid w:val="0"/>
        <w:spacing w:before="0" w:beforeAutospacing="0" w:after="0" w:afterAutospacing="0" w:line="596" w:lineRule="exact"/>
        <w:ind w:firstLine="560" w:firstLineChars="200"/>
        <w:jc w:val="both"/>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（2）社会保障和就业支出</w:t>
      </w:r>
      <w:r>
        <w:rPr>
          <w:rFonts w:hint="default" w:ascii="宋体" w:hAnsi="宋体" w:eastAsia="宋体" w:cs="Times New Roman"/>
          <w:color w:val="auto"/>
          <w:sz w:val="28"/>
          <w:szCs w:val="24"/>
          <w:lang w:val="en-US" w:eastAsia="zh-CN" w:bidi="ar-SA"/>
        </w:rPr>
        <w:t>244.52</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2.0%</w:t>
      </w:r>
      <w:r>
        <w:rPr>
          <w:rFonts w:hint="eastAsia" w:ascii="宋体" w:hAnsi="宋体" w:eastAsia="宋体" w:cs="Times New Roman"/>
          <w:color w:val="auto"/>
          <w:sz w:val="28"/>
          <w:szCs w:val="24"/>
          <w:lang w:val="en-US" w:eastAsia="zh-CN" w:bidi="ar-SA"/>
        </w:rPr>
        <w:t>，</w:t>
      </w:r>
      <w:r>
        <w:rPr>
          <w:rFonts w:hint="default" w:ascii="宋体" w:hAnsi="宋体" w:eastAsia="宋体" w:cs="Times New Roman"/>
          <w:color w:val="auto"/>
          <w:sz w:val="28"/>
          <w:szCs w:val="24"/>
          <w:lang w:val="en-US" w:eastAsia="zh-CN" w:bidi="ar-SA"/>
        </w:rPr>
        <w:t>较年初预算数增加16.99万元，增长7.5%</w:t>
      </w:r>
      <w:r>
        <w:rPr>
          <w:rFonts w:hint="eastAsia" w:ascii="宋体" w:hAnsi="宋体" w:eastAsia="宋体" w:cs="Times New Roman"/>
          <w:color w:val="auto"/>
          <w:sz w:val="28"/>
          <w:szCs w:val="24"/>
          <w:lang w:val="en-US" w:eastAsia="zh-CN" w:bidi="ar-SA"/>
        </w:rPr>
        <w:t>，主要原因是2024年退休人员增加，健康休养费增长166.17万元。</w:t>
      </w:r>
    </w:p>
    <w:p w14:paraId="30A3CD43">
      <w:pPr>
        <w:pStyle w:val="9"/>
        <w:snapToGrid w:val="0"/>
        <w:spacing w:before="0" w:beforeAutospacing="0" w:after="0" w:afterAutospacing="0" w:line="596" w:lineRule="exact"/>
        <w:ind w:firstLine="560" w:firstLineChars="200"/>
        <w:jc w:val="both"/>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（3）卫生健康支出</w:t>
      </w:r>
      <w:r>
        <w:rPr>
          <w:rFonts w:hint="default" w:ascii="宋体" w:hAnsi="宋体" w:eastAsia="宋体" w:cs="Times New Roman"/>
          <w:color w:val="auto"/>
          <w:sz w:val="28"/>
          <w:szCs w:val="24"/>
          <w:lang w:val="en-US" w:eastAsia="zh-CN" w:bidi="ar-SA"/>
        </w:rPr>
        <w:t>36.94</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0.3%</w:t>
      </w:r>
      <w:r>
        <w:rPr>
          <w:rFonts w:hint="eastAsia" w:ascii="宋体" w:hAnsi="宋体" w:eastAsia="宋体" w:cs="Times New Roman"/>
          <w:color w:val="auto"/>
          <w:sz w:val="28"/>
          <w:szCs w:val="24"/>
          <w:lang w:val="en-US" w:eastAsia="zh-CN" w:bidi="ar-SA"/>
        </w:rPr>
        <w:t>，</w:t>
      </w:r>
      <w:r>
        <w:rPr>
          <w:rFonts w:hint="default" w:ascii="宋体" w:hAnsi="宋体" w:eastAsia="宋体" w:cs="Times New Roman"/>
          <w:color w:val="auto"/>
          <w:sz w:val="28"/>
          <w:szCs w:val="24"/>
          <w:lang w:val="en-US" w:eastAsia="zh-CN" w:bidi="ar-SA"/>
        </w:rPr>
        <w:t>较年初预算数增加0.75万元，增长2.1%</w:t>
      </w:r>
      <w:r>
        <w:rPr>
          <w:rFonts w:hint="eastAsia" w:ascii="宋体" w:hAnsi="宋体" w:eastAsia="宋体" w:cs="Times New Roman"/>
          <w:color w:val="auto"/>
          <w:sz w:val="28"/>
          <w:szCs w:val="24"/>
          <w:lang w:val="en-US" w:eastAsia="zh-CN" w:bidi="ar-SA"/>
        </w:rPr>
        <w:t>，主要原因是医疗保险有所减少。</w:t>
      </w:r>
    </w:p>
    <w:p w14:paraId="78D0E33B">
      <w:pPr>
        <w:pStyle w:val="9"/>
        <w:snapToGrid w:val="0"/>
        <w:spacing w:before="0" w:beforeAutospacing="0" w:after="0" w:afterAutospacing="0" w:line="596" w:lineRule="exact"/>
        <w:ind w:firstLine="560" w:firstLineChars="200"/>
        <w:jc w:val="both"/>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w:t>
      </w:r>
      <w:r>
        <w:rPr>
          <w:rFonts w:hint="eastAsia" w:cs="Times New Roman"/>
          <w:color w:val="auto"/>
          <w:sz w:val="28"/>
          <w:szCs w:val="24"/>
          <w:lang w:val="en-US" w:eastAsia="zh-CN" w:bidi="ar-SA"/>
        </w:rPr>
        <w:t>4</w:t>
      </w:r>
      <w:r>
        <w:rPr>
          <w:rFonts w:hint="eastAsia" w:ascii="宋体" w:hAnsi="宋体" w:eastAsia="宋体" w:cs="Times New Roman"/>
          <w:color w:val="auto"/>
          <w:sz w:val="28"/>
          <w:szCs w:val="24"/>
          <w:lang w:val="en-US" w:eastAsia="zh-CN" w:bidi="ar-SA"/>
        </w:rPr>
        <w:t>）农林水支出</w:t>
      </w:r>
      <w:r>
        <w:rPr>
          <w:rFonts w:hint="default" w:ascii="宋体" w:hAnsi="宋体" w:eastAsia="宋体" w:cs="Times New Roman"/>
          <w:color w:val="auto"/>
          <w:sz w:val="28"/>
          <w:szCs w:val="24"/>
          <w:lang w:val="en-US" w:eastAsia="zh-CN" w:bidi="ar-SA"/>
        </w:rPr>
        <w:t>11594.40</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92.2%</w:t>
      </w:r>
      <w:r>
        <w:rPr>
          <w:rFonts w:hint="eastAsia" w:ascii="宋体" w:hAnsi="宋体" w:eastAsia="宋体" w:cs="Times New Roman"/>
          <w:color w:val="auto"/>
          <w:sz w:val="28"/>
          <w:szCs w:val="24"/>
          <w:lang w:val="en-US" w:eastAsia="zh-CN" w:bidi="ar-SA"/>
        </w:rPr>
        <w:t>，</w:t>
      </w:r>
      <w:r>
        <w:rPr>
          <w:rFonts w:hint="default" w:ascii="宋体" w:hAnsi="宋体" w:eastAsia="宋体" w:cs="Times New Roman"/>
          <w:color w:val="auto"/>
          <w:sz w:val="28"/>
          <w:szCs w:val="24"/>
          <w:lang w:val="en-US" w:eastAsia="zh-CN" w:bidi="ar-SA"/>
        </w:rPr>
        <w:t>较年初预算数增加5198.28万元，增长81.3%</w:t>
      </w:r>
      <w:r>
        <w:rPr>
          <w:rFonts w:hint="eastAsia" w:ascii="宋体" w:hAnsi="宋体" w:eastAsia="宋体" w:cs="Times New Roman"/>
          <w:color w:val="auto"/>
          <w:sz w:val="28"/>
          <w:szCs w:val="24"/>
          <w:lang w:val="en-US" w:eastAsia="zh-CN" w:bidi="ar-SA"/>
        </w:rPr>
        <w:t>，主要原因是中小河流治理项目在年初基础上追加下达了5533万元。</w:t>
      </w:r>
    </w:p>
    <w:p w14:paraId="2267291A">
      <w:pPr>
        <w:pStyle w:val="9"/>
        <w:snapToGrid w:val="0"/>
        <w:spacing w:before="0" w:beforeAutospacing="0" w:after="0" w:afterAutospacing="0" w:line="596" w:lineRule="exact"/>
        <w:ind w:firstLine="560" w:firstLineChars="200"/>
        <w:jc w:val="both"/>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w:t>
      </w:r>
      <w:r>
        <w:rPr>
          <w:rFonts w:hint="eastAsia" w:cs="Times New Roman"/>
          <w:color w:val="auto"/>
          <w:sz w:val="28"/>
          <w:szCs w:val="24"/>
          <w:lang w:val="en-US" w:eastAsia="zh-CN" w:bidi="ar-SA"/>
        </w:rPr>
        <w:t>5</w:t>
      </w:r>
      <w:r>
        <w:rPr>
          <w:rFonts w:hint="eastAsia" w:ascii="宋体" w:hAnsi="宋体" w:eastAsia="宋体" w:cs="Times New Roman"/>
          <w:color w:val="auto"/>
          <w:sz w:val="28"/>
          <w:szCs w:val="24"/>
          <w:lang w:val="en-US" w:eastAsia="zh-CN" w:bidi="ar-SA"/>
        </w:rPr>
        <w:t>）自然资源海洋气象等支出</w:t>
      </w:r>
      <w:r>
        <w:rPr>
          <w:rFonts w:hint="default" w:ascii="宋体" w:hAnsi="宋体" w:eastAsia="宋体" w:cs="Times New Roman"/>
          <w:color w:val="auto"/>
          <w:sz w:val="28"/>
          <w:szCs w:val="24"/>
          <w:lang w:val="en-US" w:eastAsia="zh-CN" w:bidi="ar-SA"/>
        </w:rPr>
        <w:t>667.20</w:t>
      </w:r>
      <w:r>
        <w:rPr>
          <w:rFonts w:hint="eastAsia" w:ascii="宋体" w:hAnsi="宋体" w:eastAsia="宋体" w:cs="Times New Roman"/>
          <w:color w:val="auto"/>
          <w:sz w:val="28"/>
          <w:szCs w:val="24"/>
          <w:lang w:val="en-US" w:eastAsia="zh-CN" w:bidi="ar-SA"/>
        </w:rPr>
        <w:t>万元，占</w:t>
      </w:r>
      <w:r>
        <w:rPr>
          <w:rFonts w:hint="default" w:ascii="宋体" w:hAnsi="宋体" w:eastAsia="宋体" w:cs="Times New Roman"/>
          <w:color w:val="auto"/>
          <w:sz w:val="28"/>
          <w:szCs w:val="24"/>
          <w:lang w:val="en-US" w:eastAsia="zh-CN" w:bidi="ar-SA"/>
        </w:rPr>
        <w:t>5.3%</w:t>
      </w:r>
      <w:r>
        <w:rPr>
          <w:rFonts w:hint="eastAsia" w:ascii="宋体" w:hAnsi="宋体" w:eastAsia="宋体" w:cs="Times New Roman"/>
          <w:color w:val="auto"/>
          <w:sz w:val="28"/>
          <w:szCs w:val="24"/>
          <w:lang w:val="en-US" w:eastAsia="zh-CN" w:bidi="ar-SA"/>
        </w:rPr>
        <w:t>，</w:t>
      </w:r>
      <w:r>
        <w:rPr>
          <w:rFonts w:hint="default" w:ascii="宋体" w:hAnsi="宋体" w:eastAsia="宋体" w:cs="Times New Roman"/>
          <w:color w:val="auto"/>
          <w:sz w:val="28"/>
          <w:szCs w:val="24"/>
          <w:lang w:val="en-US" w:eastAsia="zh-CN" w:bidi="ar-SA"/>
        </w:rPr>
        <w:t>较年初预算数增加667.20万元，增长100.0%</w:t>
      </w:r>
      <w:r>
        <w:rPr>
          <w:rFonts w:hint="eastAsia" w:ascii="宋体" w:hAnsi="宋体" w:eastAsia="宋体" w:cs="Times New Roman"/>
          <w:color w:val="auto"/>
          <w:sz w:val="28"/>
          <w:szCs w:val="24"/>
          <w:lang w:val="en-US" w:eastAsia="zh-CN" w:bidi="ar-SA"/>
        </w:rPr>
        <w:t>，主要原因是年初预算未列入本科目。</w:t>
      </w:r>
    </w:p>
    <w:p w14:paraId="1A146AFC">
      <w:pPr>
        <w:spacing w:line="596" w:lineRule="exact"/>
        <w:ind w:firstLine="560" w:firstLineChars="200"/>
        <w:jc w:val="both"/>
        <w:rPr>
          <w:rFonts w:hint="eastAsia"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lang w:val="en-US" w:eastAsia="zh-CN" w:bidi="ar-SA"/>
        </w:rPr>
        <w:t>（</w:t>
      </w:r>
      <w:r>
        <w:rPr>
          <w:rFonts w:hint="eastAsia" w:cs="Times New Roman"/>
          <w:color w:val="auto"/>
          <w:sz w:val="28"/>
          <w:szCs w:val="24"/>
          <w:lang w:val="en-US" w:eastAsia="zh-CN" w:bidi="ar-SA"/>
        </w:rPr>
        <w:t>6</w:t>
      </w:r>
      <w:r>
        <w:rPr>
          <w:rFonts w:hint="default" w:ascii="宋体" w:hAnsi="宋体" w:eastAsia="宋体" w:cs="Times New Roman"/>
          <w:color w:val="auto"/>
          <w:sz w:val="28"/>
          <w:szCs w:val="24"/>
          <w:lang w:val="en-US" w:eastAsia="zh-CN" w:bidi="ar-SA"/>
        </w:rPr>
        <w:t>）住房保障支出13.68万元，占0.1%，较年初预算数无增减</w:t>
      </w:r>
      <w:r>
        <w:rPr>
          <w:rFonts w:hint="eastAsia" w:ascii="宋体" w:hAnsi="宋体" w:eastAsia="宋体" w:cs="Times New Roman"/>
          <w:color w:val="auto"/>
          <w:sz w:val="28"/>
          <w:szCs w:val="24"/>
          <w:lang w:val="en-US" w:eastAsia="zh-CN" w:bidi="ar-SA"/>
        </w:rPr>
        <w:t>。</w:t>
      </w:r>
    </w:p>
    <w:p w14:paraId="4BA869E1">
      <w:pPr>
        <w:pStyle w:val="9"/>
        <w:snapToGrid w:val="0"/>
        <w:spacing w:before="0" w:beforeAutospacing="0" w:after="0" w:afterAutospacing="0" w:line="596" w:lineRule="exact"/>
        <w:ind w:firstLine="56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2"/>
          <w:rFonts w:hint="eastAsia" w:ascii="宋体" w:hAnsi="宋体" w:eastAsia="宋体" w:cs="宋体"/>
          <w:sz w:val="28"/>
          <w:szCs w:val="28"/>
          <w:shd w:val="clear" w:color="auto" w:fill="FFFFFF"/>
        </w:rPr>
        <w:t>3.结转结余情况。</w:t>
      </w:r>
      <w:r>
        <w:rPr>
          <w:rFonts w:hint="default" w:ascii="宋体" w:hAnsi="宋体" w:eastAsia="宋体" w:cs="Times New Roman"/>
          <w:color w:val="auto"/>
          <w:sz w:val="28"/>
          <w:szCs w:val="24"/>
          <w:lang w:val="en-US" w:eastAsia="zh-CN" w:bidi="ar-SA"/>
        </w:rPr>
        <w:t>2024年度年末一般公共预算财政拨款结转和结余0.00万元，与2023年度相比，无增减</w:t>
      </w:r>
      <w:r>
        <w:rPr>
          <w:rFonts w:hint="eastAsia" w:ascii="宋体" w:hAnsi="宋体" w:eastAsia="宋体" w:cs="Times New Roman"/>
          <w:color w:val="auto"/>
          <w:sz w:val="28"/>
          <w:szCs w:val="24"/>
          <w:lang w:val="en-US" w:eastAsia="zh-CN" w:bidi="ar-SA"/>
        </w:rPr>
        <w:t>。</w:t>
      </w:r>
    </w:p>
    <w:p w14:paraId="41208233">
      <w:pPr>
        <w:pStyle w:val="13"/>
        <w:keepNext w:val="0"/>
        <w:keepLines w:val="0"/>
        <w:pageBreakBefore w:val="0"/>
        <w:widowControl/>
        <w:kinsoku/>
        <w:wordWrap/>
        <w:overflowPunct/>
        <w:topLinePunct w:val="0"/>
        <w:autoSpaceDE w:val="0"/>
        <w:autoSpaceDN/>
        <w:bidi w:val="0"/>
        <w:adjustRightInd/>
        <w:snapToGrid/>
        <w:spacing w:line="596" w:lineRule="exact"/>
        <w:ind w:firstLine="562" w:firstLineChars="200"/>
        <w:textAlignment w:val="auto"/>
        <w:rPr>
          <w:rFonts w:hint="eastAsia" w:ascii="宋体" w:hAnsi="宋体" w:eastAsia="宋体" w:cs="Times New Roman"/>
          <w:b/>
          <w:bCs/>
          <w:color w:val="auto"/>
          <w:sz w:val="28"/>
          <w:szCs w:val="24"/>
          <w:lang w:val="en-US" w:eastAsia="zh-CN" w:bidi="ar-SA"/>
        </w:rPr>
      </w:pPr>
      <w:r>
        <w:rPr>
          <w:rFonts w:hint="eastAsia" w:ascii="宋体" w:hAnsi="宋体" w:eastAsia="宋体" w:cs="Times New Roman"/>
          <w:b/>
          <w:bCs/>
          <w:color w:val="auto"/>
          <w:sz w:val="28"/>
          <w:szCs w:val="24"/>
          <w:lang w:val="en-US" w:eastAsia="zh-CN" w:bidi="ar-SA"/>
        </w:rPr>
        <w:t>（四）一般公共预算财政拨款基本支出决算情况说明</w:t>
      </w:r>
    </w:p>
    <w:p w14:paraId="6E2A1902">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2024年度一般公共财政拨款基本支出498.65万元。</w:t>
      </w:r>
    </w:p>
    <w:p w14:paraId="5CA3F1D6">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其中：</w:t>
      </w:r>
    </w:p>
    <w:p w14:paraId="533D709E">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人员经费452.17万元，与2023年度相比，减少174.12万元，下降27.8%，主要原因是</w:t>
      </w:r>
      <w:r>
        <w:rPr>
          <w:rFonts w:hint="eastAsia" w:cs="宋体"/>
          <w:sz w:val="28"/>
          <w:szCs w:val="28"/>
          <w:shd w:val="clear" w:color="auto" w:fill="FFFFFF"/>
          <w:lang w:val="en-US" w:eastAsia="zh-CN"/>
        </w:rPr>
        <w:t>2024年我局执法队等9人并入县农业农村委，导致人员减少，工资社保等相应减少。</w:t>
      </w:r>
      <w:r>
        <w:rPr>
          <w:rFonts w:hint="default" w:cs="宋体"/>
          <w:sz w:val="28"/>
          <w:szCs w:val="28"/>
          <w:shd w:val="clear" w:color="auto" w:fill="FFFFFF"/>
          <w:lang w:val="en-US" w:eastAsia="zh-CN"/>
        </w:rPr>
        <w:t>人员经费用途主要包括</w:t>
      </w:r>
      <w:r>
        <w:rPr>
          <w:rFonts w:hint="eastAsia" w:cs="宋体"/>
          <w:sz w:val="28"/>
          <w:szCs w:val="28"/>
          <w:shd w:val="clear" w:color="auto" w:fill="FFFFFF"/>
          <w:lang w:val="en-US" w:eastAsia="zh-CN"/>
        </w:rPr>
        <w:t>基本工资、津贴补贴、绩效工资、社会保障缴费、住房公积金、医疗费等。</w:t>
      </w:r>
    </w:p>
    <w:p w14:paraId="7F5EE60D">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公用经费46.48万元，与2023年度相比，减少0.61万元，下降1.3%，主要原因是</w:t>
      </w:r>
      <w:r>
        <w:rPr>
          <w:rFonts w:hint="eastAsia" w:cs="宋体"/>
          <w:sz w:val="28"/>
          <w:szCs w:val="28"/>
          <w:shd w:val="clear" w:color="auto" w:fill="FFFFFF"/>
          <w:lang w:val="en-US" w:eastAsia="zh-CN"/>
        </w:rPr>
        <w:t>办公费、三公经费等有所减少。</w:t>
      </w:r>
      <w:r>
        <w:rPr>
          <w:rFonts w:hint="default" w:cs="宋体"/>
          <w:sz w:val="28"/>
          <w:szCs w:val="28"/>
          <w:shd w:val="clear" w:color="auto" w:fill="FFFFFF"/>
          <w:lang w:val="en-US" w:eastAsia="zh-CN"/>
        </w:rPr>
        <w:t>公用经费用途主要包括</w:t>
      </w:r>
      <w:r>
        <w:rPr>
          <w:rFonts w:hint="eastAsia" w:cs="宋体"/>
          <w:sz w:val="28"/>
          <w:szCs w:val="28"/>
          <w:shd w:val="clear" w:color="auto" w:fill="FFFFFF"/>
          <w:lang w:val="en-US" w:eastAsia="zh-CN"/>
        </w:rPr>
        <w:t>办公费、水费、电费、邮电费、物业管理费、差旅费、委托业务费、工会经费等。</w:t>
      </w:r>
    </w:p>
    <w:p w14:paraId="75B0A2AA">
      <w:pPr>
        <w:pStyle w:val="13"/>
        <w:keepNext w:val="0"/>
        <w:keepLines w:val="0"/>
        <w:pageBreakBefore w:val="0"/>
        <w:widowControl/>
        <w:kinsoku/>
        <w:wordWrap/>
        <w:overflowPunct/>
        <w:topLinePunct w:val="0"/>
        <w:autoSpaceDE w:val="0"/>
        <w:autoSpaceDN/>
        <w:bidi w:val="0"/>
        <w:adjustRightInd/>
        <w:snapToGrid/>
        <w:spacing w:line="596" w:lineRule="exact"/>
        <w:ind w:firstLine="562" w:firstLineChars="200"/>
        <w:textAlignment w:val="auto"/>
        <w:rPr>
          <w:rFonts w:hint="eastAsia" w:ascii="宋体" w:hAnsi="宋体" w:eastAsia="宋体" w:cs="Times New Roman"/>
          <w:b/>
          <w:bCs/>
          <w:color w:val="auto"/>
          <w:sz w:val="28"/>
          <w:szCs w:val="24"/>
          <w:lang w:val="en-US" w:eastAsia="zh-CN" w:bidi="ar-SA"/>
        </w:rPr>
      </w:pPr>
      <w:r>
        <w:rPr>
          <w:rFonts w:hint="eastAsia" w:ascii="宋体" w:hAnsi="宋体" w:eastAsia="宋体" w:cs="Times New Roman"/>
          <w:b/>
          <w:bCs/>
          <w:color w:val="auto"/>
          <w:sz w:val="28"/>
          <w:szCs w:val="24"/>
          <w:lang w:val="en-US" w:eastAsia="zh-CN" w:bidi="ar-SA"/>
        </w:rPr>
        <w:t>（五）政府性基金预算收支决算情况说明</w:t>
      </w:r>
    </w:p>
    <w:p w14:paraId="591D9EBC">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2024</w:t>
      </w:r>
      <w:r>
        <w:rPr>
          <w:rFonts w:hint="eastAsia" w:cs="宋体"/>
          <w:sz w:val="28"/>
          <w:szCs w:val="28"/>
          <w:shd w:val="clear" w:color="auto" w:fill="FFFFFF"/>
          <w:lang w:val="en-US" w:eastAsia="zh-CN"/>
        </w:rPr>
        <w:t>年度政府性基金预算财政拨款年初结转结余</w:t>
      </w:r>
      <w:r>
        <w:rPr>
          <w:rFonts w:hint="default" w:cs="宋体"/>
          <w:sz w:val="28"/>
          <w:szCs w:val="28"/>
          <w:shd w:val="clear" w:color="auto" w:fill="FFFFFF"/>
          <w:lang w:val="en-US" w:eastAsia="zh-CN"/>
        </w:rPr>
        <w:t>0.00</w:t>
      </w:r>
      <w:r>
        <w:rPr>
          <w:rFonts w:hint="eastAsia" w:cs="宋体"/>
          <w:sz w:val="28"/>
          <w:szCs w:val="28"/>
          <w:shd w:val="clear" w:color="auto" w:fill="FFFFFF"/>
          <w:lang w:val="en-US" w:eastAsia="zh-CN"/>
        </w:rPr>
        <w:t>万元，年末结转结余</w:t>
      </w:r>
      <w:r>
        <w:rPr>
          <w:rFonts w:hint="default" w:cs="宋体"/>
          <w:sz w:val="28"/>
          <w:szCs w:val="28"/>
          <w:shd w:val="clear" w:color="auto" w:fill="FFFFFF"/>
          <w:lang w:val="en-US" w:eastAsia="zh-CN"/>
        </w:rPr>
        <w:t>0.00</w:t>
      </w:r>
      <w:r>
        <w:rPr>
          <w:rFonts w:hint="eastAsia" w:cs="宋体"/>
          <w:sz w:val="28"/>
          <w:szCs w:val="28"/>
          <w:shd w:val="clear" w:color="auto" w:fill="FFFFFF"/>
          <w:lang w:val="en-US" w:eastAsia="zh-CN"/>
        </w:rPr>
        <w:t>万元。本年收入</w:t>
      </w:r>
      <w:r>
        <w:rPr>
          <w:rFonts w:hint="default" w:cs="宋体"/>
          <w:sz w:val="28"/>
          <w:szCs w:val="28"/>
          <w:shd w:val="clear" w:color="auto" w:fill="FFFFFF"/>
          <w:lang w:val="en-US" w:eastAsia="zh-CN"/>
        </w:rPr>
        <w:t>10952.03</w:t>
      </w:r>
      <w:r>
        <w:rPr>
          <w:rFonts w:hint="eastAsia" w:cs="宋体"/>
          <w:sz w:val="28"/>
          <w:szCs w:val="28"/>
          <w:shd w:val="clear" w:color="auto" w:fill="FFFFFF"/>
          <w:lang w:val="en-US" w:eastAsia="zh-CN"/>
        </w:rPr>
        <w:t>万元，</w:t>
      </w:r>
      <w:r>
        <w:rPr>
          <w:rFonts w:hint="default" w:cs="宋体"/>
          <w:sz w:val="28"/>
          <w:szCs w:val="28"/>
          <w:shd w:val="clear" w:color="auto" w:fill="FFFFFF"/>
          <w:lang w:val="en-US" w:eastAsia="zh-CN"/>
        </w:rPr>
        <w:t>与2023年度相比，减少13431.49万元，下降55.1%</w:t>
      </w:r>
      <w:r>
        <w:rPr>
          <w:rFonts w:hint="eastAsia" w:cs="宋体"/>
          <w:sz w:val="28"/>
          <w:szCs w:val="28"/>
          <w:shd w:val="clear" w:color="auto" w:fill="FFFFFF"/>
          <w:lang w:val="en-US" w:eastAsia="zh-CN"/>
        </w:rPr>
        <w:t>，主要原因是大中型水库后期扶持项目减少。本年支出</w:t>
      </w:r>
      <w:r>
        <w:rPr>
          <w:rFonts w:hint="default" w:cs="宋体"/>
          <w:sz w:val="28"/>
          <w:szCs w:val="28"/>
          <w:shd w:val="clear" w:color="auto" w:fill="FFFFFF"/>
          <w:lang w:val="en-US" w:eastAsia="zh-CN"/>
        </w:rPr>
        <w:t>10952.03</w:t>
      </w:r>
      <w:r>
        <w:rPr>
          <w:rFonts w:hint="eastAsia" w:cs="宋体"/>
          <w:sz w:val="28"/>
          <w:szCs w:val="28"/>
          <w:shd w:val="clear" w:color="auto" w:fill="FFFFFF"/>
          <w:lang w:val="en-US" w:eastAsia="zh-CN"/>
        </w:rPr>
        <w:t>万元，</w:t>
      </w:r>
      <w:r>
        <w:rPr>
          <w:rFonts w:hint="default" w:cs="宋体"/>
          <w:sz w:val="28"/>
          <w:szCs w:val="28"/>
          <w:shd w:val="clear" w:color="auto" w:fill="FFFFFF"/>
          <w:lang w:val="en-US" w:eastAsia="zh-CN"/>
        </w:rPr>
        <w:t>与2023年度相比，减少13431.49万元，下降55.1%</w:t>
      </w:r>
      <w:r>
        <w:rPr>
          <w:rFonts w:hint="eastAsia" w:cs="宋体"/>
          <w:sz w:val="28"/>
          <w:szCs w:val="28"/>
          <w:shd w:val="clear" w:color="auto" w:fill="FFFFFF"/>
          <w:lang w:val="en-US" w:eastAsia="zh-CN"/>
        </w:rPr>
        <w:t>，主要原因是大中型水库后期扶持项目减少。</w:t>
      </w:r>
    </w:p>
    <w:p w14:paraId="0501296E">
      <w:pPr>
        <w:pStyle w:val="13"/>
        <w:keepNext w:val="0"/>
        <w:keepLines w:val="0"/>
        <w:pageBreakBefore w:val="0"/>
        <w:widowControl/>
        <w:kinsoku/>
        <w:wordWrap/>
        <w:overflowPunct/>
        <w:topLinePunct w:val="0"/>
        <w:autoSpaceDE w:val="0"/>
        <w:autoSpaceDN/>
        <w:bidi w:val="0"/>
        <w:adjustRightInd/>
        <w:snapToGrid/>
        <w:spacing w:line="596" w:lineRule="exact"/>
        <w:ind w:firstLine="562" w:firstLineChars="200"/>
        <w:textAlignment w:val="auto"/>
        <w:rPr>
          <w:rFonts w:hint="eastAsia" w:ascii="宋体" w:hAnsi="宋体" w:eastAsia="宋体" w:cs="Times New Roman"/>
          <w:b/>
          <w:bCs/>
          <w:color w:val="auto"/>
          <w:sz w:val="28"/>
          <w:szCs w:val="24"/>
          <w:lang w:val="en-US" w:eastAsia="zh-CN" w:bidi="ar-SA"/>
        </w:rPr>
      </w:pPr>
      <w:r>
        <w:rPr>
          <w:rFonts w:hint="eastAsia" w:ascii="宋体" w:hAnsi="宋体" w:eastAsia="宋体" w:cs="Times New Roman"/>
          <w:b/>
          <w:bCs/>
          <w:color w:val="auto"/>
          <w:sz w:val="28"/>
          <w:szCs w:val="24"/>
          <w:lang w:val="en-US" w:eastAsia="zh-CN" w:bidi="ar-SA"/>
        </w:rPr>
        <w:t>（六）国有资本经营预算财政拨款支出决算情况说明</w:t>
      </w:r>
    </w:p>
    <w:p w14:paraId="6FB83140">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eastAsia" w:cs="宋体"/>
          <w:sz w:val="28"/>
          <w:szCs w:val="28"/>
          <w:shd w:val="clear" w:color="auto" w:fill="FFFFFF"/>
          <w:lang w:val="en-US" w:eastAsia="zh-CN"/>
        </w:rPr>
        <w:t>本单位</w:t>
      </w:r>
      <w:r>
        <w:rPr>
          <w:rFonts w:hint="default" w:cs="宋体"/>
          <w:sz w:val="28"/>
          <w:szCs w:val="28"/>
          <w:shd w:val="clear" w:color="auto" w:fill="FFFFFF"/>
          <w:lang w:val="en-US" w:eastAsia="zh-CN"/>
        </w:rPr>
        <w:t>2024</w:t>
      </w:r>
      <w:r>
        <w:rPr>
          <w:rFonts w:hint="eastAsia" w:cs="宋体"/>
          <w:sz w:val="28"/>
          <w:szCs w:val="28"/>
          <w:shd w:val="clear" w:color="auto" w:fill="FFFFFF"/>
          <w:lang w:val="en-US" w:eastAsia="zh-CN"/>
        </w:rPr>
        <w:t>年度无国有资本经营预算财政拨款支出。</w:t>
      </w:r>
    </w:p>
    <w:p w14:paraId="41FB3A1A">
      <w:pPr>
        <w:pStyle w:val="4"/>
        <w:bidi w:val="0"/>
        <w:rPr>
          <w:rFonts w:hint="default"/>
        </w:rPr>
      </w:pPr>
      <w:r>
        <w:t>三、</w:t>
      </w:r>
      <w:r>
        <w:rPr>
          <w:rFonts w:hint="eastAsia"/>
          <w:lang w:eastAsia="zh-CN"/>
        </w:rPr>
        <w:t>财政拨款</w:t>
      </w:r>
      <w:r>
        <w:t>“三公”经费情况说明</w:t>
      </w:r>
    </w:p>
    <w:p w14:paraId="5419A149">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（一）“三公”经费支出总体情况说明</w:t>
      </w:r>
    </w:p>
    <w:p w14:paraId="713B52B6">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2024年度“三公”经费支出共计2.27万元，较年初预算数减少0.21万元，下降8.5%，主要原因是</w:t>
      </w:r>
      <w:r>
        <w:rPr>
          <w:rFonts w:hint="eastAsia" w:cs="宋体"/>
          <w:sz w:val="28"/>
          <w:szCs w:val="28"/>
          <w:shd w:val="clear" w:color="auto" w:fill="FFFFFF"/>
          <w:lang w:val="en-US" w:eastAsia="zh-CN"/>
        </w:rPr>
        <w:t>我单位严格控制三公经费支出</w:t>
      </w:r>
      <w:r>
        <w:rPr>
          <w:rFonts w:hint="default" w:cs="宋体"/>
          <w:sz w:val="28"/>
          <w:szCs w:val="28"/>
          <w:shd w:val="clear" w:color="auto" w:fill="FFFFFF"/>
          <w:lang w:val="en-US" w:eastAsia="zh-CN"/>
        </w:rPr>
        <w:t>较上年支出数减少0.93万元，下降29.1%，主要原因</w:t>
      </w:r>
      <w:r>
        <w:rPr>
          <w:rFonts w:hint="eastAsia" w:cs="宋体"/>
          <w:sz w:val="28"/>
          <w:szCs w:val="28"/>
          <w:shd w:val="clear" w:color="auto" w:fill="FFFFFF"/>
          <w:lang w:val="en-US" w:eastAsia="zh-CN"/>
        </w:rPr>
        <w:t>是落实政府过“紧日子”要求，严格控制“三公”经费支出。</w:t>
      </w:r>
    </w:p>
    <w:p w14:paraId="30AEB412">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（二）“三公”经费分项支出情况</w:t>
      </w:r>
    </w:p>
    <w:p w14:paraId="366C9793">
      <w:pPr>
        <w:pStyle w:val="9"/>
        <w:snapToGrid w:val="0"/>
        <w:spacing w:before="0" w:beforeAutospacing="0" w:after="0" w:afterAutospacing="0" w:line="596" w:lineRule="exact"/>
        <w:ind w:firstLine="560" w:firstLineChars="200"/>
        <w:jc w:val="both"/>
        <w:rPr>
          <w:rFonts w:hint="eastAsia" w:cs="宋体"/>
          <w:sz w:val="28"/>
          <w:szCs w:val="28"/>
          <w:shd w:val="clear" w:color="auto" w:fill="FFFFFF"/>
          <w:lang w:val="en-US" w:eastAsia="zh-CN"/>
        </w:rPr>
      </w:pPr>
      <w:r>
        <w:rPr>
          <w:rFonts w:hint="default" w:cs="宋体"/>
          <w:sz w:val="28"/>
          <w:szCs w:val="28"/>
          <w:shd w:val="clear" w:color="auto" w:fill="FFFFFF"/>
          <w:lang w:val="en-US" w:eastAsia="zh-CN"/>
        </w:rPr>
        <w:t>2024</w:t>
      </w:r>
      <w:r>
        <w:rPr>
          <w:rFonts w:hint="eastAsia" w:cs="宋体"/>
          <w:sz w:val="28"/>
          <w:szCs w:val="28"/>
          <w:shd w:val="clear" w:color="auto" w:fill="FFFFFF"/>
          <w:lang w:val="en-US" w:eastAsia="zh-CN"/>
        </w:rPr>
        <w:t>年度本单位因公出国（境）费用</w:t>
      </w:r>
      <w:r>
        <w:rPr>
          <w:rFonts w:hint="default" w:cs="宋体"/>
          <w:sz w:val="28"/>
          <w:szCs w:val="28"/>
          <w:shd w:val="clear" w:color="auto" w:fill="FFFFFF"/>
          <w:lang w:val="en-US" w:eastAsia="zh-CN"/>
        </w:rPr>
        <w:t>0.00</w:t>
      </w:r>
      <w:r>
        <w:rPr>
          <w:rFonts w:hint="eastAsia" w:cs="宋体"/>
          <w:sz w:val="28"/>
          <w:szCs w:val="28"/>
          <w:shd w:val="clear" w:color="auto" w:fill="FFFFFF"/>
          <w:lang w:val="en-US" w:eastAsia="zh-CN"/>
        </w:rPr>
        <w:t>万元。费用支出</w:t>
      </w:r>
      <w:r>
        <w:rPr>
          <w:rFonts w:hint="default" w:cs="宋体"/>
          <w:sz w:val="28"/>
          <w:szCs w:val="28"/>
          <w:shd w:val="clear" w:color="auto" w:fill="FFFFFF"/>
          <w:lang w:val="en-US" w:eastAsia="zh-CN"/>
        </w:rPr>
        <w:t>较年初预算数无增减</w:t>
      </w:r>
      <w:r>
        <w:rPr>
          <w:rFonts w:hint="eastAsia" w:cs="宋体"/>
          <w:sz w:val="28"/>
          <w:szCs w:val="28"/>
          <w:shd w:val="clear" w:color="auto" w:fill="FFFFFF"/>
          <w:lang w:val="en-US" w:eastAsia="zh-CN"/>
        </w:rPr>
        <w:t>，</w:t>
      </w:r>
      <w:r>
        <w:rPr>
          <w:rFonts w:hint="default" w:cs="宋体"/>
          <w:sz w:val="28"/>
          <w:szCs w:val="28"/>
          <w:shd w:val="clear" w:color="auto" w:fill="FFFFFF"/>
          <w:lang w:val="en-US" w:eastAsia="zh-CN"/>
        </w:rPr>
        <w:t>较上年支出数无增减</w:t>
      </w:r>
      <w:r>
        <w:rPr>
          <w:rFonts w:hint="eastAsia" w:cs="宋体"/>
          <w:sz w:val="28"/>
          <w:szCs w:val="28"/>
          <w:shd w:val="clear" w:color="auto" w:fill="FFFFFF"/>
          <w:lang w:val="en-US" w:eastAsia="zh-CN"/>
        </w:rPr>
        <w:t>。</w:t>
      </w:r>
    </w:p>
    <w:p w14:paraId="47E1FA93">
      <w:pPr>
        <w:pStyle w:val="9"/>
        <w:snapToGrid w:val="0"/>
        <w:spacing w:before="0" w:beforeAutospacing="0" w:after="0" w:afterAutospacing="0" w:line="596" w:lineRule="exact"/>
        <w:ind w:firstLine="560" w:firstLineChars="200"/>
        <w:jc w:val="both"/>
        <w:rPr>
          <w:rFonts w:hint="eastAsia" w:cs="宋体"/>
          <w:sz w:val="28"/>
          <w:szCs w:val="28"/>
          <w:shd w:val="clear" w:color="auto" w:fill="FFFFFF"/>
          <w:lang w:val="en-US" w:eastAsia="zh-CN"/>
        </w:rPr>
      </w:pPr>
      <w:r>
        <w:rPr>
          <w:rFonts w:hint="eastAsia" w:cs="宋体"/>
          <w:sz w:val="28"/>
          <w:szCs w:val="28"/>
          <w:shd w:val="clear" w:color="auto" w:fill="FFFFFF"/>
          <w:lang w:val="en-US" w:eastAsia="zh-CN"/>
        </w:rPr>
        <w:t>公务用车购置费</w:t>
      </w:r>
      <w:r>
        <w:rPr>
          <w:rFonts w:hint="default" w:cs="宋体"/>
          <w:sz w:val="28"/>
          <w:szCs w:val="28"/>
          <w:shd w:val="clear" w:color="auto" w:fill="FFFFFF"/>
          <w:lang w:val="en-US" w:eastAsia="zh-CN"/>
        </w:rPr>
        <w:t>0.00</w:t>
      </w:r>
      <w:r>
        <w:rPr>
          <w:rFonts w:hint="eastAsia" w:cs="宋体"/>
          <w:sz w:val="28"/>
          <w:szCs w:val="28"/>
          <w:shd w:val="clear" w:color="auto" w:fill="FFFFFF"/>
          <w:lang w:val="en-US" w:eastAsia="zh-CN"/>
        </w:rPr>
        <w:t>万元。费用支出</w:t>
      </w:r>
      <w:r>
        <w:rPr>
          <w:rFonts w:hint="default" w:cs="宋体"/>
          <w:sz w:val="28"/>
          <w:szCs w:val="28"/>
          <w:shd w:val="clear" w:color="auto" w:fill="FFFFFF"/>
          <w:lang w:val="en-US" w:eastAsia="zh-CN"/>
        </w:rPr>
        <w:t>较年初预算数无增减</w:t>
      </w:r>
      <w:r>
        <w:rPr>
          <w:rFonts w:hint="eastAsia" w:cs="宋体"/>
          <w:sz w:val="28"/>
          <w:szCs w:val="28"/>
          <w:shd w:val="clear" w:color="auto" w:fill="FFFFFF"/>
          <w:lang w:val="en-US" w:eastAsia="zh-CN"/>
        </w:rPr>
        <w:t>，</w:t>
      </w:r>
      <w:r>
        <w:rPr>
          <w:rFonts w:hint="default" w:cs="宋体"/>
          <w:sz w:val="28"/>
          <w:szCs w:val="28"/>
          <w:shd w:val="clear" w:color="auto" w:fill="FFFFFF"/>
          <w:lang w:val="en-US" w:eastAsia="zh-CN"/>
        </w:rPr>
        <w:t>较上年支出数无增减</w:t>
      </w:r>
      <w:r>
        <w:rPr>
          <w:rFonts w:hint="eastAsia" w:cs="宋体"/>
          <w:sz w:val="28"/>
          <w:szCs w:val="28"/>
          <w:shd w:val="clear" w:color="auto" w:fill="FFFFFF"/>
          <w:lang w:val="en-US" w:eastAsia="zh-CN"/>
        </w:rPr>
        <w:t>。</w:t>
      </w:r>
    </w:p>
    <w:p w14:paraId="28B5A3DA">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eastAsia" w:cs="宋体"/>
          <w:sz w:val="28"/>
          <w:szCs w:val="28"/>
          <w:shd w:val="clear" w:color="auto" w:fill="FFFFFF"/>
          <w:lang w:val="en-US" w:eastAsia="zh-CN"/>
        </w:rPr>
        <w:t>公务用车运行维护费</w:t>
      </w:r>
      <w:r>
        <w:rPr>
          <w:rFonts w:hint="default" w:cs="宋体"/>
          <w:sz w:val="28"/>
          <w:szCs w:val="28"/>
          <w:shd w:val="clear" w:color="auto" w:fill="FFFFFF"/>
          <w:lang w:val="en-US" w:eastAsia="zh-CN"/>
        </w:rPr>
        <w:t>2.00</w:t>
      </w:r>
      <w:r>
        <w:rPr>
          <w:rFonts w:hint="eastAsia" w:cs="宋体"/>
          <w:sz w:val="28"/>
          <w:szCs w:val="28"/>
          <w:shd w:val="clear" w:color="auto" w:fill="FFFFFF"/>
          <w:lang w:val="en-US" w:eastAsia="zh-CN"/>
        </w:rPr>
        <w:t>万元，主要用于车辆用油、过路费、保险费等费用支出。费用支出</w:t>
      </w:r>
      <w:r>
        <w:rPr>
          <w:rFonts w:hint="default" w:cs="宋体"/>
          <w:sz w:val="28"/>
          <w:szCs w:val="28"/>
          <w:shd w:val="clear" w:color="auto" w:fill="FFFFFF"/>
          <w:lang w:val="en-US" w:eastAsia="zh-CN"/>
        </w:rPr>
        <w:t>较年初预算数减少0.20万元，下降9.1%</w:t>
      </w:r>
      <w:r>
        <w:rPr>
          <w:rFonts w:hint="eastAsia" w:cs="宋体"/>
          <w:sz w:val="28"/>
          <w:szCs w:val="28"/>
          <w:shd w:val="clear" w:color="auto" w:fill="FFFFFF"/>
          <w:lang w:val="en-US" w:eastAsia="zh-CN"/>
        </w:rPr>
        <w:t>，主要原因是落实政府过“紧日子”要求，严格控制公车支出。。</w:t>
      </w:r>
      <w:r>
        <w:rPr>
          <w:rFonts w:hint="default" w:cs="宋体"/>
          <w:sz w:val="28"/>
          <w:szCs w:val="28"/>
          <w:shd w:val="clear" w:color="auto" w:fill="FFFFFF"/>
          <w:lang w:val="en-US" w:eastAsia="zh-CN"/>
        </w:rPr>
        <w:t>较上年支出数减少0.50万元，下降20.0%</w:t>
      </w:r>
      <w:r>
        <w:rPr>
          <w:rFonts w:hint="eastAsia" w:cs="宋体"/>
          <w:sz w:val="28"/>
          <w:szCs w:val="28"/>
          <w:shd w:val="clear" w:color="auto" w:fill="FFFFFF"/>
          <w:lang w:val="en-US" w:eastAsia="zh-CN"/>
        </w:rPr>
        <w:t>，主要原因是落实政府过“紧日子”要求，严格控制公车支出。</w:t>
      </w:r>
    </w:p>
    <w:p w14:paraId="623E4CE1">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eastAsia" w:cs="宋体"/>
          <w:sz w:val="28"/>
          <w:szCs w:val="28"/>
          <w:shd w:val="clear" w:color="auto" w:fill="FFFFFF"/>
          <w:lang w:val="en-US" w:eastAsia="zh-CN"/>
        </w:rPr>
        <w:t>公务接待费</w:t>
      </w:r>
      <w:r>
        <w:rPr>
          <w:rFonts w:hint="default" w:cs="宋体"/>
          <w:sz w:val="28"/>
          <w:szCs w:val="28"/>
          <w:shd w:val="clear" w:color="auto" w:fill="FFFFFF"/>
          <w:lang w:val="en-US" w:eastAsia="zh-CN"/>
        </w:rPr>
        <w:t>0.27</w:t>
      </w:r>
      <w:r>
        <w:rPr>
          <w:rFonts w:hint="eastAsia" w:cs="宋体"/>
          <w:sz w:val="28"/>
          <w:szCs w:val="28"/>
          <w:shd w:val="clear" w:color="auto" w:fill="FFFFFF"/>
          <w:lang w:val="en-US" w:eastAsia="zh-CN"/>
        </w:rPr>
        <w:t>万元，主要用于接待接待市级部门巡查等。费用支出</w:t>
      </w:r>
      <w:r>
        <w:rPr>
          <w:rFonts w:hint="default" w:cs="宋体"/>
          <w:sz w:val="28"/>
          <w:szCs w:val="28"/>
          <w:shd w:val="clear" w:color="auto" w:fill="FFFFFF"/>
          <w:lang w:val="en-US" w:eastAsia="zh-CN"/>
        </w:rPr>
        <w:t>较年初预算数减少0.01万元，下降3.6%</w:t>
      </w:r>
      <w:r>
        <w:rPr>
          <w:rFonts w:hint="eastAsia" w:cs="宋体"/>
          <w:sz w:val="28"/>
          <w:szCs w:val="28"/>
          <w:shd w:val="clear" w:color="auto" w:fill="FFFFFF"/>
          <w:lang w:val="en-US" w:eastAsia="zh-CN"/>
        </w:rPr>
        <w:t>，主要原因是落实政府过“紧日子”要求，严格控制控制公务接待次数。</w:t>
      </w:r>
      <w:r>
        <w:rPr>
          <w:rFonts w:hint="default" w:cs="宋体"/>
          <w:sz w:val="28"/>
          <w:szCs w:val="28"/>
          <w:shd w:val="clear" w:color="auto" w:fill="FFFFFF"/>
          <w:lang w:val="en-US" w:eastAsia="zh-CN"/>
        </w:rPr>
        <w:t>较上年支出数减少0.43万元，下降61.4%</w:t>
      </w:r>
      <w:r>
        <w:rPr>
          <w:rFonts w:hint="eastAsia" w:cs="宋体"/>
          <w:sz w:val="28"/>
          <w:szCs w:val="28"/>
          <w:shd w:val="clear" w:color="auto" w:fill="FFFFFF"/>
          <w:lang w:val="en-US" w:eastAsia="zh-CN"/>
        </w:rPr>
        <w:t>，主要原因是落实政府过“紧日子”要求，严格控制控制公务接待次数。</w:t>
      </w:r>
    </w:p>
    <w:p w14:paraId="57600468">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（三）“三公”经费实物量情况</w:t>
      </w:r>
    </w:p>
    <w:p w14:paraId="4A057011">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2024</w:t>
      </w:r>
      <w:r>
        <w:rPr>
          <w:rFonts w:hint="eastAsia" w:cs="宋体"/>
          <w:sz w:val="28"/>
          <w:szCs w:val="28"/>
          <w:shd w:val="clear" w:color="auto" w:fill="FFFFFF"/>
          <w:lang w:val="en-US" w:eastAsia="zh-CN"/>
        </w:rPr>
        <w:t>年度本单位因公出国（境）共计</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个团组，</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人；公务用车购置</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辆，公务车保有量为</w:t>
      </w:r>
      <w:r>
        <w:rPr>
          <w:rFonts w:hint="default" w:cs="宋体"/>
          <w:sz w:val="28"/>
          <w:szCs w:val="28"/>
          <w:shd w:val="clear" w:color="auto" w:fill="FFFFFF"/>
          <w:lang w:val="en-US" w:eastAsia="zh-CN"/>
        </w:rPr>
        <w:t>3</w:t>
      </w:r>
      <w:r>
        <w:rPr>
          <w:rFonts w:hint="eastAsia" w:cs="宋体"/>
          <w:sz w:val="28"/>
          <w:szCs w:val="28"/>
          <w:shd w:val="clear" w:color="auto" w:fill="FFFFFF"/>
          <w:lang w:val="en-US" w:eastAsia="zh-CN"/>
        </w:rPr>
        <w:t>辆；国内公务接待</w:t>
      </w:r>
      <w:r>
        <w:rPr>
          <w:rFonts w:hint="default" w:cs="宋体"/>
          <w:sz w:val="28"/>
          <w:szCs w:val="28"/>
          <w:shd w:val="clear" w:color="auto" w:fill="FFFFFF"/>
          <w:lang w:val="en-US" w:eastAsia="zh-CN"/>
        </w:rPr>
        <w:t>8</w:t>
      </w:r>
      <w:r>
        <w:rPr>
          <w:rFonts w:hint="eastAsia" w:cs="宋体"/>
          <w:sz w:val="28"/>
          <w:szCs w:val="28"/>
          <w:shd w:val="clear" w:color="auto" w:fill="FFFFFF"/>
          <w:lang w:val="en-US" w:eastAsia="zh-CN"/>
        </w:rPr>
        <w:t>批次</w:t>
      </w:r>
      <w:r>
        <w:rPr>
          <w:rFonts w:hint="default" w:cs="宋体"/>
          <w:sz w:val="28"/>
          <w:szCs w:val="28"/>
          <w:shd w:val="clear" w:color="auto" w:fill="FFFFFF"/>
          <w:lang w:val="en-US" w:eastAsia="zh-CN"/>
        </w:rPr>
        <w:t>15</w:t>
      </w:r>
      <w:r>
        <w:rPr>
          <w:rFonts w:hint="eastAsia" w:cs="宋体"/>
          <w:sz w:val="28"/>
          <w:szCs w:val="28"/>
          <w:shd w:val="clear" w:color="auto" w:fill="FFFFFF"/>
          <w:lang w:val="en-US" w:eastAsia="zh-CN"/>
        </w:rPr>
        <w:t>人，其中：国内外事接待</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批次，</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人；国（境）外公务接待</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批次，</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人。</w:t>
      </w:r>
      <w:r>
        <w:rPr>
          <w:rFonts w:hint="default" w:cs="宋体"/>
          <w:sz w:val="28"/>
          <w:szCs w:val="28"/>
          <w:shd w:val="clear" w:color="auto" w:fill="FFFFFF"/>
          <w:lang w:val="en-US" w:eastAsia="zh-CN"/>
        </w:rPr>
        <w:t>2024</w:t>
      </w:r>
      <w:r>
        <w:rPr>
          <w:rFonts w:hint="eastAsia" w:cs="宋体"/>
          <w:sz w:val="28"/>
          <w:szCs w:val="28"/>
          <w:shd w:val="clear" w:color="auto" w:fill="FFFFFF"/>
          <w:lang w:val="en-US" w:eastAsia="zh-CN"/>
        </w:rPr>
        <w:t>年本单位人均接待费</w:t>
      </w:r>
      <w:r>
        <w:rPr>
          <w:rFonts w:hint="default" w:cs="宋体"/>
          <w:sz w:val="28"/>
          <w:szCs w:val="28"/>
          <w:shd w:val="clear" w:color="auto" w:fill="FFFFFF"/>
          <w:lang w:val="en-US" w:eastAsia="zh-CN"/>
        </w:rPr>
        <w:t>183.20</w:t>
      </w:r>
      <w:r>
        <w:rPr>
          <w:rFonts w:hint="eastAsia" w:cs="宋体"/>
          <w:sz w:val="28"/>
          <w:szCs w:val="28"/>
          <w:shd w:val="clear" w:color="auto" w:fill="FFFFFF"/>
          <w:lang w:val="en-US" w:eastAsia="zh-CN"/>
        </w:rPr>
        <w:t>元，车均购置费</w:t>
      </w:r>
      <w:r>
        <w:rPr>
          <w:rFonts w:hint="default" w:cs="宋体"/>
          <w:sz w:val="28"/>
          <w:szCs w:val="28"/>
          <w:shd w:val="clear" w:color="auto" w:fill="FFFFFF"/>
          <w:lang w:val="en-US" w:eastAsia="zh-CN"/>
        </w:rPr>
        <w:t>0</w:t>
      </w:r>
      <w:r>
        <w:rPr>
          <w:rFonts w:hint="eastAsia" w:cs="宋体"/>
          <w:sz w:val="28"/>
          <w:szCs w:val="28"/>
          <w:shd w:val="clear" w:color="auto" w:fill="FFFFFF"/>
          <w:lang w:val="en-US" w:eastAsia="zh-CN"/>
        </w:rPr>
        <w:t>万元，车均维护费</w:t>
      </w:r>
      <w:r>
        <w:rPr>
          <w:rFonts w:hint="default" w:cs="宋体"/>
          <w:sz w:val="28"/>
          <w:szCs w:val="28"/>
          <w:shd w:val="clear" w:color="auto" w:fill="FFFFFF"/>
          <w:lang w:val="en-US" w:eastAsia="zh-CN"/>
        </w:rPr>
        <w:t>0.67</w:t>
      </w:r>
      <w:r>
        <w:rPr>
          <w:rFonts w:hint="eastAsia" w:cs="宋体"/>
          <w:sz w:val="28"/>
          <w:szCs w:val="28"/>
          <w:shd w:val="clear" w:color="auto" w:fill="FFFFFF"/>
          <w:lang w:val="en-US" w:eastAsia="zh-CN"/>
        </w:rPr>
        <w:t>万元。</w:t>
      </w:r>
    </w:p>
    <w:p w14:paraId="0E910557">
      <w:pPr>
        <w:pStyle w:val="4"/>
        <w:bidi w:val="0"/>
        <w:rPr>
          <w:rFonts w:hint="default"/>
        </w:rPr>
      </w:pPr>
      <w:r>
        <w:t>四、其他需要说明的事项</w:t>
      </w:r>
    </w:p>
    <w:p w14:paraId="77DF873D">
      <w:pPr>
        <w:pStyle w:val="13"/>
        <w:pageBreakBefore w:val="0"/>
        <w:widowControl/>
        <w:kinsoku/>
        <w:overflowPunct/>
        <w:topLinePunct w:val="0"/>
        <w:autoSpaceDE w:val="0"/>
        <w:autoSpaceDN/>
        <w:bidi w:val="0"/>
        <w:adjustRightInd/>
        <w:snapToGrid w:val="0"/>
        <w:spacing w:line="20" w:lineRule="atLeast"/>
        <w:ind w:firstLine="643"/>
        <w:rPr>
          <w:rFonts w:hint="default"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（一）财政拨款会议费、培训费和差旅费情况说明</w:t>
      </w:r>
    </w:p>
    <w:p w14:paraId="7F11C7D3">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eastAsia" w:cs="宋体"/>
          <w:sz w:val="28"/>
          <w:szCs w:val="28"/>
          <w:shd w:val="clear" w:color="auto" w:fill="FFFFFF"/>
          <w:lang w:val="en-US" w:eastAsia="zh-CN"/>
        </w:rPr>
        <w:t>本年度会议费支出</w:t>
      </w:r>
      <w:r>
        <w:rPr>
          <w:rFonts w:hint="default" w:cs="宋体"/>
          <w:sz w:val="28"/>
          <w:szCs w:val="28"/>
          <w:shd w:val="clear" w:color="auto" w:fill="FFFFFF"/>
          <w:lang w:val="en-US" w:eastAsia="zh-CN"/>
        </w:rPr>
        <w:t>0.99</w:t>
      </w:r>
      <w:r>
        <w:rPr>
          <w:rFonts w:hint="eastAsia" w:cs="宋体"/>
          <w:sz w:val="28"/>
          <w:szCs w:val="28"/>
          <w:shd w:val="clear" w:color="auto" w:fill="FFFFFF"/>
          <w:lang w:val="en-US" w:eastAsia="zh-CN"/>
        </w:rPr>
        <w:t>万元，</w:t>
      </w:r>
      <w:r>
        <w:rPr>
          <w:rFonts w:hint="default" w:cs="宋体"/>
          <w:sz w:val="28"/>
          <w:szCs w:val="28"/>
          <w:shd w:val="clear" w:color="auto" w:fill="FFFFFF"/>
          <w:lang w:val="en-US" w:eastAsia="zh-CN"/>
        </w:rPr>
        <w:t>与2023年度相比，增加0.79万元，增长395.0%</w:t>
      </w:r>
      <w:r>
        <w:rPr>
          <w:rFonts w:hint="eastAsia" w:cs="宋体"/>
          <w:sz w:val="28"/>
          <w:szCs w:val="28"/>
          <w:shd w:val="clear" w:color="auto" w:fill="FFFFFF"/>
          <w:lang w:val="en-US" w:eastAsia="zh-CN"/>
        </w:rPr>
        <w:t>，主要原因是本年度线下会议次数有所增加。本年度培训费支出</w:t>
      </w:r>
      <w:r>
        <w:rPr>
          <w:rFonts w:hint="default" w:cs="宋体"/>
          <w:sz w:val="28"/>
          <w:szCs w:val="28"/>
          <w:shd w:val="clear" w:color="auto" w:fill="FFFFFF"/>
          <w:lang w:val="en-US" w:eastAsia="zh-CN"/>
        </w:rPr>
        <w:t>0.00</w:t>
      </w:r>
      <w:r>
        <w:rPr>
          <w:rFonts w:hint="eastAsia" w:cs="宋体"/>
          <w:sz w:val="28"/>
          <w:szCs w:val="28"/>
          <w:shd w:val="clear" w:color="auto" w:fill="FFFFFF"/>
          <w:lang w:val="en-US" w:eastAsia="zh-CN"/>
        </w:rPr>
        <w:t>万元，</w:t>
      </w:r>
      <w:r>
        <w:rPr>
          <w:rFonts w:hint="default" w:cs="宋体"/>
          <w:sz w:val="28"/>
          <w:szCs w:val="28"/>
          <w:shd w:val="clear" w:color="auto" w:fill="FFFFFF"/>
          <w:lang w:val="en-US" w:eastAsia="zh-CN"/>
        </w:rPr>
        <w:t>与2023年度相比，减少2.00万元，下降100.0%</w:t>
      </w:r>
      <w:r>
        <w:rPr>
          <w:rFonts w:hint="eastAsia" w:cs="宋体"/>
          <w:sz w:val="28"/>
          <w:szCs w:val="28"/>
          <w:shd w:val="clear" w:color="auto" w:fill="FFFFFF"/>
          <w:lang w:val="en-US" w:eastAsia="zh-CN"/>
        </w:rPr>
        <w:t>，主要原因是本单位本年度未发生培训事项。本年度差旅费支出</w:t>
      </w:r>
      <w:r>
        <w:rPr>
          <w:rFonts w:hint="default" w:cs="宋体"/>
          <w:sz w:val="28"/>
          <w:szCs w:val="28"/>
          <w:shd w:val="clear" w:color="auto" w:fill="FFFFFF"/>
          <w:lang w:val="en-US" w:eastAsia="zh-CN"/>
        </w:rPr>
        <w:t>18.27</w:t>
      </w:r>
      <w:r>
        <w:rPr>
          <w:rFonts w:hint="eastAsia" w:cs="宋体"/>
          <w:sz w:val="28"/>
          <w:szCs w:val="28"/>
          <w:shd w:val="clear" w:color="auto" w:fill="FFFFFF"/>
          <w:lang w:val="en-US" w:eastAsia="zh-CN"/>
        </w:rPr>
        <w:t>万元，</w:t>
      </w:r>
      <w:r>
        <w:rPr>
          <w:rFonts w:hint="default" w:cs="宋体"/>
          <w:sz w:val="28"/>
          <w:szCs w:val="28"/>
          <w:shd w:val="clear" w:color="auto" w:fill="FFFFFF"/>
          <w:lang w:val="en-US" w:eastAsia="zh-CN"/>
        </w:rPr>
        <w:t>与2023年度相比，减少3.07万元，下降14.4%</w:t>
      </w:r>
      <w:r>
        <w:rPr>
          <w:rFonts w:hint="eastAsia" w:cs="宋体"/>
          <w:sz w:val="28"/>
          <w:szCs w:val="28"/>
          <w:shd w:val="clear" w:color="auto" w:fill="FFFFFF"/>
          <w:lang w:val="en-US" w:eastAsia="zh-CN"/>
        </w:rPr>
        <w:t>，主要原因是本单位本年度差旅次数有所减少。</w:t>
      </w:r>
    </w:p>
    <w:p w14:paraId="651CADB3">
      <w:pPr>
        <w:pStyle w:val="13"/>
        <w:pageBreakBefore w:val="0"/>
        <w:widowControl/>
        <w:kinsoku/>
        <w:overflowPunct/>
        <w:topLinePunct w:val="0"/>
        <w:autoSpaceDE w:val="0"/>
        <w:autoSpaceDN/>
        <w:bidi w:val="0"/>
        <w:adjustRightInd/>
        <w:snapToGrid w:val="0"/>
        <w:spacing w:line="20" w:lineRule="atLeast"/>
        <w:ind w:firstLine="643"/>
        <w:rPr>
          <w:rFonts w:hint="default"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（二）机关运行经费情况说明</w:t>
      </w:r>
    </w:p>
    <w:p w14:paraId="265ED112">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2024年度本</w:t>
      </w:r>
      <w:r>
        <w:rPr>
          <w:rFonts w:hint="eastAsia" w:cs="宋体"/>
          <w:sz w:val="28"/>
          <w:szCs w:val="28"/>
          <w:shd w:val="clear" w:color="auto" w:fill="FFFFFF"/>
          <w:lang w:val="en-US" w:eastAsia="zh-CN"/>
        </w:rPr>
        <w:t>单位</w:t>
      </w:r>
      <w:r>
        <w:rPr>
          <w:rFonts w:hint="default" w:cs="宋体"/>
          <w:sz w:val="28"/>
          <w:szCs w:val="28"/>
          <w:shd w:val="clear" w:color="auto" w:fill="FFFFFF"/>
          <w:lang w:val="en-US" w:eastAsia="zh-CN"/>
        </w:rPr>
        <w:t>机关运行经费支出46.48万元，机关运行经费主要用于开支</w:t>
      </w:r>
      <w:r>
        <w:rPr>
          <w:rFonts w:hint="eastAsia" w:cs="宋体"/>
          <w:sz w:val="28"/>
          <w:szCs w:val="28"/>
          <w:shd w:val="clear" w:color="auto" w:fill="FFFFFF"/>
          <w:lang w:val="en-US" w:eastAsia="zh-CN"/>
        </w:rPr>
        <w:t>局机关商品和服务支出。</w:t>
      </w:r>
      <w:r>
        <w:rPr>
          <w:rFonts w:hint="default" w:cs="宋体"/>
          <w:sz w:val="28"/>
          <w:szCs w:val="28"/>
          <w:shd w:val="clear" w:color="auto" w:fill="FFFFFF"/>
          <w:lang w:val="en-US" w:eastAsia="zh-CN"/>
        </w:rPr>
        <w:t>机关运行经费较上年支出数减少0.61万元，下降1.3%，主要原因</w:t>
      </w:r>
      <w:r>
        <w:rPr>
          <w:rFonts w:hint="eastAsia" w:cs="宋体"/>
          <w:sz w:val="28"/>
          <w:szCs w:val="28"/>
          <w:shd w:val="clear" w:color="auto" w:fill="FFFFFF"/>
          <w:lang w:val="en-US" w:eastAsia="zh-CN"/>
        </w:rPr>
        <w:t>是响应政府过“紧日子”要求，节省机关运行开支。</w:t>
      </w:r>
    </w:p>
    <w:p w14:paraId="38DD6249">
      <w:pPr>
        <w:pStyle w:val="13"/>
        <w:pageBreakBefore w:val="0"/>
        <w:widowControl/>
        <w:kinsoku/>
        <w:overflowPunct/>
        <w:topLinePunct w:val="0"/>
        <w:autoSpaceDE w:val="0"/>
        <w:autoSpaceDN/>
        <w:bidi w:val="0"/>
        <w:adjustRightInd/>
        <w:snapToGrid w:val="0"/>
        <w:spacing w:line="20" w:lineRule="atLeast"/>
        <w:ind w:firstLine="643"/>
        <w:rPr>
          <w:rFonts w:hint="default"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（三）国有资产占用情况说明</w:t>
      </w:r>
    </w:p>
    <w:p w14:paraId="24FD3F76">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rPr>
      </w:pPr>
      <w:r>
        <w:rPr>
          <w:rFonts w:hint="default" w:cs="宋体"/>
          <w:sz w:val="28"/>
          <w:szCs w:val="28"/>
          <w:shd w:val="clear" w:color="auto" w:fill="FFFFFF"/>
          <w:lang w:val="en-US" w:eastAsia="zh-CN"/>
        </w:rPr>
        <w:t>截至2024年12月31日，本</w:t>
      </w:r>
      <w:r>
        <w:rPr>
          <w:rFonts w:hint="eastAsia" w:cs="宋体"/>
          <w:sz w:val="28"/>
          <w:szCs w:val="28"/>
          <w:shd w:val="clear" w:color="auto" w:fill="FFFFFF"/>
          <w:lang w:val="en-US" w:eastAsia="zh-CN"/>
        </w:rPr>
        <w:t>单位</w:t>
      </w:r>
      <w:r>
        <w:rPr>
          <w:rFonts w:hint="default" w:cs="宋体"/>
          <w:sz w:val="28"/>
          <w:szCs w:val="28"/>
          <w:shd w:val="clear" w:color="auto" w:fill="FFFFFF"/>
          <w:lang w:val="en-US" w:eastAsia="zh-CN"/>
        </w:rPr>
        <w:t>共有车辆3辆，其中，副部（省）级及以上领导用车0辆、主要负责人用车0辆、机要通信用车0辆、应急保障用车3辆、执法执勤用车0辆，特种专业技术用车0辆，离退休干部用车0辆。单价100万元（含）以上专用设备0台（套）。</w:t>
      </w:r>
    </w:p>
    <w:p w14:paraId="283DAA61">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（四）政府采购支出情况说明</w:t>
      </w:r>
    </w:p>
    <w:p w14:paraId="7887A8DE">
      <w:pPr>
        <w:pStyle w:val="9"/>
        <w:snapToGrid w:val="0"/>
        <w:spacing w:before="0" w:beforeAutospacing="0" w:after="0" w:afterAutospacing="0" w:line="596" w:lineRule="exact"/>
        <w:ind w:firstLine="560" w:firstLineChars="200"/>
        <w:jc w:val="both"/>
        <w:rPr>
          <w:rFonts w:hint="eastAsia" w:cs="宋体"/>
          <w:sz w:val="28"/>
          <w:szCs w:val="28"/>
          <w:shd w:val="clear" w:color="auto" w:fill="FFFFFF"/>
          <w:lang w:val="en-US" w:eastAsia="zh-CN" w:bidi="ar-SA"/>
        </w:rPr>
      </w:pPr>
      <w:r>
        <w:rPr>
          <w:rFonts w:hint="default" w:ascii="宋体" w:hAnsi="宋体" w:eastAsia="宋体" w:cs="宋体"/>
          <w:sz w:val="28"/>
          <w:szCs w:val="28"/>
          <w:shd w:val="clear" w:color="auto" w:fill="FFFFFF"/>
          <w:lang w:val="en-US" w:eastAsia="zh-CN" w:bidi="ar-SA"/>
        </w:rPr>
        <w:t>2024</w:t>
      </w:r>
      <w:r>
        <w:rPr>
          <w:rFonts w:hint="eastAsia" w:ascii="宋体" w:hAnsi="宋体" w:eastAsia="宋体" w:cs="宋体"/>
          <w:sz w:val="28"/>
          <w:szCs w:val="28"/>
          <w:shd w:val="clear" w:color="auto" w:fill="FFFFFF"/>
          <w:lang w:val="en-US" w:eastAsia="zh-CN" w:bidi="ar-SA"/>
        </w:rPr>
        <w:t>年度本单位政府采购支出总额</w:t>
      </w:r>
      <w:r>
        <w:rPr>
          <w:rFonts w:hint="default" w:ascii="宋体" w:hAnsi="宋体" w:eastAsia="宋体" w:cs="宋体"/>
          <w:sz w:val="28"/>
          <w:szCs w:val="28"/>
          <w:shd w:val="clear" w:color="auto" w:fill="FFFFFF"/>
          <w:lang w:val="en-US" w:eastAsia="zh-CN" w:bidi="ar-SA"/>
        </w:rPr>
        <w:t>1022.06</w:t>
      </w:r>
      <w:r>
        <w:rPr>
          <w:rFonts w:hint="eastAsia" w:ascii="宋体" w:hAnsi="宋体" w:eastAsia="宋体" w:cs="宋体"/>
          <w:sz w:val="28"/>
          <w:szCs w:val="28"/>
          <w:shd w:val="clear" w:color="auto" w:fill="FFFFFF"/>
          <w:lang w:val="en-US" w:eastAsia="zh-CN" w:bidi="ar-SA"/>
        </w:rPr>
        <w:t>万元，其中：政府采购货物支出</w:t>
      </w:r>
      <w:r>
        <w:rPr>
          <w:rFonts w:hint="default" w:ascii="宋体" w:hAnsi="宋体" w:eastAsia="宋体" w:cs="宋体"/>
          <w:sz w:val="28"/>
          <w:szCs w:val="28"/>
          <w:shd w:val="clear" w:color="auto" w:fill="FFFFFF"/>
          <w:lang w:val="en-US" w:eastAsia="zh-CN" w:bidi="ar-SA"/>
        </w:rPr>
        <w:t>371.82</w:t>
      </w:r>
      <w:r>
        <w:rPr>
          <w:rFonts w:hint="eastAsia" w:ascii="宋体" w:hAnsi="宋体" w:eastAsia="宋体" w:cs="宋体"/>
          <w:sz w:val="28"/>
          <w:szCs w:val="28"/>
          <w:shd w:val="clear" w:color="auto" w:fill="FFFFFF"/>
          <w:lang w:val="en-US" w:eastAsia="zh-CN" w:bidi="ar-SA"/>
        </w:rPr>
        <w:t>万元、政府采购工程支出</w:t>
      </w:r>
      <w:r>
        <w:rPr>
          <w:rFonts w:hint="default" w:ascii="宋体" w:hAnsi="宋体" w:eastAsia="宋体" w:cs="宋体"/>
          <w:sz w:val="28"/>
          <w:szCs w:val="28"/>
          <w:shd w:val="clear" w:color="auto" w:fill="FFFFFF"/>
          <w:lang w:val="en-US" w:eastAsia="zh-CN" w:bidi="ar-SA"/>
        </w:rPr>
        <w:t>0.00</w:t>
      </w:r>
      <w:r>
        <w:rPr>
          <w:rFonts w:hint="eastAsia" w:ascii="宋体" w:hAnsi="宋体" w:eastAsia="宋体" w:cs="宋体"/>
          <w:sz w:val="28"/>
          <w:szCs w:val="28"/>
          <w:shd w:val="clear" w:color="auto" w:fill="FFFFFF"/>
          <w:lang w:val="en-US" w:eastAsia="zh-CN" w:bidi="ar-SA"/>
        </w:rPr>
        <w:t>万元、政府采购服务支出</w:t>
      </w:r>
      <w:r>
        <w:rPr>
          <w:rFonts w:hint="default" w:ascii="宋体" w:hAnsi="宋体" w:eastAsia="宋体" w:cs="宋体"/>
          <w:sz w:val="28"/>
          <w:szCs w:val="28"/>
          <w:shd w:val="clear" w:color="auto" w:fill="FFFFFF"/>
          <w:lang w:val="en-US" w:eastAsia="zh-CN" w:bidi="ar-SA"/>
        </w:rPr>
        <w:t>650.24</w:t>
      </w:r>
      <w:r>
        <w:rPr>
          <w:rFonts w:hint="eastAsia" w:ascii="宋体" w:hAnsi="宋体" w:eastAsia="宋体" w:cs="宋体"/>
          <w:sz w:val="28"/>
          <w:szCs w:val="28"/>
          <w:shd w:val="clear" w:color="auto" w:fill="FFFFFF"/>
          <w:lang w:val="en-US" w:eastAsia="zh-CN" w:bidi="ar-SA"/>
        </w:rPr>
        <w:t>万元。授予中小企业合同金额</w:t>
      </w:r>
      <w:r>
        <w:rPr>
          <w:rFonts w:hint="default" w:ascii="宋体" w:hAnsi="宋体" w:eastAsia="宋体" w:cs="宋体"/>
          <w:sz w:val="28"/>
          <w:szCs w:val="28"/>
          <w:shd w:val="clear" w:color="auto" w:fill="FFFFFF"/>
          <w:lang w:val="en-US" w:eastAsia="zh-CN" w:bidi="ar-SA"/>
        </w:rPr>
        <w:t>959.08</w:t>
      </w:r>
      <w:r>
        <w:rPr>
          <w:rFonts w:hint="eastAsia" w:ascii="宋体" w:hAnsi="宋体" w:eastAsia="宋体" w:cs="宋体"/>
          <w:sz w:val="28"/>
          <w:szCs w:val="28"/>
          <w:shd w:val="clear" w:color="auto" w:fill="FFFFFF"/>
          <w:lang w:val="en-US" w:eastAsia="zh-CN" w:bidi="ar-SA"/>
        </w:rPr>
        <w:t>万元，占政府采购支出总额的</w:t>
      </w:r>
      <w:r>
        <w:rPr>
          <w:rFonts w:hint="default" w:ascii="宋体" w:hAnsi="宋体" w:eastAsia="宋体" w:cs="宋体"/>
          <w:sz w:val="28"/>
          <w:szCs w:val="28"/>
          <w:shd w:val="clear" w:color="auto" w:fill="FFFFFF"/>
          <w:lang w:val="en-US" w:eastAsia="zh-CN" w:bidi="ar-SA"/>
        </w:rPr>
        <w:t>93.8%</w:t>
      </w:r>
      <w:r>
        <w:rPr>
          <w:rFonts w:hint="eastAsia" w:ascii="宋体" w:hAnsi="宋体" w:eastAsia="宋体" w:cs="宋体"/>
          <w:sz w:val="28"/>
          <w:szCs w:val="28"/>
          <w:shd w:val="clear" w:color="auto" w:fill="FFFFFF"/>
          <w:lang w:val="en-US" w:eastAsia="zh-CN" w:bidi="ar-SA"/>
        </w:rPr>
        <w:t>，其中：授予小微企业合同金额</w:t>
      </w:r>
      <w:r>
        <w:rPr>
          <w:rFonts w:hint="default" w:ascii="宋体" w:hAnsi="宋体" w:eastAsia="宋体" w:cs="宋体"/>
          <w:sz w:val="28"/>
          <w:szCs w:val="28"/>
          <w:shd w:val="clear" w:color="auto" w:fill="FFFFFF"/>
          <w:lang w:val="en-US" w:eastAsia="zh-CN" w:bidi="ar-SA"/>
        </w:rPr>
        <w:t>795.02</w:t>
      </w:r>
      <w:r>
        <w:rPr>
          <w:rFonts w:hint="eastAsia" w:ascii="宋体" w:hAnsi="宋体" w:eastAsia="宋体" w:cs="宋体"/>
          <w:sz w:val="28"/>
          <w:szCs w:val="28"/>
          <w:shd w:val="clear" w:color="auto" w:fill="FFFFFF"/>
          <w:lang w:val="en-US" w:eastAsia="zh-CN" w:bidi="ar-SA"/>
        </w:rPr>
        <w:t>万元，占政府采购支出总额的</w:t>
      </w:r>
      <w:r>
        <w:rPr>
          <w:rFonts w:hint="default" w:ascii="宋体" w:hAnsi="宋体" w:eastAsia="宋体" w:cs="宋体"/>
          <w:sz w:val="28"/>
          <w:szCs w:val="28"/>
          <w:shd w:val="clear" w:color="auto" w:fill="FFFFFF"/>
          <w:lang w:val="en-US" w:eastAsia="zh-CN" w:bidi="ar-SA"/>
        </w:rPr>
        <w:t>77.8 %</w:t>
      </w:r>
      <w:r>
        <w:rPr>
          <w:rFonts w:hint="eastAsia" w:ascii="宋体" w:hAnsi="宋体" w:eastAsia="宋体" w:cs="宋体"/>
          <w:sz w:val="28"/>
          <w:szCs w:val="28"/>
          <w:shd w:val="clear" w:color="auto" w:fill="FFFFFF"/>
          <w:lang w:val="en-US" w:eastAsia="zh-CN" w:bidi="ar-SA"/>
        </w:rPr>
        <w:t>。主要用于采购全县农村饮水安全运维管理服务</w:t>
      </w:r>
      <w:r>
        <w:rPr>
          <w:rFonts w:hint="eastAsia" w:cs="宋体"/>
          <w:sz w:val="28"/>
          <w:szCs w:val="28"/>
          <w:shd w:val="clear" w:color="auto" w:fill="FFFFFF"/>
          <w:lang w:val="en-US" w:eastAsia="zh-CN" w:bidi="ar-SA"/>
        </w:rPr>
        <w:t>。</w:t>
      </w:r>
    </w:p>
    <w:p w14:paraId="15EE454D">
      <w:pPr>
        <w:pStyle w:val="3"/>
        <w:pageBreakBefore w:val="0"/>
        <w:widowControl/>
        <w:numPr>
          <w:ilvl w:val="0"/>
          <w:numId w:val="1"/>
        </w:numPr>
        <w:kinsoku/>
        <w:overflowPunct/>
        <w:topLinePunct w:val="0"/>
        <w:autoSpaceDN/>
        <w:bidi w:val="0"/>
        <w:adjustRightInd/>
        <w:snapToGrid w:val="0"/>
        <w:spacing w:line="20" w:lineRule="atLeast"/>
        <w:rPr>
          <w:rFonts w:hint="eastAsia" w:ascii="宋体" w:hAnsi="宋体" w:eastAsia="宋体" w:cs="宋体"/>
        </w:rPr>
      </w:pPr>
      <w:r>
        <w:rPr>
          <w:rFonts w:hint="eastAsia" w:ascii="宋体" w:hAnsi="宋体" w:eastAsia="宋体" w:cs="宋体"/>
        </w:rPr>
        <w:t>预算绩效管理情况说明</w:t>
      </w:r>
    </w:p>
    <w:p w14:paraId="2079BA24">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eastAsia="zh-CN"/>
        </w:rPr>
      </w:pPr>
      <w:r>
        <w:rPr>
          <w:rFonts w:hint="eastAsia" w:ascii="宋体" w:hAnsi="宋体" w:eastAsia="宋体" w:cs="宋体"/>
          <w:b/>
          <w:bCs/>
          <w:sz w:val="28"/>
          <w:szCs w:val="28"/>
          <w:shd w:val="clear" w:color="auto" w:fill="FFFFFF"/>
          <w:lang w:eastAsia="zh-CN"/>
        </w:rPr>
        <w:t>（一）单位自评情况</w:t>
      </w:r>
    </w:p>
    <w:p w14:paraId="63D6DD35">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r>
        <w:rPr>
          <w:rFonts w:hint="eastAsia" w:ascii="宋体" w:hAnsi="宋体" w:eastAsia="宋体" w:cs="宋体"/>
          <w:sz w:val="28"/>
          <w:szCs w:val="28"/>
          <w:shd w:val="clear" w:color="auto" w:fill="FFFFFF"/>
          <w:lang w:val="en-US" w:eastAsia="zh-CN" w:bidi="ar-SA"/>
        </w:rPr>
        <w:t>根据预算绩效管理要求，我单位对一个一级项目开展了绩效自评，涉及财政拨款项目支出资金496万元。</w:t>
      </w:r>
    </w:p>
    <w:p w14:paraId="0C3D43AE">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eastAsia="zh-CN"/>
        </w:rPr>
      </w:pPr>
      <w:r>
        <w:rPr>
          <w:rFonts w:hint="eastAsia" w:ascii="宋体" w:hAnsi="宋体" w:eastAsia="宋体" w:cs="宋体"/>
          <w:b/>
          <w:bCs/>
          <w:sz w:val="28"/>
          <w:szCs w:val="28"/>
          <w:shd w:val="clear" w:color="auto" w:fill="FFFFFF"/>
          <w:lang w:eastAsia="zh-CN"/>
        </w:rPr>
        <w:t>（二）单位绩效评价情况</w:t>
      </w:r>
    </w:p>
    <w:p w14:paraId="6CBE0BFE">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r>
        <w:rPr>
          <w:rFonts w:hint="eastAsia" w:ascii="宋体" w:hAnsi="宋体" w:eastAsia="宋体" w:cs="宋体"/>
          <w:sz w:val="28"/>
          <w:szCs w:val="28"/>
          <w:shd w:val="clear" w:color="auto" w:fill="FFFFFF"/>
          <w:lang w:val="en-US" w:eastAsia="zh-CN" w:bidi="ar-SA"/>
        </w:rPr>
        <w:t>我单位对农村饮水安全实施运行管理维修养护项目开展了绩效评价，涉及财政拨款项目资金496万元，评价得分81.125分，评价等次为良，绩效评价发现了绩效目标未细化、实际实现目标于绩效目标偏差较大等主要问题，提出加强绩效目标编制的管理、加强制度执行的有效管理等下一步工作建议。</w:t>
      </w:r>
    </w:p>
    <w:p w14:paraId="688AC62C">
      <w:pPr>
        <w:pStyle w:val="13"/>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eastAsia="zh-CN"/>
        </w:rPr>
      </w:pPr>
      <w:r>
        <w:rPr>
          <w:rFonts w:hint="eastAsia" w:ascii="宋体" w:hAnsi="宋体" w:eastAsia="宋体" w:cs="宋体"/>
          <w:b/>
          <w:bCs/>
          <w:sz w:val="28"/>
          <w:szCs w:val="28"/>
          <w:shd w:val="clear" w:color="auto" w:fill="FFFFFF"/>
          <w:lang w:eastAsia="zh-CN"/>
        </w:rPr>
        <w:t>（三）财政绩效评价情况</w:t>
      </w:r>
    </w:p>
    <w:p w14:paraId="71331731">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r>
        <w:rPr>
          <w:rFonts w:hint="eastAsia" w:ascii="宋体" w:hAnsi="宋体" w:eastAsia="宋体" w:cs="宋体"/>
          <w:sz w:val="28"/>
          <w:szCs w:val="28"/>
          <w:shd w:val="clear" w:color="auto" w:fill="FFFFFF"/>
          <w:lang w:val="en-US" w:eastAsia="zh-CN" w:bidi="ar-SA"/>
        </w:rPr>
        <w:t>市财政局未委托第三方对我单位开展绩效评价。</w:t>
      </w:r>
    </w:p>
    <w:p w14:paraId="5ECDB58A">
      <w:pPr>
        <w:pStyle w:val="9"/>
        <w:snapToGrid w:val="0"/>
        <w:spacing w:before="0" w:beforeAutospacing="0" w:after="0" w:afterAutospacing="0" w:line="596" w:lineRule="exact"/>
        <w:ind w:firstLine="560" w:firstLineChars="200"/>
        <w:jc w:val="both"/>
        <w:rPr>
          <w:rFonts w:hint="default" w:cs="宋体"/>
          <w:sz w:val="28"/>
          <w:szCs w:val="28"/>
          <w:shd w:val="clear" w:color="auto" w:fill="FFFFFF"/>
          <w:lang w:val="en-US" w:eastAsia="zh-CN" w:bidi="ar-SA"/>
        </w:rPr>
      </w:pPr>
    </w:p>
    <w:tbl>
      <w:tblPr>
        <w:tblStyle w:val="10"/>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B0E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4D1746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14D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2DC584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石柱土家族自治县水利局本级</w:t>
            </w:r>
          </w:p>
        </w:tc>
        <w:tc>
          <w:tcPr>
            <w:tcW w:w="4419" w:type="dxa"/>
            <w:tcBorders>
              <w:top w:val="nil"/>
              <w:left w:val="nil"/>
              <w:bottom w:val="nil"/>
              <w:right w:val="nil"/>
            </w:tcBorders>
            <w:shd w:val="clear" w:color="auto" w:fill="auto"/>
            <w:vAlign w:val="bottom"/>
          </w:tcPr>
          <w:p w14:paraId="42AAB4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DA9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03CBCF3">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02318D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5E5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97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6492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462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6DE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C1F0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F2A5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B8B0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EA73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5203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B0C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BAB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80B45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CACB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58E1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734D5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BD07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768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3EE0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7BAC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79B8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125,708,373.71 </w:t>
            </w:r>
          </w:p>
        </w:tc>
        <w:tc>
          <w:tcPr>
            <w:tcW w:w="4950" w:type="dxa"/>
            <w:tcBorders>
              <w:top w:val="nil"/>
              <w:left w:val="nil"/>
              <w:bottom w:val="single" w:color="000000" w:sz="4" w:space="0"/>
              <w:right w:val="single" w:color="000000" w:sz="4" w:space="0"/>
            </w:tcBorders>
            <w:shd w:val="clear" w:color="auto" w:fill="auto"/>
            <w:vAlign w:val="center"/>
          </w:tcPr>
          <w:p w14:paraId="4DD1E4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1DCE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8EA0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140,880.00 </w:t>
            </w:r>
          </w:p>
        </w:tc>
      </w:tr>
      <w:tr w14:paraId="68BF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BF05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C2CD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2EBC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4950" w:type="dxa"/>
            <w:tcBorders>
              <w:top w:val="nil"/>
              <w:left w:val="nil"/>
              <w:bottom w:val="single" w:color="000000" w:sz="4" w:space="0"/>
              <w:right w:val="single" w:color="000000" w:sz="4" w:space="0"/>
            </w:tcBorders>
            <w:shd w:val="clear" w:color="auto" w:fill="auto"/>
            <w:vAlign w:val="center"/>
          </w:tcPr>
          <w:p w14:paraId="0F069B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D6E9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E45C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DD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1464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DA37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EB02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5BB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09AA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3649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5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9BE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88AD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F6BD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2A6F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B1D5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2B05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81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ADAA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38C4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CC87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4D5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5031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6919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D7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9EF1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4B3E3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2B02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C5C73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A598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1D3F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2A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4D9E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5137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FF91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3E0F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4FC0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7583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77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7D63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8586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C05B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2124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5D33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1A8F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2,445,231.00 </w:t>
            </w:r>
          </w:p>
        </w:tc>
      </w:tr>
      <w:tr w14:paraId="12FB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3B07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9427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9B5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C7BB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0973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CA5C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369,383.98 </w:t>
            </w:r>
          </w:p>
        </w:tc>
      </w:tr>
      <w:tr w14:paraId="66C7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BF37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D3A2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9DD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44E4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0C75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8053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8C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F950D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60B9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28A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7236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1522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428C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11,800,518.85 </w:t>
            </w:r>
          </w:p>
        </w:tc>
      </w:tr>
      <w:tr w14:paraId="1356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2633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17B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0C5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CDFF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F947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E1AB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213,663,844.24 </w:t>
            </w:r>
          </w:p>
        </w:tc>
      </w:tr>
      <w:tr w14:paraId="7722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6437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6AD2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40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D939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9333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9AAE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89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97FEB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0A9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37D1C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5A6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A303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96CB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24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E21B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8B4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FAF49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55C4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87F4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E70D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C7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19E8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E9E1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EB4C2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376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E6C0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0E37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33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90A4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017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D8137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0DF5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BC0A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B71D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9C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AD67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0A1D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3C2B1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8A95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3C1E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E978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6,672,000.00 </w:t>
            </w:r>
          </w:p>
        </w:tc>
      </w:tr>
      <w:tr w14:paraId="6F18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1C5F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D01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36676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38A1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561E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5149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136,836.60 </w:t>
            </w:r>
          </w:p>
        </w:tc>
      </w:tr>
      <w:tr w14:paraId="5D94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96EA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5C4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C9FFA4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C98F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9AA7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5DC1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84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F652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673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19673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262F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BDB6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B634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12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4766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420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7F170B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50D5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0EE3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60A5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5A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4C86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1A40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F6168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BB82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DE82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F6D3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DC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5B8A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9BD3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AF7AF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0DE9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73A6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0558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FF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574B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2364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B4B05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E758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4EB3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EBFF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8B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0849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B21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65E032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9ED9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2D55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6927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9F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8BB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26AC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2E47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235,228,694.67 </w:t>
            </w:r>
          </w:p>
        </w:tc>
        <w:tc>
          <w:tcPr>
            <w:tcW w:w="4950" w:type="dxa"/>
            <w:tcBorders>
              <w:top w:val="nil"/>
              <w:left w:val="nil"/>
              <w:bottom w:val="single" w:color="000000" w:sz="4" w:space="0"/>
              <w:right w:val="single" w:color="000000" w:sz="4" w:space="0"/>
            </w:tcBorders>
            <w:shd w:val="clear" w:color="auto" w:fill="auto"/>
            <w:vAlign w:val="center"/>
          </w:tcPr>
          <w:p w14:paraId="42B1F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0E80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6498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235,228,694.67 </w:t>
            </w:r>
          </w:p>
        </w:tc>
      </w:tr>
      <w:tr w14:paraId="114D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E394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DA9F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2D18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415C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9919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0046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1D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E8F2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ACC4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251A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41F7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2D38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7C92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6B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97A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0C0B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A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235,228,694.67 </w:t>
            </w:r>
          </w:p>
        </w:tc>
        <w:tc>
          <w:tcPr>
            <w:tcW w:w="4950" w:type="dxa"/>
            <w:tcBorders>
              <w:top w:val="nil"/>
              <w:left w:val="nil"/>
              <w:bottom w:val="single" w:color="000000" w:sz="4" w:space="0"/>
              <w:right w:val="single" w:color="000000" w:sz="4" w:space="0"/>
            </w:tcBorders>
            <w:shd w:val="clear" w:color="auto" w:fill="auto"/>
            <w:vAlign w:val="center"/>
          </w:tcPr>
          <w:p w14:paraId="49602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A2E4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4EEC7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235,228,694.67</w:t>
            </w:r>
          </w:p>
        </w:tc>
      </w:tr>
    </w:tbl>
    <w:p w14:paraId="0F55658F">
      <w:pPr>
        <w:pStyle w:val="13"/>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2E135161">
      <w:pPr>
        <w:pStyle w:val="13"/>
        <w:numPr>
          <w:ilvl w:val="0"/>
          <w:numId w:val="0"/>
        </w:numPr>
        <w:autoSpaceDE w:val="0"/>
        <w:rPr>
          <w:rFonts w:hint="eastAsia" w:ascii="宋体" w:hAnsi="宋体" w:eastAsia="宋体" w:cs="宋体"/>
          <w:sz w:val="21"/>
          <w:szCs w:val="21"/>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83B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EB7ED0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321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B093B7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石柱土家族自治县水利局本级</w:t>
            </w:r>
          </w:p>
        </w:tc>
        <w:tc>
          <w:tcPr>
            <w:tcW w:w="2408" w:type="dxa"/>
            <w:tcBorders>
              <w:top w:val="nil"/>
              <w:left w:val="nil"/>
              <w:right w:val="nil"/>
            </w:tcBorders>
            <w:shd w:val="clear" w:color="auto" w:fill="auto"/>
            <w:vAlign w:val="bottom"/>
          </w:tcPr>
          <w:p w14:paraId="33A41A1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4B81DB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6E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A1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9F344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9089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863D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DB6F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FD76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6DC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1985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7F949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F4B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188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33E0C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E6996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05BF8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07223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56F1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5375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E9FF2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6CE427">
            <w:pPr>
              <w:jc w:val="center"/>
              <w:rPr>
                <w:rFonts w:hint="eastAsia" w:ascii="宋体" w:hAnsi="宋体" w:eastAsia="宋体" w:cs="宋体"/>
                <w:i w:val="0"/>
                <w:iCs w:val="0"/>
                <w:color w:val="000000"/>
                <w:sz w:val="22"/>
                <w:szCs w:val="22"/>
                <w:u w:val="none"/>
              </w:rPr>
            </w:pPr>
          </w:p>
        </w:tc>
      </w:tr>
      <w:tr w14:paraId="6B72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AA2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E4F8A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55C6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CFE3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1F61E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342B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BEBAB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0D331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5311A6F">
            <w:pPr>
              <w:jc w:val="center"/>
              <w:rPr>
                <w:rFonts w:hint="eastAsia" w:ascii="宋体" w:hAnsi="宋体" w:eastAsia="宋体" w:cs="宋体"/>
                <w:i w:val="0"/>
                <w:iCs w:val="0"/>
                <w:color w:val="000000"/>
                <w:sz w:val="22"/>
                <w:szCs w:val="22"/>
                <w:u w:val="none"/>
              </w:rPr>
            </w:pPr>
          </w:p>
        </w:tc>
      </w:tr>
      <w:tr w14:paraId="370A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977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502CB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5B530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1B3A8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947A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A5AF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60AD3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62AB0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318C7EE">
            <w:pPr>
              <w:jc w:val="center"/>
              <w:rPr>
                <w:rFonts w:hint="eastAsia" w:ascii="宋体" w:hAnsi="宋体" w:eastAsia="宋体" w:cs="宋体"/>
                <w:i w:val="0"/>
                <w:iCs w:val="0"/>
                <w:color w:val="000000"/>
                <w:sz w:val="22"/>
                <w:szCs w:val="22"/>
                <w:u w:val="none"/>
              </w:rPr>
            </w:pPr>
          </w:p>
        </w:tc>
      </w:tr>
      <w:tr w14:paraId="0AC5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5C3E0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3C91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53DD6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BCB6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7176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C86E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A440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6018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E457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9075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EF20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525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950D7BA">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A147854">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A502838">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E8EB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057E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235,228,694.67 </w:t>
            </w:r>
          </w:p>
        </w:tc>
        <w:tc>
          <w:tcPr>
            <w:tcW w:w="2403" w:type="dxa"/>
            <w:tcBorders>
              <w:top w:val="nil"/>
              <w:left w:val="nil"/>
              <w:bottom w:val="single" w:color="000000" w:sz="4" w:space="0"/>
              <w:right w:val="single" w:color="000000" w:sz="4" w:space="0"/>
            </w:tcBorders>
            <w:shd w:val="clear" w:color="auto" w:fill="auto"/>
            <w:vAlign w:val="center"/>
          </w:tcPr>
          <w:p w14:paraId="6C6B6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235,228,694.67 </w:t>
            </w:r>
          </w:p>
        </w:tc>
        <w:tc>
          <w:tcPr>
            <w:tcW w:w="2403" w:type="dxa"/>
            <w:tcBorders>
              <w:top w:val="nil"/>
              <w:left w:val="nil"/>
              <w:bottom w:val="single" w:color="000000" w:sz="4" w:space="0"/>
              <w:right w:val="single" w:color="000000" w:sz="4" w:space="0"/>
            </w:tcBorders>
            <w:shd w:val="clear" w:color="auto" w:fill="auto"/>
            <w:vAlign w:val="center"/>
          </w:tcPr>
          <w:p w14:paraId="536E8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C04E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0B7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53F6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F463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C74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F553F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6ED08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E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3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9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9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D0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EEE866">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5D019D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B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4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8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A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1C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53734A">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72D855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8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0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2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E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B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38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99132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1C8DE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5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2,445,231.00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7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2,445,231.00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1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D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E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C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37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AD65F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A98B4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E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2,360,528.20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2,360,528.20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E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FF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0008F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3CF99C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6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A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B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AF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8810A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323BC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F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372,045.80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D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372,045.80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C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9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B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1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46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CF846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731A8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2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F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A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57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085150">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65BCB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7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F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2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9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1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4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15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B4BF18">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01C11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D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1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3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A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C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4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CF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65D68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58D50F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A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3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C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3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A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2B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30828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B97B3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6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1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0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1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4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A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FA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8D542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E417F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D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0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9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E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4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06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0EC2B8">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794389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99,683.98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A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99,683.98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8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2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C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43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88E2E4">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2CBB1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0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3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F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7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1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5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2D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64777D">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5FBC29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6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75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1525B3">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0A1FF8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C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C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9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6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5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1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5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2C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4FEB6C">
            <w:pPr>
              <w:textAlignment w:val="center"/>
              <w:rPr>
                <w:rFonts w:hint="eastAsia" w:ascii="宋体" w:hAnsi="宋体" w:eastAsia="宋体" w:cs="宋体"/>
                <w:i w:val="0"/>
                <w:iCs w:val="0"/>
                <w:color w:val="000000"/>
                <w:sz w:val="22"/>
                <w:szCs w:val="22"/>
                <w:u w:val="none"/>
              </w:rPr>
            </w:pPr>
            <w:r>
              <w:rPr>
                <w:rFonts w:cs="宋体"/>
                <w:color w:val="000000"/>
                <w:sz w:val="22"/>
                <w:szCs w:val="22"/>
              </w:rPr>
              <w:t>2120801</w:t>
            </w:r>
          </w:p>
        </w:tc>
        <w:tc>
          <w:tcPr>
            <w:tcW w:w="3900" w:type="dxa"/>
            <w:tcBorders>
              <w:top w:val="nil"/>
              <w:left w:val="nil"/>
              <w:bottom w:val="single" w:color="000000" w:sz="4" w:space="0"/>
              <w:right w:val="single" w:color="000000" w:sz="4" w:space="0"/>
            </w:tcBorders>
            <w:shd w:val="clear" w:color="auto" w:fill="auto"/>
            <w:vAlign w:val="center"/>
          </w:tcPr>
          <w:p w14:paraId="0AA548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F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5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A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A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9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9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A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A8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5B90FB">
            <w:pPr>
              <w:textAlignment w:val="center"/>
              <w:rPr>
                <w:rFonts w:hint="eastAsia" w:ascii="宋体" w:hAnsi="宋体" w:eastAsia="宋体" w:cs="宋体"/>
                <w:i w:val="0"/>
                <w:iCs w:val="0"/>
                <w:color w:val="000000"/>
                <w:sz w:val="22"/>
                <w:szCs w:val="22"/>
                <w:u w:val="none"/>
              </w:rPr>
            </w:pPr>
            <w:r>
              <w:rPr>
                <w:rFonts w:cs="宋体"/>
                <w:color w:val="000000"/>
                <w:sz w:val="22"/>
                <w:szCs w:val="22"/>
              </w:rPr>
              <w:t>21211</w:t>
            </w:r>
          </w:p>
        </w:tc>
        <w:tc>
          <w:tcPr>
            <w:tcW w:w="3900" w:type="dxa"/>
            <w:tcBorders>
              <w:top w:val="nil"/>
              <w:left w:val="nil"/>
              <w:bottom w:val="single" w:color="000000" w:sz="4" w:space="0"/>
              <w:right w:val="single" w:color="000000" w:sz="4" w:space="0"/>
            </w:tcBorders>
            <w:shd w:val="clear" w:color="auto" w:fill="auto"/>
            <w:vAlign w:val="center"/>
          </w:tcPr>
          <w:p w14:paraId="40E018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农业土地开发资金安排的支出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D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7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5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0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7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7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76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098EE8">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20DE39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F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213,663,844.24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2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213,663,844.24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C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D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9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D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2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7D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84126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4EEB83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1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7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E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D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A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D8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B8F2B9">
            <w:pPr>
              <w:textAlignment w:val="center"/>
              <w:rPr>
                <w:rFonts w:hint="eastAsia" w:ascii="宋体" w:hAnsi="宋体" w:eastAsia="宋体" w:cs="宋体"/>
                <w:i w:val="0"/>
                <w:iCs w:val="0"/>
                <w:color w:val="000000"/>
                <w:sz w:val="22"/>
                <w:szCs w:val="22"/>
                <w:u w:val="none"/>
              </w:rPr>
            </w:pPr>
            <w:r>
              <w:rPr>
                <w:rFonts w:cs="宋体"/>
                <w:color w:val="000000"/>
                <w:sz w:val="22"/>
                <w:szCs w:val="22"/>
              </w:rPr>
              <w:t>2130102</w:t>
            </w:r>
          </w:p>
        </w:tc>
        <w:tc>
          <w:tcPr>
            <w:tcW w:w="3900" w:type="dxa"/>
            <w:tcBorders>
              <w:top w:val="nil"/>
              <w:left w:val="nil"/>
              <w:bottom w:val="single" w:color="000000" w:sz="4" w:space="0"/>
              <w:right w:val="single" w:color="000000" w:sz="4" w:space="0"/>
            </w:tcBorders>
            <w:shd w:val="clear" w:color="auto" w:fill="auto"/>
            <w:vAlign w:val="center"/>
          </w:tcPr>
          <w:p w14:paraId="608BBE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D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5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D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0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E3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8D0EA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3ACF01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6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104,123,166.63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8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104,123,166.63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A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9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5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6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5A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DA1459">
            <w:pPr>
              <w:textAlignment w:val="center"/>
              <w:rPr>
                <w:rFonts w:hint="eastAsia" w:ascii="宋体" w:hAnsi="宋体" w:eastAsia="宋体" w:cs="宋体"/>
                <w:i w:val="0"/>
                <w:iCs w:val="0"/>
                <w:color w:val="000000"/>
                <w:sz w:val="22"/>
                <w:szCs w:val="22"/>
                <w:u w:val="none"/>
              </w:rPr>
            </w:pPr>
            <w:r>
              <w:rPr>
                <w:rFonts w:cs="宋体"/>
                <w:color w:val="000000"/>
                <w:sz w:val="22"/>
                <w:szCs w:val="22"/>
              </w:rPr>
              <w:t>2130301</w:t>
            </w:r>
          </w:p>
        </w:tc>
        <w:tc>
          <w:tcPr>
            <w:tcW w:w="3900" w:type="dxa"/>
            <w:tcBorders>
              <w:top w:val="nil"/>
              <w:left w:val="nil"/>
              <w:bottom w:val="single" w:color="000000" w:sz="4" w:space="0"/>
              <w:right w:val="single" w:color="000000" w:sz="4" w:space="0"/>
            </w:tcBorders>
            <w:shd w:val="clear" w:color="auto" w:fill="auto"/>
            <w:vAlign w:val="center"/>
          </w:tcPr>
          <w:p w14:paraId="781A35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4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2,035,014.07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8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2,035,014.07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D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1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9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B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1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4D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2152EC">
            <w:pPr>
              <w:textAlignment w:val="center"/>
              <w:rPr>
                <w:rFonts w:hint="eastAsia" w:ascii="宋体" w:hAnsi="宋体" w:eastAsia="宋体" w:cs="宋体"/>
                <w:i w:val="0"/>
                <w:iCs w:val="0"/>
                <w:color w:val="000000"/>
                <w:sz w:val="22"/>
                <w:szCs w:val="22"/>
                <w:u w:val="none"/>
              </w:rPr>
            </w:pPr>
            <w:r>
              <w:rPr>
                <w:rFonts w:cs="宋体"/>
                <w:color w:val="000000"/>
                <w:sz w:val="22"/>
                <w:szCs w:val="22"/>
              </w:rPr>
              <w:t>2130302</w:t>
            </w:r>
          </w:p>
        </w:tc>
        <w:tc>
          <w:tcPr>
            <w:tcW w:w="3900" w:type="dxa"/>
            <w:tcBorders>
              <w:top w:val="nil"/>
              <w:left w:val="nil"/>
              <w:bottom w:val="single" w:color="000000" w:sz="4" w:space="0"/>
              <w:right w:val="single" w:color="000000" w:sz="4" w:space="0"/>
            </w:tcBorders>
            <w:shd w:val="clear" w:color="auto" w:fill="auto"/>
            <w:vAlign w:val="center"/>
          </w:tcPr>
          <w:p w14:paraId="256BB1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C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8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6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F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A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9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87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BC4323">
            <w:pPr>
              <w:textAlignment w:val="center"/>
              <w:rPr>
                <w:rFonts w:hint="eastAsia" w:ascii="宋体" w:hAnsi="宋体" w:eastAsia="宋体" w:cs="宋体"/>
                <w:i w:val="0"/>
                <w:iCs w:val="0"/>
                <w:color w:val="000000"/>
                <w:sz w:val="22"/>
                <w:szCs w:val="22"/>
                <w:u w:val="none"/>
              </w:rPr>
            </w:pPr>
            <w:r>
              <w:rPr>
                <w:rFonts w:cs="宋体"/>
                <w:color w:val="000000"/>
                <w:sz w:val="22"/>
                <w:szCs w:val="22"/>
              </w:rPr>
              <w:t>2130304</w:t>
            </w:r>
          </w:p>
        </w:tc>
        <w:tc>
          <w:tcPr>
            <w:tcW w:w="3900" w:type="dxa"/>
            <w:tcBorders>
              <w:top w:val="nil"/>
              <w:left w:val="nil"/>
              <w:bottom w:val="single" w:color="000000" w:sz="4" w:space="0"/>
              <w:right w:val="single" w:color="000000" w:sz="4" w:space="0"/>
            </w:tcBorders>
            <w:shd w:val="clear" w:color="auto" w:fill="auto"/>
            <w:vAlign w:val="center"/>
          </w:tcPr>
          <w:p w14:paraId="497960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水利行业业务管理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3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3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A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F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2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FE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3F82EF">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14:paraId="7CBEAC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D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5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E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85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B63805">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3900" w:type="dxa"/>
            <w:tcBorders>
              <w:top w:val="nil"/>
              <w:left w:val="nil"/>
              <w:bottom w:val="single" w:color="000000" w:sz="4" w:space="0"/>
              <w:right w:val="single" w:color="000000" w:sz="4" w:space="0"/>
            </w:tcBorders>
            <w:shd w:val="clear" w:color="auto" w:fill="auto"/>
            <w:vAlign w:val="center"/>
          </w:tcPr>
          <w:p w14:paraId="7BF567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5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3,906,889.45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0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3,906,889.45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4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7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8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44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5D50C4">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3900" w:type="dxa"/>
            <w:tcBorders>
              <w:top w:val="nil"/>
              <w:left w:val="nil"/>
              <w:bottom w:val="single" w:color="000000" w:sz="4" w:space="0"/>
              <w:right w:val="single" w:color="000000" w:sz="4" w:space="0"/>
            </w:tcBorders>
            <w:shd w:val="clear" w:color="auto" w:fill="auto"/>
            <w:vAlign w:val="center"/>
          </w:tcPr>
          <w:p w14:paraId="71FB76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F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C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3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5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C2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4C8C36">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3E45D0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5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8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8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A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4F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ECF9A5">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2B877F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C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3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F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A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4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3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5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12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34646C">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360AE8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C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C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7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5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E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90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2A4678">
            <w:pPr>
              <w:textAlignment w:val="center"/>
              <w:rPr>
                <w:rFonts w:hint="eastAsia" w:ascii="宋体" w:hAnsi="宋体" w:eastAsia="宋体" w:cs="宋体"/>
                <w:i w:val="0"/>
                <w:iCs w:val="0"/>
                <w:color w:val="000000"/>
                <w:sz w:val="22"/>
                <w:szCs w:val="22"/>
                <w:u w:val="none"/>
              </w:rPr>
            </w:pPr>
            <w:r>
              <w:rPr>
                <w:rFonts w:cs="宋体"/>
                <w:b/>
                <w:color w:val="000000"/>
                <w:sz w:val="22"/>
                <w:szCs w:val="22"/>
              </w:rPr>
              <w:t>21366</w:t>
            </w:r>
          </w:p>
        </w:tc>
        <w:tc>
          <w:tcPr>
            <w:tcW w:w="3900" w:type="dxa"/>
            <w:tcBorders>
              <w:top w:val="nil"/>
              <w:left w:val="nil"/>
              <w:bottom w:val="single" w:color="000000" w:sz="4" w:space="0"/>
              <w:right w:val="single" w:color="000000" w:sz="4" w:space="0"/>
            </w:tcBorders>
            <w:shd w:val="clear" w:color="auto" w:fill="auto"/>
            <w:vAlign w:val="center"/>
          </w:tcPr>
          <w:p w14:paraId="449837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大中型水库库区基金安排的支出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7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C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F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5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E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3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46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EC2A5B">
            <w:pPr>
              <w:textAlignment w:val="center"/>
              <w:rPr>
                <w:rFonts w:hint="eastAsia" w:ascii="宋体" w:hAnsi="宋体" w:eastAsia="宋体" w:cs="宋体"/>
                <w:i w:val="0"/>
                <w:iCs w:val="0"/>
                <w:color w:val="000000"/>
                <w:sz w:val="22"/>
                <w:szCs w:val="22"/>
                <w:u w:val="none"/>
              </w:rPr>
            </w:pPr>
            <w:r>
              <w:rPr>
                <w:rFonts w:cs="宋体"/>
                <w:color w:val="000000"/>
                <w:sz w:val="22"/>
                <w:szCs w:val="22"/>
              </w:rPr>
              <w:t>2136601</w:t>
            </w:r>
          </w:p>
        </w:tc>
        <w:tc>
          <w:tcPr>
            <w:tcW w:w="3900" w:type="dxa"/>
            <w:tcBorders>
              <w:top w:val="nil"/>
              <w:left w:val="nil"/>
              <w:bottom w:val="single" w:color="000000" w:sz="4" w:space="0"/>
              <w:right w:val="single" w:color="000000" w:sz="4" w:space="0"/>
            </w:tcBorders>
            <w:shd w:val="clear" w:color="auto" w:fill="auto"/>
            <w:vAlign w:val="center"/>
          </w:tcPr>
          <w:p w14:paraId="4298A3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7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2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3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2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6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45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07DE88">
            <w:pPr>
              <w:textAlignment w:val="center"/>
              <w:rPr>
                <w:rFonts w:hint="eastAsia" w:ascii="宋体" w:hAnsi="宋体" w:eastAsia="宋体" w:cs="宋体"/>
                <w:i w:val="0"/>
                <w:iCs w:val="0"/>
                <w:color w:val="000000"/>
                <w:sz w:val="22"/>
                <w:szCs w:val="22"/>
                <w:u w:val="none"/>
              </w:rPr>
            </w:pPr>
            <w:r>
              <w:rPr>
                <w:rFonts w:cs="宋体"/>
                <w:b/>
                <w:color w:val="000000"/>
                <w:sz w:val="22"/>
                <w:szCs w:val="22"/>
              </w:rPr>
              <w:t>21367</w:t>
            </w:r>
          </w:p>
        </w:tc>
        <w:tc>
          <w:tcPr>
            <w:tcW w:w="3900" w:type="dxa"/>
            <w:tcBorders>
              <w:top w:val="nil"/>
              <w:left w:val="nil"/>
              <w:bottom w:val="single" w:color="000000" w:sz="4" w:space="0"/>
              <w:right w:val="single" w:color="000000" w:sz="4" w:space="0"/>
            </w:tcBorders>
            <w:shd w:val="clear" w:color="auto" w:fill="auto"/>
            <w:vAlign w:val="center"/>
          </w:tcPr>
          <w:p w14:paraId="5595CB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三峡水库库区基金支出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1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F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C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0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1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CF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F16516">
            <w:pPr>
              <w:textAlignment w:val="center"/>
              <w:rPr>
                <w:rFonts w:hint="eastAsia" w:ascii="宋体" w:hAnsi="宋体" w:eastAsia="宋体" w:cs="宋体"/>
                <w:i w:val="0"/>
                <w:iCs w:val="0"/>
                <w:color w:val="000000"/>
                <w:sz w:val="22"/>
                <w:szCs w:val="22"/>
                <w:u w:val="none"/>
              </w:rPr>
            </w:pPr>
            <w:r>
              <w:rPr>
                <w:rFonts w:cs="宋体"/>
                <w:color w:val="000000"/>
                <w:sz w:val="22"/>
                <w:szCs w:val="22"/>
              </w:rPr>
              <w:t>2136701</w:t>
            </w:r>
          </w:p>
        </w:tc>
        <w:tc>
          <w:tcPr>
            <w:tcW w:w="3900" w:type="dxa"/>
            <w:tcBorders>
              <w:top w:val="nil"/>
              <w:left w:val="nil"/>
              <w:bottom w:val="single" w:color="000000" w:sz="4" w:space="0"/>
              <w:right w:val="single" w:color="000000" w:sz="4" w:space="0"/>
            </w:tcBorders>
            <w:shd w:val="clear" w:color="auto" w:fill="auto"/>
            <w:vAlign w:val="center"/>
          </w:tcPr>
          <w:p w14:paraId="5520CA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3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A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2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1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F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64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774236">
            <w:pPr>
              <w:textAlignment w:val="center"/>
              <w:rPr>
                <w:rFonts w:hint="eastAsia" w:ascii="宋体" w:hAnsi="宋体" w:eastAsia="宋体" w:cs="宋体"/>
                <w:i w:val="0"/>
                <w:iCs w:val="0"/>
                <w:color w:val="000000"/>
                <w:sz w:val="22"/>
                <w:szCs w:val="22"/>
                <w:u w:val="none"/>
              </w:rPr>
            </w:pPr>
            <w:r>
              <w:rPr>
                <w:rFonts w:cs="宋体"/>
                <w:color w:val="000000"/>
                <w:sz w:val="22"/>
                <w:szCs w:val="22"/>
              </w:rPr>
              <w:t>2136702</w:t>
            </w:r>
          </w:p>
        </w:tc>
        <w:tc>
          <w:tcPr>
            <w:tcW w:w="3900" w:type="dxa"/>
            <w:tcBorders>
              <w:top w:val="nil"/>
              <w:left w:val="nil"/>
              <w:bottom w:val="single" w:color="000000" w:sz="4" w:space="0"/>
              <w:right w:val="single" w:color="000000" w:sz="4" w:space="0"/>
            </w:tcBorders>
            <w:shd w:val="clear" w:color="auto" w:fill="auto"/>
            <w:vAlign w:val="center"/>
          </w:tcPr>
          <w:p w14:paraId="3E1C41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解决移民遗留问题</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4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5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4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B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A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C8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269A03">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3900" w:type="dxa"/>
            <w:tcBorders>
              <w:top w:val="nil"/>
              <w:left w:val="nil"/>
              <w:bottom w:val="single" w:color="000000" w:sz="4" w:space="0"/>
              <w:right w:val="single" w:color="000000" w:sz="4" w:space="0"/>
            </w:tcBorders>
            <w:shd w:val="clear" w:color="auto" w:fill="auto"/>
            <w:vAlign w:val="center"/>
          </w:tcPr>
          <w:p w14:paraId="48FF61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F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1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8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A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D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C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B1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0ABA5F">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3900" w:type="dxa"/>
            <w:tcBorders>
              <w:top w:val="nil"/>
              <w:left w:val="nil"/>
              <w:bottom w:val="single" w:color="000000" w:sz="4" w:space="0"/>
              <w:right w:val="single" w:color="000000" w:sz="4" w:space="0"/>
            </w:tcBorders>
            <w:shd w:val="clear" w:color="auto" w:fill="auto"/>
            <w:vAlign w:val="center"/>
          </w:tcPr>
          <w:p w14:paraId="011E89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9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7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7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D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14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AC5909">
            <w:pPr>
              <w:textAlignment w:val="center"/>
              <w:rPr>
                <w:rFonts w:hint="eastAsia" w:ascii="宋体" w:hAnsi="宋体" w:eastAsia="宋体" w:cs="宋体"/>
                <w:i w:val="0"/>
                <w:iCs w:val="0"/>
                <w:color w:val="000000"/>
                <w:sz w:val="22"/>
                <w:szCs w:val="22"/>
                <w:u w:val="none"/>
              </w:rPr>
            </w:pPr>
            <w:r>
              <w:rPr>
                <w:rFonts w:cs="宋体"/>
                <w:b/>
                <w:color w:val="000000"/>
                <w:sz w:val="22"/>
                <w:szCs w:val="22"/>
              </w:rPr>
              <w:t>21372</w:t>
            </w:r>
          </w:p>
        </w:tc>
        <w:tc>
          <w:tcPr>
            <w:tcW w:w="3900" w:type="dxa"/>
            <w:tcBorders>
              <w:top w:val="nil"/>
              <w:left w:val="nil"/>
              <w:bottom w:val="single" w:color="000000" w:sz="4" w:space="0"/>
              <w:right w:val="single" w:color="000000" w:sz="4" w:space="0"/>
            </w:tcBorders>
            <w:shd w:val="clear" w:color="auto" w:fill="auto"/>
            <w:vAlign w:val="center"/>
          </w:tcPr>
          <w:p w14:paraId="61F16F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大中型水库移民后期扶持基金支出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8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3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9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5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3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6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5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56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E46EBA">
            <w:pPr>
              <w:textAlignment w:val="center"/>
              <w:rPr>
                <w:rFonts w:hint="eastAsia" w:ascii="宋体" w:hAnsi="宋体" w:eastAsia="宋体" w:cs="宋体"/>
                <w:i w:val="0"/>
                <w:iCs w:val="0"/>
                <w:color w:val="000000"/>
                <w:sz w:val="22"/>
                <w:szCs w:val="22"/>
                <w:u w:val="none"/>
              </w:rPr>
            </w:pPr>
            <w:r>
              <w:rPr>
                <w:rFonts w:cs="宋体"/>
                <w:color w:val="000000"/>
                <w:sz w:val="22"/>
                <w:szCs w:val="22"/>
              </w:rPr>
              <w:t>2137201</w:t>
            </w:r>
          </w:p>
        </w:tc>
        <w:tc>
          <w:tcPr>
            <w:tcW w:w="3900" w:type="dxa"/>
            <w:tcBorders>
              <w:top w:val="nil"/>
              <w:left w:val="nil"/>
              <w:bottom w:val="single" w:color="000000" w:sz="4" w:space="0"/>
              <w:right w:val="single" w:color="000000" w:sz="4" w:space="0"/>
            </w:tcBorders>
            <w:shd w:val="clear" w:color="auto" w:fill="auto"/>
            <w:vAlign w:val="center"/>
          </w:tcPr>
          <w:p w14:paraId="58D693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移民补助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E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4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9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BE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2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D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80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72D40B">
            <w:pPr>
              <w:textAlignment w:val="center"/>
              <w:rPr>
                <w:rFonts w:hint="eastAsia" w:ascii="宋体" w:hAnsi="宋体" w:eastAsia="宋体" w:cs="宋体"/>
                <w:i w:val="0"/>
                <w:iCs w:val="0"/>
                <w:color w:val="000000"/>
                <w:sz w:val="22"/>
                <w:szCs w:val="22"/>
                <w:u w:val="none"/>
              </w:rPr>
            </w:pPr>
            <w:r>
              <w:rPr>
                <w:rFonts w:cs="宋体"/>
                <w:color w:val="000000"/>
                <w:sz w:val="22"/>
                <w:szCs w:val="22"/>
              </w:rPr>
              <w:t>2137202</w:t>
            </w:r>
          </w:p>
        </w:tc>
        <w:tc>
          <w:tcPr>
            <w:tcW w:w="3900" w:type="dxa"/>
            <w:tcBorders>
              <w:top w:val="nil"/>
              <w:left w:val="nil"/>
              <w:bottom w:val="single" w:color="000000" w:sz="4" w:space="0"/>
              <w:right w:val="single" w:color="000000" w:sz="4" w:space="0"/>
            </w:tcBorders>
            <w:shd w:val="clear" w:color="auto" w:fill="auto"/>
            <w:vAlign w:val="center"/>
          </w:tcPr>
          <w:p w14:paraId="5B5111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5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0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C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F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5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3A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DC64D6">
            <w:pPr>
              <w:textAlignment w:val="center"/>
              <w:rPr>
                <w:rFonts w:hint="eastAsia" w:ascii="宋体" w:hAnsi="宋体" w:eastAsia="宋体" w:cs="宋体"/>
                <w:i w:val="0"/>
                <w:iCs w:val="0"/>
                <w:color w:val="000000"/>
                <w:sz w:val="22"/>
                <w:szCs w:val="22"/>
                <w:u w:val="none"/>
              </w:rPr>
            </w:pPr>
            <w:r>
              <w:rPr>
                <w:rFonts w:cs="宋体"/>
                <w:b/>
                <w:color w:val="000000"/>
                <w:sz w:val="22"/>
                <w:szCs w:val="22"/>
              </w:rPr>
              <w:t>21373</w:t>
            </w:r>
          </w:p>
        </w:tc>
        <w:tc>
          <w:tcPr>
            <w:tcW w:w="3900" w:type="dxa"/>
            <w:tcBorders>
              <w:top w:val="nil"/>
              <w:left w:val="nil"/>
              <w:bottom w:val="single" w:color="000000" w:sz="4" w:space="0"/>
              <w:right w:val="single" w:color="000000" w:sz="4" w:space="0"/>
            </w:tcBorders>
            <w:shd w:val="clear" w:color="auto" w:fill="auto"/>
            <w:vAlign w:val="center"/>
          </w:tcPr>
          <w:p w14:paraId="081CF5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小型水库移民扶助基金安排的支出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9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B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9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A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C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E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B6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1D4973">
            <w:pPr>
              <w:textAlignment w:val="center"/>
              <w:rPr>
                <w:rFonts w:hint="eastAsia" w:ascii="宋体" w:hAnsi="宋体" w:eastAsia="宋体" w:cs="宋体"/>
                <w:i w:val="0"/>
                <w:iCs w:val="0"/>
                <w:color w:val="000000"/>
                <w:sz w:val="22"/>
                <w:szCs w:val="22"/>
                <w:u w:val="none"/>
              </w:rPr>
            </w:pPr>
            <w:r>
              <w:rPr>
                <w:rFonts w:cs="宋体"/>
                <w:color w:val="000000"/>
                <w:sz w:val="22"/>
                <w:szCs w:val="22"/>
              </w:rPr>
              <w:t>2137302</w:t>
            </w:r>
          </w:p>
        </w:tc>
        <w:tc>
          <w:tcPr>
            <w:tcW w:w="3900" w:type="dxa"/>
            <w:tcBorders>
              <w:top w:val="nil"/>
              <w:left w:val="nil"/>
              <w:bottom w:val="single" w:color="000000" w:sz="4" w:space="0"/>
              <w:right w:val="single" w:color="000000" w:sz="4" w:space="0"/>
            </w:tcBorders>
            <w:shd w:val="clear" w:color="auto" w:fill="auto"/>
            <w:vAlign w:val="center"/>
          </w:tcPr>
          <w:p w14:paraId="5F30E7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3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E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9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F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B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5D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877EEB">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3900" w:type="dxa"/>
            <w:tcBorders>
              <w:top w:val="nil"/>
              <w:left w:val="nil"/>
              <w:bottom w:val="single" w:color="000000" w:sz="4" w:space="0"/>
              <w:right w:val="single" w:color="000000" w:sz="4" w:space="0"/>
            </w:tcBorders>
            <w:shd w:val="clear" w:color="auto" w:fill="auto"/>
            <w:vAlign w:val="center"/>
          </w:tcPr>
          <w:p w14:paraId="066EAF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B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F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4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A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0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0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45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61A108">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3900" w:type="dxa"/>
            <w:tcBorders>
              <w:top w:val="nil"/>
              <w:left w:val="nil"/>
              <w:bottom w:val="single" w:color="000000" w:sz="4" w:space="0"/>
              <w:right w:val="single" w:color="000000" w:sz="4" w:space="0"/>
            </w:tcBorders>
            <w:shd w:val="clear" w:color="auto" w:fill="auto"/>
            <w:vAlign w:val="center"/>
          </w:tcPr>
          <w:p w14:paraId="354BD2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3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8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4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3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8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C8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D3C9FD">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3900" w:type="dxa"/>
            <w:tcBorders>
              <w:top w:val="nil"/>
              <w:left w:val="nil"/>
              <w:bottom w:val="single" w:color="000000" w:sz="4" w:space="0"/>
              <w:right w:val="single" w:color="000000" w:sz="4" w:space="0"/>
            </w:tcBorders>
            <w:shd w:val="clear" w:color="auto" w:fill="auto"/>
            <w:vAlign w:val="center"/>
          </w:tcPr>
          <w:p w14:paraId="179182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0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8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D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5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5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6D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60AF6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0AC0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7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4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3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2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2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7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56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2EDBC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5E5A1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5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7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E5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3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0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B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4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D7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21FAC8">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E1EF3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C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1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F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E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7AB87C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084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47B738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452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49C8AC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石柱土家族自治县水利局本级 </w:t>
            </w:r>
          </w:p>
        </w:tc>
        <w:tc>
          <w:tcPr>
            <w:tcW w:w="2741" w:type="dxa"/>
            <w:tcBorders>
              <w:top w:val="nil"/>
              <w:left w:val="nil"/>
              <w:bottom w:val="nil"/>
              <w:right w:val="nil"/>
            </w:tcBorders>
            <w:shd w:val="clear" w:color="auto" w:fill="auto"/>
            <w:vAlign w:val="bottom"/>
          </w:tcPr>
          <w:p w14:paraId="3D359C2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E70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D047AA1">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8A32AC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321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3A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BAEB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6C27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ABA4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9168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07A1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1F5C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E6A5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398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C77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3EAED6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1F8D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1792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FF5AF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A27B2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CC7F5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920F21D">
            <w:pPr>
              <w:jc w:val="center"/>
              <w:rPr>
                <w:rFonts w:hint="eastAsia" w:ascii="宋体" w:hAnsi="宋体" w:eastAsia="宋体" w:cs="宋体"/>
                <w:i w:val="0"/>
                <w:iCs w:val="0"/>
                <w:color w:val="000000"/>
                <w:sz w:val="22"/>
                <w:szCs w:val="22"/>
                <w:u w:val="none"/>
              </w:rPr>
            </w:pPr>
          </w:p>
        </w:tc>
      </w:tr>
      <w:tr w14:paraId="2B95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0E2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B6F54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81CBA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1C28A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B8F9F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5804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6F203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11DA546">
            <w:pPr>
              <w:jc w:val="center"/>
              <w:rPr>
                <w:rFonts w:hint="eastAsia" w:ascii="宋体" w:hAnsi="宋体" w:eastAsia="宋体" w:cs="宋体"/>
                <w:i w:val="0"/>
                <w:iCs w:val="0"/>
                <w:color w:val="000000"/>
                <w:sz w:val="22"/>
                <w:szCs w:val="22"/>
                <w:u w:val="none"/>
              </w:rPr>
            </w:pPr>
          </w:p>
        </w:tc>
      </w:tr>
      <w:tr w14:paraId="4B0E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797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38E90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E8581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05EC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35AE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46931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AC01F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794F34B">
            <w:pPr>
              <w:jc w:val="center"/>
              <w:rPr>
                <w:rFonts w:hint="eastAsia" w:ascii="宋体" w:hAnsi="宋体" w:eastAsia="宋体" w:cs="宋体"/>
                <w:i w:val="0"/>
                <w:iCs w:val="0"/>
                <w:color w:val="000000"/>
                <w:sz w:val="22"/>
                <w:szCs w:val="22"/>
                <w:u w:val="none"/>
              </w:rPr>
            </w:pPr>
          </w:p>
        </w:tc>
      </w:tr>
      <w:tr w14:paraId="3010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3CF6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50EAC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8903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D8F8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16CA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3DEE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0ACF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0771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C304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5CF3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15E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0AEB1B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95E753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1BCD5A2">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FBDA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D2EA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235,228,694.67 </w:t>
            </w:r>
          </w:p>
        </w:tc>
        <w:tc>
          <w:tcPr>
            <w:tcW w:w="2737" w:type="dxa"/>
            <w:tcBorders>
              <w:top w:val="nil"/>
              <w:left w:val="nil"/>
              <w:bottom w:val="single" w:color="000000" w:sz="4" w:space="0"/>
              <w:right w:val="single" w:color="000000" w:sz="4" w:space="0"/>
            </w:tcBorders>
            <w:shd w:val="clear" w:color="auto" w:fill="auto"/>
            <w:vAlign w:val="center"/>
          </w:tcPr>
          <w:p w14:paraId="18560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4,986,465.65 </w:t>
            </w:r>
          </w:p>
        </w:tc>
        <w:tc>
          <w:tcPr>
            <w:tcW w:w="2737" w:type="dxa"/>
            <w:tcBorders>
              <w:top w:val="nil"/>
              <w:left w:val="nil"/>
              <w:bottom w:val="single" w:color="000000" w:sz="4" w:space="0"/>
              <w:right w:val="single" w:color="000000" w:sz="4" w:space="0"/>
            </w:tcBorders>
            <w:shd w:val="clear" w:color="auto" w:fill="auto"/>
            <w:vAlign w:val="center"/>
          </w:tcPr>
          <w:p w14:paraId="55E32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230,242,229.02 </w:t>
            </w:r>
          </w:p>
        </w:tc>
        <w:tc>
          <w:tcPr>
            <w:tcW w:w="2737" w:type="dxa"/>
            <w:tcBorders>
              <w:top w:val="nil"/>
              <w:left w:val="nil"/>
              <w:bottom w:val="single" w:color="000000" w:sz="4" w:space="0"/>
              <w:right w:val="single" w:color="000000" w:sz="4" w:space="0"/>
            </w:tcBorders>
            <w:shd w:val="clear" w:color="auto" w:fill="auto"/>
            <w:vAlign w:val="center"/>
          </w:tcPr>
          <w:p w14:paraId="3BF8D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B3A4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8B4E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739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AAD99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39068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1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E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5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3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1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96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140C1E">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588C55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D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0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3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F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51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E1836F">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317ED2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0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1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8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9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0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A3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17B14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555FB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2,445,231.00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E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2,445,231.00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2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9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7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FF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FF32A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A4A2E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1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2,360,528.20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2,360,528.20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B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A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0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8F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37B997">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5B33C0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A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9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E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A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7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B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74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B0662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0BB0B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D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372,045.80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D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372,045.80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7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4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0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ED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27576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4EA81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2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B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7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3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5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0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AB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DC4885">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6A9608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0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6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8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E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8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EE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8F275A">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0D2383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F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9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5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31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78E8BA">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5CC5D5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3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D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7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9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42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A14B0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B279E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4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1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E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C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96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E5CA4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49383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3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3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369,383.98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F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C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B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2C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85E18B">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30C4B6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99,683.98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4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99,683.98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8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B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3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2C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5931F8">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0715CF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D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E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E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0C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01D25A">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1825DF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1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A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1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ED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ABF1FA">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4A5389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A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5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6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B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2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99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CE2179">
            <w:pPr>
              <w:textAlignment w:val="center"/>
              <w:rPr>
                <w:rFonts w:hint="eastAsia" w:ascii="宋体" w:hAnsi="宋体" w:eastAsia="宋体" w:cs="宋体"/>
                <w:i w:val="0"/>
                <w:iCs w:val="0"/>
                <w:color w:val="000000"/>
                <w:sz w:val="22"/>
                <w:szCs w:val="22"/>
                <w:u w:val="none"/>
              </w:rPr>
            </w:pPr>
            <w:r>
              <w:rPr>
                <w:rFonts w:cs="宋体"/>
                <w:color w:val="000000"/>
                <w:sz w:val="22"/>
                <w:szCs w:val="22"/>
              </w:rPr>
              <w:t>2120801</w:t>
            </w:r>
          </w:p>
        </w:tc>
        <w:tc>
          <w:tcPr>
            <w:tcW w:w="4433" w:type="dxa"/>
            <w:tcBorders>
              <w:top w:val="nil"/>
              <w:left w:val="nil"/>
              <w:bottom w:val="single" w:color="000000" w:sz="4" w:space="0"/>
              <w:right w:val="single" w:color="000000" w:sz="4" w:space="0"/>
            </w:tcBorders>
            <w:shd w:val="clear" w:color="auto" w:fill="auto"/>
            <w:vAlign w:val="center"/>
          </w:tcPr>
          <w:p w14:paraId="4C8209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0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F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F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E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E8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663F96">
            <w:pPr>
              <w:textAlignment w:val="center"/>
              <w:rPr>
                <w:rFonts w:hint="eastAsia" w:ascii="宋体" w:hAnsi="宋体" w:eastAsia="宋体" w:cs="宋体"/>
                <w:i w:val="0"/>
                <w:iCs w:val="0"/>
                <w:color w:val="000000"/>
                <w:sz w:val="22"/>
                <w:szCs w:val="22"/>
                <w:u w:val="none"/>
              </w:rPr>
            </w:pPr>
            <w:r>
              <w:rPr>
                <w:rFonts w:cs="宋体"/>
                <w:color w:val="000000"/>
                <w:sz w:val="22"/>
                <w:szCs w:val="22"/>
              </w:rPr>
              <w:t>21211</w:t>
            </w:r>
          </w:p>
        </w:tc>
        <w:tc>
          <w:tcPr>
            <w:tcW w:w="4433" w:type="dxa"/>
            <w:tcBorders>
              <w:top w:val="nil"/>
              <w:left w:val="nil"/>
              <w:bottom w:val="single" w:color="000000" w:sz="4" w:space="0"/>
              <w:right w:val="single" w:color="000000" w:sz="4" w:space="0"/>
            </w:tcBorders>
            <w:shd w:val="clear" w:color="auto" w:fill="auto"/>
            <w:vAlign w:val="center"/>
          </w:tcPr>
          <w:p w14:paraId="6D31EC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农业土地开发资金安排的支出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7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1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E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8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D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C0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786AA0">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3F43F3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F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213,663,844.24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3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2,035,014.07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211,628,830.17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0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1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7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B3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EDDBF3">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566515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2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1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B1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ABDE6E">
            <w:pPr>
              <w:textAlignment w:val="center"/>
              <w:rPr>
                <w:rFonts w:hint="eastAsia" w:ascii="宋体" w:hAnsi="宋体" w:eastAsia="宋体" w:cs="宋体"/>
                <w:i w:val="0"/>
                <w:iCs w:val="0"/>
                <w:color w:val="000000"/>
                <w:sz w:val="22"/>
                <w:szCs w:val="22"/>
                <w:u w:val="none"/>
              </w:rPr>
            </w:pPr>
            <w:r>
              <w:rPr>
                <w:rFonts w:cs="宋体"/>
                <w:color w:val="000000"/>
                <w:sz w:val="22"/>
                <w:szCs w:val="22"/>
              </w:rPr>
              <w:t>2130102</w:t>
            </w:r>
          </w:p>
        </w:tc>
        <w:tc>
          <w:tcPr>
            <w:tcW w:w="4433" w:type="dxa"/>
            <w:tcBorders>
              <w:top w:val="nil"/>
              <w:left w:val="nil"/>
              <w:bottom w:val="single" w:color="000000" w:sz="4" w:space="0"/>
              <w:right w:val="single" w:color="000000" w:sz="4" w:space="0"/>
            </w:tcBorders>
            <w:shd w:val="clear" w:color="auto" w:fill="auto"/>
            <w:vAlign w:val="center"/>
          </w:tcPr>
          <w:p w14:paraId="7DF3B3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D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B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0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41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FBF8F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69635C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104,123,166.63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C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2,035,014.07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102,088,152.56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9F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C237E5">
            <w:pPr>
              <w:textAlignment w:val="center"/>
              <w:rPr>
                <w:rFonts w:hint="eastAsia" w:ascii="宋体" w:hAnsi="宋体" w:eastAsia="宋体" w:cs="宋体"/>
                <w:i w:val="0"/>
                <w:iCs w:val="0"/>
                <w:color w:val="000000"/>
                <w:sz w:val="22"/>
                <w:szCs w:val="22"/>
                <w:u w:val="none"/>
              </w:rPr>
            </w:pPr>
            <w:r>
              <w:rPr>
                <w:rFonts w:cs="宋体"/>
                <w:color w:val="000000"/>
                <w:sz w:val="22"/>
                <w:szCs w:val="22"/>
              </w:rPr>
              <w:t>2130301</w:t>
            </w:r>
          </w:p>
        </w:tc>
        <w:tc>
          <w:tcPr>
            <w:tcW w:w="4433" w:type="dxa"/>
            <w:tcBorders>
              <w:top w:val="nil"/>
              <w:left w:val="nil"/>
              <w:bottom w:val="single" w:color="000000" w:sz="4" w:space="0"/>
              <w:right w:val="single" w:color="000000" w:sz="4" w:space="0"/>
            </w:tcBorders>
            <w:shd w:val="clear" w:color="auto" w:fill="auto"/>
            <w:vAlign w:val="center"/>
          </w:tcPr>
          <w:p w14:paraId="3E92E0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A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2,035,014.07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A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2,035,014.07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A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F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03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77728E">
            <w:pPr>
              <w:textAlignment w:val="center"/>
              <w:rPr>
                <w:rFonts w:hint="eastAsia" w:ascii="宋体" w:hAnsi="宋体" w:eastAsia="宋体" w:cs="宋体"/>
                <w:i w:val="0"/>
                <w:iCs w:val="0"/>
                <w:color w:val="000000"/>
                <w:sz w:val="22"/>
                <w:szCs w:val="22"/>
                <w:u w:val="none"/>
              </w:rPr>
            </w:pPr>
            <w:r>
              <w:rPr>
                <w:rFonts w:cs="宋体"/>
                <w:color w:val="000000"/>
                <w:sz w:val="22"/>
                <w:szCs w:val="22"/>
              </w:rPr>
              <w:t>2130302</w:t>
            </w:r>
          </w:p>
        </w:tc>
        <w:tc>
          <w:tcPr>
            <w:tcW w:w="4433" w:type="dxa"/>
            <w:tcBorders>
              <w:top w:val="nil"/>
              <w:left w:val="nil"/>
              <w:bottom w:val="single" w:color="000000" w:sz="4" w:space="0"/>
              <w:right w:val="single" w:color="000000" w:sz="4" w:space="0"/>
            </w:tcBorders>
            <w:shd w:val="clear" w:color="auto" w:fill="auto"/>
            <w:vAlign w:val="center"/>
          </w:tcPr>
          <w:p w14:paraId="6DD131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F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B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A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B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C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66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A35E0D">
            <w:pPr>
              <w:textAlignment w:val="center"/>
              <w:rPr>
                <w:rFonts w:hint="eastAsia" w:ascii="宋体" w:hAnsi="宋体" w:eastAsia="宋体" w:cs="宋体"/>
                <w:i w:val="0"/>
                <w:iCs w:val="0"/>
                <w:color w:val="000000"/>
                <w:sz w:val="22"/>
                <w:szCs w:val="22"/>
                <w:u w:val="none"/>
              </w:rPr>
            </w:pPr>
            <w:r>
              <w:rPr>
                <w:rFonts w:cs="宋体"/>
                <w:color w:val="000000"/>
                <w:sz w:val="22"/>
                <w:szCs w:val="22"/>
              </w:rPr>
              <w:t>2130304</w:t>
            </w:r>
          </w:p>
        </w:tc>
        <w:tc>
          <w:tcPr>
            <w:tcW w:w="4433" w:type="dxa"/>
            <w:tcBorders>
              <w:top w:val="nil"/>
              <w:left w:val="nil"/>
              <w:bottom w:val="single" w:color="000000" w:sz="4" w:space="0"/>
              <w:right w:val="single" w:color="000000" w:sz="4" w:space="0"/>
            </w:tcBorders>
            <w:shd w:val="clear" w:color="auto" w:fill="auto"/>
            <w:vAlign w:val="center"/>
          </w:tcPr>
          <w:p w14:paraId="23FC63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水利行业业务管理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2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0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1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6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5B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A45A89">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14:paraId="641F46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A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4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D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D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A3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6C6E75">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433" w:type="dxa"/>
            <w:tcBorders>
              <w:top w:val="nil"/>
              <w:left w:val="nil"/>
              <w:bottom w:val="single" w:color="000000" w:sz="4" w:space="0"/>
              <w:right w:val="single" w:color="000000" w:sz="4" w:space="0"/>
            </w:tcBorders>
            <w:shd w:val="clear" w:color="auto" w:fill="auto"/>
            <w:vAlign w:val="center"/>
          </w:tcPr>
          <w:p w14:paraId="6FC1EA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9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3,906,889.45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D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2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3,906,889.45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D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0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C0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39D2B2">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433" w:type="dxa"/>
            <w:tcBorders>
              <w:top w:val="nil"/>
              <w:left w:val="nil"/>
              <w:bottom w:val="single" w:color="000000" w:sz="4" w:space="0"/>
              <w:right w:val="single" w:color="000000" w:sz="4" w:space="0"/>
            </w:tcBorders>
            <w:shd w:val="clear" w:color="auto" w:fill="auto"/>
            <w:vAlign w:val="center"/>
          </w:tcPr>
          <w:p w14:paraId="253AE8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19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8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6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E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F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B9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2E5DE1">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0C4B46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B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3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F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1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5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68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D38E21">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4F359A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6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C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F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9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31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28140E">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5ED192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9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B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B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E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0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1D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70C789">
            <w:pPr>
              <w:textAlignment w:val="center"/>
              <w:rPr>
                <w:rFonts w:hint="eastAsia" w:ascii="宋体" w:hAnsi="宋体" w:eastAsia="宋体" w:cs="宋体"/>
                <w:i w:val="0"/>
                <w:iCs w:val="0"/>
                <w:color w:val="000000"/>
                <w:sz w:val="22"/>
                <w:szCs w:val="22"/>
                <w:u w:val="none"/>
              </w:rPr>
            </w:pPr>
            <w:r>
              <w:rPr>
                <w:rFonts w:cs="宋体"/>
                <w:b/>
                <w:color w:val="000000"/>
                <w:sz w:val="22"/>
                <w:szCs w:val="22"/>
              </w:rPr>
              <w:t>21366</w:t>
            </w:r>
          </w:p>
        </w:tc>
        <w:tc>
          <w:tcPr>
            <w:tcW w:w="4433" w:type="dxa"/>
            <w:tcBorders>
              <w:top w:val="nil"/>
              <w:left w:val="nil"/>
              <w:bottom w:val="single" w:color="000000" w:sz="4" w:space="0"/>
              <w:right w:val="single" w:color="000000" w:sz="4" w:space="0"/>
            </w:tcBorders>
            <w:shd w:val="clear" w:color="auto" w:fill="auto"/>
            <w:vAlign w:val="center"/>
          </w:tcPr>
          <w:p w14:paraId="07CF56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大中型水库库区基金安排的支出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3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2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C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6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A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72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7DA837">
            <w:pPr>
              <w:textAlignment w:val="center"/>
              <w:rPr>
                <w:rFonts w:hint="eastAsia" w:ascii="宋体" w:hAnsi="宋体" w:eastAsia="宋体" w:cs="宋体"/>
                <w:i w:val="0"/>
                <w:iCs w:val="0"/>
                <w:color w:val="000000"/>
                <w:sz w:val="22"/>
                <w:szCs w:val="22"/>
                <w:u w:val="none"/>
              </w:rPr>
            </w:pPr>
            <w:r>
              <w:rPr>
                <w:rFonts w:cs="宋体"/>
                <w:color w:val="000000"/>
                <w:sz w:val="22"/>
                <w:szCs w:val="22"/>
              </w:rPr>
              <w:t>2136601</w:t>
            </w:r>
          </w:p>
        </w:tc>
        <w:tc>
          <w:tcPr>
            <w:tcW w:w="4433" w:type="dxa"/>
            <w:tcBorders>
              <w:top w:val="nil"/>
              <w:left w:val="nil"/>
              <w:bottom w:val="single" w:color="000000" w:sz="4" w:space="0"/>
              <w:right w:val="single" w:color="000000" w:sz="4" w:space="0"/>
            </w:tcBorders>
            <w:shd w:val="clear" w:color="auto" w:fill="auto"/>
            <w:vAlign w:val="center"/>
          </w:tcPr>
          <w:p w14:paraId="3B9E14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E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8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7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3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2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D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2D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A6CD92">
            <w:pPr>
              <w:textAlignment w:val="center"/>
              <w:rPr>
                <w:rFonts w:hint="eastAsia" w:ascii="宋体" w:hAnsi="宋体" w:eastAsia="宋体" w:cs="宋体"/>
                <w:i w:val="0"/>
                <w:iCs w:val="0"/>
                <w:color w:val="000000"/>
                <w:sz w:val="22"/>
                <w:szCs w:val="22"/>
                <w:u w:val="none"/>
              </w:rPr>
            </w:pPr>
            <w:r>
              <w:rPr>
                <w:rFonts w:cs="宋体"/>
                <w:b/>
                <w:color w:val="000000"/>
                <w:sz w:val="22"/>
                <w:szCs w:val="22"/>
              </w:rPr>
              <w:t>21367</w:t>
            </w:r>
          </w:p>
        </w:tc>
        <w:tc>
          <w:tcPr>
            <w:tcW w:w="4433" w:type="dxa"/>
            <w:tcBorders>
              <w:top w:val="nil"/>
              <w:left w:val="nil"/>
              <w:bottom w:val="single" w:color="000000" w:sz="4" w:space="0"/>
              <w:right w:val="single" w:color="000000" w:sz="4" w:space="0"/>
            </w:tcBorders>
            <w:shd w:val="clear" w:color="auto" w:fill="auto"/>
            <w:vAlign w:val="center"/>
          </w:tcPr>
          <w:p w14:paraId="361D37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三峡水库库区基金支出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A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C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7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82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8B5C4F">
            <w:pPr>
              <w:textAlignment w:val="center"/>
              <w:rPr>
                <w:rFonts w:hint="eastAsia" w:ascii="宋体" w:hAnsi="宋体" w:eastAsia="宋体" w:cs="宋体"/>
                <w:i w:val="0"/>
                <w:iCs w:val="0"/>
                <w:color w:val="000000"/>
                <w:sz w:val="22"/>
                <w:szCs w:val="22"/>
                <w:u w:val="none"/>
              </w:rPr>
            </w:pPr>
            <w:r>
              <w:rPr>
                <w:rFonts w:cs="宋体"/>
                <w:color w:val="000000"/>
                <w:sz w:val="22"/>
                <w:szCs w:val="22"/>
              </w:rPr>
              <w:t>2136701</w:t>
            </w:r>
          </w:p>
        </w:tc>
        <w:tc>
          <w:tcPr>
            <w:tcW w:w="4433" w:type="dxa"/>
            <w:tcBorders>
              <w:top w:val="nil"/>
              <w:left w:val="nil"/>
              <w:bottom w:val="single" w:color="000000" w:sz="4" w:space="0"/>
              <w:right w:val="single" w:color="000000" w:sz="4" w:space="0"/>
            </w:tcBorders>
            <w:shd w:val="clear" w:color="auto" w:fill="auto"/>
            <w:vAlign w:val="center"/>
          </w:tcPr>
          <w:p w14:paraId="3CF290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D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4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E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2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8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9D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B4188C">
            <w:pPr>
              <w:textAlignment w:val="center"/>
              <w:rPr>
                <w:rFonts w:hint="eastAsia" w:ascii="宋体" w:hAnsi="宋体" w:eastAsia="宋体" w:cs="宋体"/>
                <w:i w:val="0"/>
                <w:iCs w:val="0"/>
                <w:color w:val="000000"/>
                <w:sz w:val="22"/>
                <w:szCs w:val="22"/>
                <w:u w:val="none"/>
              </w:rPr>
            </w:pPr>
            <w:r>
              <w:rPr>
                <w:rFonts w:cs="宋体"/>
                <w:color w:val="000000"/>
                <w:sz w:val="22"/>
                <w:szCs w:val="22"/>
              </w:rPr>
              <w:t>2136702</w:t>
            </w:r>
          </w:p>
        </w:tc>
        <w:tc>
          <w:tcPr>
            <w:tcW w:w="4433" w:type="dxa"/>
            <w:tcBorders>
              <w:top w:val="nil"/>
              <w:left w:val="nil"/>
              <w:bottom w:val="single" w:color="000000" w:sz="4" w:space="0"/>
              <w:right w:val="single" w:color="000000" w:sz="4" w:space="0"/>
            </w:tcBorders>
            <w:shd w:val="clear" w:color="auto" w:fill="auto"/>
            <w:vAlign w:val="center"/>
          </w:tcPr>
          <w:p w14:paraId="2B882D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解决移民遗留问题</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B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1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8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B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3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4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A7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C6E0F1">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433" w:type="dxa"/>
            <w:tcBorders>
              <w:top w:val="nil"/>
              <w:left w:val="nil"/>
              <w:bottom w:val="single" w:color="000000" w:sz="4" w:space="0"/>
              <w:right w:val="single" w:color="000000" w:sz="4" w:space="0"/>
            </w:tcBorders>
            <w:shd w:val="clear" w:color="auto" w:fill="auto"/>
            <w:vAlign w:val="center"/>
          </w:tcPr>
          <w:p w14:paraId="2F2010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8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C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3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E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14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752620">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433" w:type="dxa"/>
            <w:tcBorders>
              <w:top w:val="nil"/>
              <w:left w:val="nil"/>
              <w:bottom w:val="single" w:color="000000" w:sz="4" w:space="0"/>
              <w:right w:val="single" w:color="000000" w:sz="4" w:space="0"/>
            </w:tcBorders>
            <w:shd w:val="clear" w:color="auto" w:fill="auto"/>
            <w:vAlign w:val="center"/>
          </w:tcPr>
          <w:p w14:paraId="18BC45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4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8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7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12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9A8128">
            <w:pPr>
              <w:textAlignment w:val="center"/>
              <w:rPr>
                <w:rFonts w:hint="eastAsia" w:ascii="宋体" w:hAnsi="宋体" w:eastAsia="宋体" w:cs="宋体"/>
                <w:i w:val="0"/>
                <w:iCs w:val="0"/>
                <w:color w:val="000000"/>
                <w:sz w:val="22"/>
                <w:szCs w:val="22"/>
                <w:u w:val="none"/>
              </w:rPr>
            </w:pPr>
            <w:r>
              <w:rPr>
                <w:rFonts w:cs="宋体"/>
                <w:b/>
                <w:color w:val="000000"/>
                <w:sz w:val="22"/>
                <w:szCs w:val="22"/>
              </w:rPr>
              <w:t>21372</w:t>
            </w:r>
          </w:p>
        </w:tc>
        <w:tc>
          <w:tcPr>
            <w:tcW w:w="4433" w:type="dxa"/>
            <w:tcBorders>
              <w:top w:val="nil"/>
              <w:left w:val="nil"/>
              <w:bottom w:val="single" w:color="000000" w:sz="4" w:space="0"/>
              <w:right w:val="single" w:color="000000" w:sz="4" w:space="0"/>
            </w:tcBorders>
            <w:shd w:val="clear" w:color="auto" w:fill="auto"/>
            <w:vAlign w:val="center"/>
          </w:tcPr>
          <w:p w14:paraId="7E00B8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大中型水库移民后期扶持基金支出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3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0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0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E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E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5F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BAA87D">
            <w:pPr>
              <w:textAlignment w:val="center"/>
              <w:rPr>
                <w:rFonts w:hint="eastAsia" w:ascii="宋体" w:hAnsi="宋体" w:eastAsia="宋体" w:cs="宋体"/>
                <w:i w:val="0"/>
                <w:iCs w:val="0"/>
                <w:color w:val="000000"/>
                <w:sz w:val="22"/>
                <w:szCs w:val="22"/>
                <w:u w:val="none"/>
              </w:rPr>
            </w:pPr>
            <w:r>
              <w:rPr>
                <w:rFonts w:cs="宋体"/>
                <w:color w:val="000000"/>
                <w:sz w:val="22"/>
                <w:szCs w:val="22"/>
              </w:rPr>
              <w:t>2137201</w:t>
            </w:r>
          </w:p>
        </w:tc>
        <w:tc>
          <w:tcPr>
            <w:tcW w:w="4433" w:type="dxa"/>
            <w:tcBorders>
              <w:top w:val="nil"/>
              <w:left w:val="nil"/>
              <w:bottom w:val="single" w:color="000000" w:sz="4" w:space="0"/>
              <w:right w:val="single" w:color="000000" w:sz="4" w:space="0"/>
            </w:tcBorders>
            <w:shd w:val="clear" w:color="auto" w:fill="auto"/>
            <w:vAlign w:val="center"/>
          </w:tcPr>
          <w:p w14:paraId="5E8121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移民补助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B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3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7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5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4F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82DFA9">
            <w:pPr>
              <w:textAlignment w:val="center"/>
              <w:rPr>
                <w:rFonts w:hint="eastAsia" w:ascii="宋体" w:hAnsi="宋体" w:eastAsia="宋体" w:cs="宋体"/>
                <w:i w:val="0"/>
                <w:iCs w:val="0"/>
                <w:color w:val="000000"/>
                <w:sz w:val="22"/>
                <w:szCs w:val="22"/>
                <w:u w:val="none"/>
              </w:rPr>
            </w:pPr>
            <w:r>
              <w:rPr>
                <w:rFonts w:cs="宋体"/>
                <w:color w:val="000000"/>
                <w:sz w:val="22"/>
                <w:szCs w:val="22"/>
              </w:rPr>
              <w:t>2137202</w:t>
            </w:r>
          </w:p>
        </w:tc>
        <w:tc>
          <w:tcPr>
            <w:tcW w:w="4433" w:type="dxa"/>
            <w:tcBorders>
              <w:top w:val="nil"/>
              <w:left w:val="nil"/>
              <w:bottom w:val="single" w:color="000000" w:sz="4" w:space="0"/>
              <w:right w:val="single" w:color="000000" w:sz="4" w:space="0"/>
            </w:tcBorders>
            <w:shd w:val="clear" w:color="auto" w:fill="auto"/>
            <w:vAlign w:val="center"/>
          </w:tcPr>
          <w:p w14:paraId="2E78B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B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2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6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B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D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4F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A00FF1">
            <w:pPr>
              <w:textAlignment w:val="center"/>
              <w:rPr>
                <w:rFonts w:hint="eastAsia" w:ascii="宋体" w:hAnsi="宋体" w:eastAsia="宋体" w:cs="宋体"/>
                <w:i w:val="0"/>
                <w:iCs w:val="0"/>
                <w:color w:val="000000"/>
                <w:sz w:val="22"/>
                <w:szCs w:val="22"/>
                <w:u w:val="none"/>
              </w:rPr>
            </w:pPr>
            <w:r>
              <w:rPr>
                <w:rFonts w:cs="宋体"/>
                <w:b/>
                <w:color w:val="000000"/>
                <w:sz w:val="22"/>
                <w:szCs w:val="22"/>
              </w:rPr>
              <w:t>21373</w:t>
            </w:r>
          </w:p>
        </w:tc>
        <w:tc>
          <w:tcPr>
            <w:tcW w:w="4433" w:type="dxa"/>
            <w:tcBorders>
              <w:top w:val="nil"/>
              <w:left w:val="nil"/>
              <w:bottom w:val="single" w:color="000000" w:sz="4" w:space="0"/>
              <w:right w:val="single" w:color="000000" w:sz="4" w:space="0"/>
            </w:tcBorders>
            <w:shd w:val="clear" w:color="auto" w:fill="auto"/>
            <w:vAlign w:val="center"/>
          </w:tcPr>
          <w:p w14:paraId="7C3028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小型水库移民扶助基金安排的支出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1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4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E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8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1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53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A7D32A">
            <w:pPr>
              <w:textAlignment w:val="center"/>
              <w:rPr>
                <w:rFonts w:hint="eastAsia" w:ascii="宋体" w:hAnsi="宋体" w:eastAsia="宋体" w:cs="宋体"/>
                <w:i w:val="0"/>
                <w:iCs w:val="0"/>
                <w:color w:val="000000"/>
                <w:sz w:val="22"/>
                <w:szCs w:val="22"/>
                <w:u w:val="none"/>
              </w:rPr>
            </w:pPr>
            <w:r>
              <w:rPr>
                <w:rFonts w:cs="宋体"/>
                <w:color w:val="000000"/>
                <w:sz w:val="22"/>
                <w:szCs w:val="22"/>
              </w:rPr>
              <w:t>2137302</w:t>
            </w:r>
          </w:p>
        </w:tc>
        <w:tc>
          <w:tcPr>
            <w:tcW w:w="4433" w:type="dxa"/>
            <w:tcBorders>
              <w:top w:val="nil"/>
              <w:left w:val="nil"/>
              <w:bottom w:val="single" w:color="000000" w:sz="4" w:space="0"/>
              <w:right w:val="single" w:color="000000" w:sz="4" w:space="0"/>
            </w:tcBorders>
            <w:shd w:val="clear" w:color="auto" w:fill="auto"/>
            <w:vAlign w:val="center"/>
          </w:tcPr>
          <w:p w14:paraId="2096F5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5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4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6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D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5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D1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881659">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433" w:type="dxa"/>
            <w:tcBorders>
              <w:top w:val="nil"/>
              <w:left w:val="nil"/>
              <w:bottom w:val="single" w:color="000000" w:sz="4" w:space="0"/>
              <w:right w:val="single" w:color="000000" w:sz="4" w:space="0"/>
            </w:tcBorders>
            <w:shd w:val="clear" w:color="auto" w:fill="auto"/>
            <w:vAlign w:val="center"/>
          </w:tcPr>
          <w:p w14:paraId="459822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9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E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4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E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A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4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39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25160A">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433" w:type="dxa"/>
            <w:tcBorders>
              <w:top w:val="nil"/>
              <w:left w:val="nil"/>
              <w:bottom w:val="single" w:color="000000" w:sz="4" w:space="0"/>
              <w:right w:val="single" w:color="000000" w:sz="4" w:space="0"/>
            </w:tcBorders>
            <w:shd w:val="clear" w:color="auto" w:fill="auto"/>
            <w:vAlign w:val="center"/>
          </w:tcPr>
          <w:p w14:paraId="4DA8EB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0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4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4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3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0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3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AC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020385">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433" w:type="dxa"/>
            <w:tcBorders>
              <w:top w:val="nil"/>
              <w:left w:val="nil"/>
              <w:bottom w:val="single" w:color="000000" w:sz="4" w:space="0"/>
              <w:right w:val="single" w:color="000000" w:sz="4" w:space="0"/>
            </w:tcBorders>
            <w:shd w:val="clear" w:color="auto" w:fill="auto"/>
            <w:vAlign w:val="center"/>
          </w:tcPr>
          <w:p w14:paraId="4B57F3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0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C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0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1E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22566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3E9A3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6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F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3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2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3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B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B8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1C03B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5B88A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9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D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136,836.60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A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9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9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A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F1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F39D1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0C8F7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A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6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E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B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0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030E2F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399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DAFF60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1C1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C4670F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石柱土家族自治县水利局本级</w:t>
            </w:r>
          </w:p>
        </w:tc>
        <w:tc>
          <w:tcPr>
            <w:tcW w:w="2874" w:type="dxa"/>
            <w:tcBorders>
              <w:top w:val="nil"/>
              <w:left w:val="nil"/>
              <w:bottom w:val="nil"/>
              <w:right w:val="nil"/>
            </w:tcBorders>
            <w:shd w:val="clear" w:color="auto" w:fill="auto"/>
            <w:vAlign w:val="bottom"/>
          </w:tcPr>
          <w:p w14:paraId="5C0A89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414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B2D82CE">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DE12B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6C4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D5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9B6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83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66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2F4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E7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B46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584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C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92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518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93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DE4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6C0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014B">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F94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4DE4">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8A4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A0F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9A4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08B5">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634F">
            <w:pPr>
              <w:jc w:val="center"/>
              <w:rPr>
                <w:rFonts w:hint="eastAsia" w:ascii="宋体" w:hAnsi="宋体" w:eastAsia="宋体" w:cs="宋体"/>
                <w:i w:val="0"/>
                <w:iCs w:val="0"/>
                <w:color w:val="000000"/>
                <w:sz w:val="22"/>
                <w:szCs w:val="22"/>
                <w:u w:val="none"/>
              </w:rPr>
            </w:pPr>
          </w:p>
        </w:tc>
      </w:tr>
      <w:tr w14:paraId="226C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9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4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5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F6C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29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E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7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F04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7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3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44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125,708,373.71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9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0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140,880.00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F6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140,880.00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8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45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62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F2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1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2A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F1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6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A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B6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C5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EF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A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7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8B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20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EA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6B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D9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65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D0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D6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4338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D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F4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AB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5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8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2D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56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89B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B5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E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4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B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34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F2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17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D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9B1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BF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A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D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39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46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08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6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0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D17E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8E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9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5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75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BB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0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45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A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8E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127D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94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1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9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2,445,231.00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A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2,445,231.00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A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D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C4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A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8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3F05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05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CA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369,383.98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79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369,383.98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8A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BD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AA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F3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F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77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CC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4B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1E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9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6D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D5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6C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4D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BB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D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CF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11,800,518.85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4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B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11,800,518.85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EC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C2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0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2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1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73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3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1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213,663,844.24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CB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115,944,042.13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97,719,802.11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96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D6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E3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FC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F0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5F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B7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C7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97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8D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E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43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F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4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0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6F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A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45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0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E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07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6E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06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AF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90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07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C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E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6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DF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C5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6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F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0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2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2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68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1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09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81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6C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2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1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CD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2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5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E7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D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8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A8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00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CD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4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0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B9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D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9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6,672,000.00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8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6,672,000.00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0C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E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BC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4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E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63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2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F8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136,836.60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D0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136,836.60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2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9B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D4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F5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B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2C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28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21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FC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6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C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C6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7F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6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AD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0D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C1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E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F5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ED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8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60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8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3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9C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78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4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D8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EC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71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C4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04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2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2A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F5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3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5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8C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84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66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B9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55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0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B3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9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0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13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3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8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41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7B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8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F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AF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71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64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41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60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5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AE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9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9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64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8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1A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E5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B6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0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0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BF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B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D3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2C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235,228,694.67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E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CF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7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235,228,694.67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4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125,708,373.71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1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C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2B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41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A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AF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FD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D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CB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25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7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E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2B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8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D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CC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F2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DA07A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1A73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D43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A7B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CE8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2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3F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D4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30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DF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83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B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17C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D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5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4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2C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1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EA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DA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1B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7C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9C9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92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02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235,228,694.67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E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6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5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235,228,694.67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5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125,708,373.71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8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76FAF78">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A52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C5A79E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D8E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DAEB59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石柱土家族自治县水利局本级</w:t>
            </w:r>
          </w:p>
        </w:tc>
        <w:tc>
          <w:tcPr>
            <w:tcW w:w="1156" w:type="dxa"/>
            <w:tcBorders>
              <w:top w:val="nil"/>
              <w:left w:val="nil"/>
              <w:bottom w:val="nil"/>
              <w:right w:val="nil"/>
            </w:tcBorders>
            <w:shd w:val="clear" w:color="auto" w:fill="auto"/>
            <w:vAlign w:val="bottom"/>
          </w:tcPr>
          <w:p w14:paraId="3C2413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7D6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C22358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F68823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0BD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7F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07F3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41B1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9761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861E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74C8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AB2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50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E469D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1969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DD90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13FA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B607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4F19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629A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8880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0728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692C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4372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2811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6B35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119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2C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4E8B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4432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7B88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1A4C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BE6A6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793FD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9A23B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C5132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B64B5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C6EE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50A11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B292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9504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41A7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A88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A9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09F2D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5A33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02D44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4C68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4769D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06019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4984D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A7F7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FC3D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1A3FD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11392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B7E0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3DBD1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F7BC5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82E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B798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B483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91BF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135B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276B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4FB1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E133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DD47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3500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E3E6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63D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43F8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738E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F78D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D086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07CA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68BE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55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3F0CA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90D8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6F177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F65D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3B92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6D0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32ED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510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125,708,373.71 </w:t>
            </w:r>
          </w:p>
        </w:tc>
        <w:tc>
          <w:tcPr>
            <w:tcW w:w="1666" w:type="dxa"/>
            <w:tcBorders>
              <w:top w:val="nil"/>
              <w:left w:val="nil"/>
              <w:bottom w:val="single" w:color="000000" w:sz="4" w:space="0"/>
              <w:right w:val="single" w:color="000000" w:sz="4" w:space="0"/>
            </w:tcBorders>
            <w:shd w:val="clear" w:color="auto" w:fill="auto"/>
            <w:vAlign w:val="center"/>
          </w:tcPr>
          <w:p w14:paraId="7DBF9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4,986,465.65 </w:t>
            </w:r>
          </w:p>
        </w:tc>
        <w:tc>
          <w:tcPr>
            <w:tcW w:w="1684" w:type="dxa"/>
            <w:tcBorders>
              <w:top w:val="nil"/>
              <w:left w:val="nil"/>
              <w:bottom w:val="single" w:color="000000" w:sz="4" w:space="0"/>
              <w:right w:val="single" w:color="000000" w:sz="4" w:space="0"/>
            </w:tcBorders>
            <w:shd w:val="clear" w:color="auto" w:fill="auto"/>
            <w:vAlign w:val="center"/>
          </w:tcPr>
          <w:p w14:paraId="2A7F6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120,721,908.06 </w:t>
            </w:r>
          </w:p>
        </w:tc>
        <w:tc>
          <w:tcPr>
            <w:tcW w:w="1750" w:type="dxa"/>
            <w:tcBorders>
              <w:top w:val="nil"/>
              <w:left w:val="nil"/>
              <w:bottom w:val="single" w:color="000000" w:sz="4" w:space="0"/>
              <w:right w:val="single" w:color="000000" w:sz="4" w:space="0"/>
            </w:tcBorders>
            <w:shd w:val="clear" w:color="auto" w:fill="auto"/>
            <w:vAlign w:val="center"/>
          </w:tcPr>
          <w:p w14:paraId="36CD3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125,708,373.71 </w:t>
            </w:r>
          </w:p>
        </w:tc>
        <w:tc>
          <w:tcPr>
            <w:tcW w:w="1700" w:type="dxa"/>
            <w:tcBorders>
              <w:top w:val="nil"/>
              <w:left w:val="nil"/>
              <w:bottom w:val="single" w:color="000000" w:sz="4" w:space="0"/>
              <w:right w:val="single" w:color="000000" w:sz="4" w:space="0"/>
            </w:tcBorders>
            <w:shd w:val="clear" w:color="auto" w:fill="auto"/>
            <w:vAlign w:val="center"/>
          </w:tcPr>
          <w:p w14:paraId="6984C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4,986,465.65 </w:t>
            </w:r>
          </w:p>
        </w:tc>
        <w:tc>
          <w:tcPr>
            <w:tcW w:w="1733" w:type="dxa"/>
            <w:tcBorders>
              <w:top w:val="nil"/>
              <w:left w:val="nil"/>
              <w:bottom w:val="single" w:color="000000" w:sz="4" w:space="0"/>
              <w:right w:val="single" w:color="000000" w:sz="4" w:space="0"/>
            </w:tcBorders>
            <w:shd w:val="clear" w:color="auto" w:fill="auto"/>
            <w:vAlign w:val="center"/>
          </w:tcPr>
          <w:p w14:paraId="34967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120,721,908.06 </w:t>
            </w:r>
          </w:p>
        </w:tc>
        <w:tc>
          <w:tcPr>
            <w:tcW w:w="1583" w:type="dxa"/>
            <w:tcBorders>
              <w:top w:val="nil"/>
              <w:left w:val="nil"/>
              <w:bottom w:val="single" w:color="000000" w:sz="4" w:space="0"/>
              <w:right w:val="single" w:color="000000" w:sz="4" w:space="0"/>
            </w:tcBorders>
            <w:shd w:val="clear" w:color="auto" w:fill="auto"/>
            <w:vAlign w:val="center"/>
          </w:tcPr>
          <w:p w14:paraId="46751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5B1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F31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692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CF7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BB6D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12FEE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EB86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4DC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F35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F28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666" w:type="dxa"/>
            <w:tcBorders>
              <w:top w:val="nil"/>
              <w:left w:val="nil"/>
              <w:bottom w:val="single" w:color="000000" w:sz="4" w:space="0"/>
              <w:right w:val="single" w:color="000000" w:sz="4" w:space="0"/>
            </w:tcBorders>
            <w:shd w:val="clear" w:color="auto" w:fill="auto"/>
            <w:vAlign w:val="center"/>
          </w:tcPr>
          <w:p w14:paraId="62362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0DA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50" w:type="dxa"/>
            <w:tcBorders>
              <w:top w:val="nil"/>
              <w:left w:val="nil"/>
              <w:bottom w:val="single" w:color="000000" w:sz="4" w:space="0"/>
              <w:right w:val="single" w:color="000000" w:sz="4" w:space="0"/>
            </w:tcBorders>
            <w:shd w:val="clear" w:color="auto" w:fill="auto"/>
            <w:vAlign w:val="center"/>
          </w:tcPr>
          <w:p w14:paraId="74818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00" w:type="dxa"/>
            <w:tcBorders>
              <w:top w:val="nil"/>
              <w:left w:val="nil"/>
              <w:bottom w:val="single" w:color="000000" w:sz="4" w:space="0"/>
              <w:right w:val="single" w:color="000000" w:sz="4" w:space="0"/>
            </w:tcBorders>
            <w:shd w:val="clear" w:color="auto" w:fill="auto"/>
            <w:vAlign w:val="center"/>
          </w:tcPr>
          <w:p w14:paraId="198CB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CAD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583" w:type="dxa"/>
            <w:tcBorders>
              <w:top w:val="nil"/>
              <w:left w:val="nil"/>
              <w:bottom w:val="single" w:color="000000" w:sz="4" w:space="0"/>
              <w:right w:val="single" w:color="000000" w:sz="4" w:space="0"/>
            </w:tcBorders>
            <w:shd w:val="clear" w:color="auto" w:fill="auto"/>
            <w:vAlign w:val="center"/>
          </w:tcPr>
          <w:p w14:paraId="3E995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81B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8FD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0D3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62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9349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F7D30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07494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8E7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937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E79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666" w:type="dxa"/>
            <w:tcBorders>
              <w:top w:val="nil"/>
              <w:left w:val="nil"/>
              <w:bottom w:val="single" w:color="000000" w:sz="4" w:space="0"/>
              <w:right w:val="single" w:color="000000" w:sz="4" w:space="0"/>
            </w:tcBorders>
            <w:shd w:val="clear" w:color="auto" w:fill="auto"/>
            <w:vAlign w:val="center"/>
          </w:tcPr>
          <w:p w14:paraId="209A1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978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50" w:type="dxa"/>
            <w:tcBorders>
              <w:top w:val="nil"/>
              <w:left w:val="nil"/>
              <w:bottom w:val="single" w:color="000000" w:sz="4" w:space="0"/>
              <w:right w:val="single" w:color="000000" w:sz="4" w:space="0"/>
            </w:tcBorders>
            <w:shd w:val="clear" w:color="auto" w:fill="auto"/>
            <w:vAlign w:val="center"/>
          </w:tcPr>
          <w:p w14:paraId="6807B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00" w:type="dxa"/>
            <w:tcBorders>
              <w:top w:val="nil"/>
              <w:left w:val="nil"/>
              <w:bottom w:val="single" w:color="000000" w:sz="4" w:space="0"/>
              <w:right w:val="single" w:color="000000" w:sz="4" w:space="0"/>
            </w:tcBorders>
            <w:shd w:val="clear" w:color="auto" w:fill="auto"/>
            <w:vAlign w:val="center"/>
          </w:tcPr>
          <w:p w14:paraId="6D4E7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4B2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583" w:type="dxa"/>
            <w:tcBorders>
              <w:top w:val="nil"/>
              <w:left w:val="nil"/>
              <w:bottom w:val="single" w:color="000000" w:sz="4" w:space="0"/>
              <w:right w:val="single" w:color="000000" w:sz="4" w:space="0"/>
            </w:tcBorders>
            <w:shd w:val="clear" w:color="auto" w:fill="auto"/>
            <w:vAlign w:val="center"/>
          </w:tcPr>
          <w:p w14:paraId="1AFB5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4F0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91D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5A4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2B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2975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04C2B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C69F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8CA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0F4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A03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666" w:type="dxa"/>
            <w:tcBorders>
              <w:top w:val="nil"/>
              <w:left w:val="nil"/>
              <w:bottom w:val="single" w:color="000000" w:sz="4" w:space="0"/>
              <w:right w:val="single" w:color="000000" w:sz="4" w:space="0"/>
            </w:tcBorders>
            <w:shd w:val="clear" w:color="auto" w:fill="auto"/>
            <w:vAlign w:val="center"/>
          </w:tcPr>
          <w:p w14:paraId="586EE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935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750" w:type="dxa"/>
            <w:tcBorders>
              <w:top w:val="nil"/>
              <w:left w:val="nil"/>
              <w:bottom w:val="single" w:color="000000" w:sz="4" w:space="0"/>
              <w:right w:val="single" w:color="000000" w:sz="4" w:space="0"/>
            </w:tcBorders>
            <w:shd w:val="clear" w:color="auto" w:fill="auto"/>
            <w:vAlign w:val="center"/>
          </w:tcPr>
          <w:p w14:paraId="20717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700" w:type="dxa"/>
            <w:tcBorders>
              <w:top w:val="nil"/>
              <w:left w:val="nil"/>
              <w:bottom w:val="single" w:color="000000" w:sz="4" w:space="0"/>
              <w:right w:val="single" w:color="000000" w:sz="4" w:space="0"/>
            </w:tcBorders>
            <w:shd w:val="clear" w:color="auto" w:fill="auto"/>
            <w:vAlign w:val="center"/>
          </w:tcPr>
          <w:p w14:paraId="766D4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CA8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583" w:type="dxa"/>
            <w:tcBorders>
              <w:top w:val="nil"/>
              <w:left w:val="nil"/>
              <w:bottom w:val="single" w:color="000000" w:sz="4" w:space="0"/>
              <w:right w:val="single" w:color="000000" w:sz="4" w:space="0"/>
            </w:tcBorders>
            <w:shd w:val="clear" w:color="auto" w:fill="auto"/>
            <w:vAlign w:val="center"/>
          </w:tcPr>
          <w:p w14:paraId="79B7C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05B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0C1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B15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C4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121C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EB268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8F41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998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D23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A5B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2,445,231.00 </w:t>
            </w:r>
          </w:p>
        </w:tc>
        <w:tc>
          <w:tcPr>
            <w:tcW w:w="1666" w:type="dxa"/>
            <w:tcBorders>
              <w:top w:val="nil"/>
              <w:left w:val="nil"/>
              <w:bottom w:val="single" w:color="000000" w:sz="4" w:space="0"/>
              <w:right w:val="single" w:color="000000" w:sz="4" w:space="0"/>
            </w:tcBorders>
            <w:shd w:val="clear" w:color="auto" w:fill="auto"/>
            <w:vAlign w:val="center"/>
          </w:tcPr>
          <w:p w14:paraId="78C7B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2,445,231.00 </w:t>
            </w:r>
          </w:p>
        </w:tc>
        <w:tc>
          <w:tcPr>
            <w:tcW w:w="1684" w:type="dxa"/>
            <w:tcBorders>
              <w:top w:val="nil"/>
              <w:left w:val="nil"/>
              <w:bottom w:val="single" w:color="000000" w:sz="4" w:space="0"/>
              <w:right w:val="single" w:color="000000" w:sz="4" w:space="0"/>
            </w:tcBorders>
            <w:shd w:val="clear" w:color="auto" w:fill="auto"/>
            <w:vAlign w:val="center"/>
          </w:tcPr>
          <w:p w14:paraId="35D27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1C8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2,445,231.00 </w:t>
            </w:r>
          </w:p>
        </w:tc>
        <w:tc>
          <w:tcPr>
            <w:tcW w:w="1700" w:type="dxa"/>
            <w:tcBorders>
              <w:top w:val="nil"/>
              <w:left w:val="nil"/>
              <w:bottom w:val="single" w:color="000000" w:sz="4" w:space="0"/>
              <w:right w:val="single" w:color="000000" w:sz="4" w:space="0"/>
            </w:tcBorders>
            <w:shd w:val="clear" w:color="auto" w:fill="auto"/>
            <w:vAlign w:val="center"/>
          </w:tcPr>
          <w:p w14:paraId="35804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2,445,231.00 </w:t>
            </w:r>
          </w:p>
        </w:tc>
        <w:tc>
          <w:tcPr>
            <w:tcW w:w="1733" w:type="dxa"/>
            <w:tcBorders>
              <w:top w:val="nil"/>
              <w:left w:val="nil"/>
              <w:bottom w:val="single" w:color="000000" w:sz="4" w:space="0"/>
              <w:right w:val="single" w:color="000000" w:sz="4" w:space="0"/>
            </w:tcBorders>
            <w:shd w:val="clear" w:color="auto" w:fill="auto"/>
            <w:vAlign w:val="center"/>
          </w:tcPr>
          <w:p w14:paraId="74E7C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55C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EE3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28D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3F9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A4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02B5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40311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F78F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141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F00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687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2,360,528.20 </w:t>
            </w:r>
          </w:p>
        </w:tc>
        <w:tc>
          <w:tcPr>
            <w:tcW w:w="1666" w:type="dxa"/>
            <w:tcBorders>
              <w:top w:val="nil"/>
              <w:left w:val="nil"/>
              <w:bottom w:val="single" w:color="000000" w:sz="4" w:space="0"/>
              <w:right w:val="single" w:color="000000" w:sz="4" w:space="0"/>
            </w:tcBorders>
            <w:shd w:val="clear" w:color="auto" w:fill="auto"/>
            <w:vAlign w:val="center"/>
          </w:tcPr>
          <w:p w14:paraId="0D7F4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2,360,528.20 </w:t>
            </w:r>
          </w:p>
        </w:tc>
        <w:tc>
          <w:tcPr>
            <w:tcW w:w="1684" w:type="dxa"/>
            <w:tcBorders>
              <w:top w:val="nil"/>
              <w:left w:val="nil"/>
              <w:bottom w:val="single" w:color="000000" w:sz="4" w:space="0"/>
              <w:right w:val="single" w:color="000000" w:sz="4" w:space="0"/>
            </w:tcBorders>
            <w:shd w:val="clear" w:color="auto" w:fill="auto"/>
            <w:vAlign w:val="center"/>
          </w:tcPr>
          <w:p w14:paraId="4154C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BE0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2,360,528.20 </w:t>
            </w:r>
          </w:p>
        </w:tc>
        <w:tc>
          <w:tcPr>
            <w:tcW w:w="1700" w:type="dxa"/>
            <w:tcBorders>
              <w:top w:val="nil"/>
              <w:left w:val="nil"/>
              <w:bottom w:val="single" w:color="000000" w:sz="4" w:space="0"/>
              <w:right w:val="single" w:color="000000" w:sz="4" w:space="0"/>
            </w:tcBorders>
            <w:shd w:val="clear" w:color="auto" w:fill="auto"/>
            <w:vAlign w:val="center"/>
          </w:tcPr>
          <w:p w14:paraId="0D88F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2,360,528.20 </w:t>
            </w:r>
          </w:p>
        </w:tc>
        <w:tc>
          <w:tcPr>
            <w:tcW w:w="1733" w:type="dxa"/>
            <w:tcBorders>
              <w:top w:val="nil"/>
              <w:left w:val="nil"/>
              <w:bottom w:val="single" w:color="000000" w:sz="4" w:space="0"/>
              <w:right w:val="single" w:color="000000" w:sz="4" w:space="0"/>
            </w:tcBorders>
            <w:shd w:val="clear" w:color="auto" w:fill="auto"/>
            <w:vAlign w:val="center"/>
          </w:tcPr>
          <w:p w14:paraId="38947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28A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A81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5CA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EA5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60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9181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8664A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2CFC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A14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16B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946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666" w:type="dxa"/>
            <w:tcBorders>
              <w:top w:val="nil"/>
              <w:left w:val="nil"/>
              <w:bottom w:val="single" w:color="000000" w:sz="4" w:space="0"/>
              <w:right w:val="single" w:color="000000" w:sz="4" w:space="0"/>
            </w:tcBorders>
            <w:shd w:val="clear" w:color="auto" w:fill="auto"/>
            <w:vAlign w:val="center"/>
          </w:tcPr>
          <w:p w14:paraId="62A94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684" w:type="dxa"/>
            <w:tcBorders>
              <w:top w:val="nil"/>
              <w:left w:val="nil"/>
              <w:bottom w:val="single" w:color="000000" w:sz="4" w:space="0"/>
              <w:right w:val="single" w:color="000000" w:sz="4" w:space="0"/>
            </w:tcBorders>
            <w:shd w:val="clear" w:color="auto" w:fill="auto"/>
            <w:vAlign w:val="center"/>
          </w:tcPr>
          <w:p w14:paraId="2BC69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842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700" w:type="dxa"/>
            <w:tcBorders>
              <w:top w:val="nil"/>
              <w:left w:val="nil"/>
              <w:bottom w:val="single" w:color="000000" w:sz="4" w:space="0"/>
              <w:right w:val="single" w:color="000000" w:sz="4" w:space="0"/>
            </w:tcBorders>
            <w:shd w:val="clear" w:color="auto" w:fill="auto"/>
            <w:vAlign w:val="center"/>
          </w:tcPr>
          <w:p w14:paraId="345C7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733" w:type="dxa"/>
            <w:tcBorders>
              <w:top w:val="nil"/>
              <w:left w:val="nil"/>
              <w:bottom w:val="single" w:color="000000" w:sz="4" w:space="0"/>
              <w:right w:val="single" w:color="000000" w:sz="4" w:space="0"/>
            </w:tcBorders>
            <w:shd w:val="clear" w:color="auto" w:fill="auto"/>
            <w:vAlign w:val="center"/>
          </w:tcPr>
          <w:p w14:paraId="4E436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6C9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5E8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0DC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48A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58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B400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91C62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D1B0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517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814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857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372,045.80 </w:t>
            </w:r>
          </w:p>
        </w:tc>
        <w:tc>
          <w:tcPr>
            <w:tcW w:w="1666" w:type="dxa"/>
            <w:tcBorders>
              <w:top w:val="nil"/>
              <w:left w:val="nil"/>
              <w:bottom w:val="single" w:color="000000" w:sz="4" w:space="0"/>
              <w:right w:val="single" w:color="000000" w:sz="4" w:space="0"/>
            </w:tcBorders>
            <w:shd w:val="clear" w:color="auto" w:fill="auto"/>
            <w:vAlign w:val="center"/>
          </w:tcPr>
          <w:p w14:paraId="3B044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372,045.80 </w:t>
            </w:r>
          </w:p>
        </w:tc>
        <w:tc>
          <w:tcPr>
            <w:tcW w:w="1684" w:type="dxa"/>
            <w:tcBorders>
              <w:top w:val="nil"/>
              <w:left w:val="nil"/>
              <w:bottom w:val="single" w:color="000000" w:sz="4" w:space="0"/>
              <w:right w:val="single" w:color="000000" w:sz="4" w:space="0"/>
            </w:tcBorders>
            <w:shd w:val="clear" w:color="auto" w:fill="auto"/>
            <w:vAlign w:val="center"/>
          </w:tcPr>
          <w:p w14:paraId="43A1F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DD6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372,045.80 </w:t>
            </w:r>
          </w:p>
        </w:tc>
        <w:tc>
          <w:tcPr>
            <w:tcW w:w="1700" w:type="dxa"/>
            <w:tcBorders>
              <w:top w:val="nil"/>
              <w:left w:val="nil"/>
              <w:bottom w:val="single" w:color="000000" w:sz="4" w:space="0"/>
              <w:right w:val="single" w:color="000000" w:sz="4" w:space="0"/>
            </w:tcBorders>
            <w:shd w:val="clear" w:color="auto" w:fill="auto"/>
            <w:vAlign w:val="center"/>
          </w:tcPr>
          <w:p w14:paraId="0CF31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372,045.80 </w:t>
            </w:r>
          </w:p>
        </w:tc>
        <w:tc>
          <w:tcPr>
            <w:tcW w:w="1733" w:type="dxa"/>
            <w:tcBorders>
              <w:top w:val="nil"/>
              <w:left w:val="nil"/>
              <w:bottom w:val="single" w:color="000000" w:sz="4" w:space="0"/>
              <w:right w:val="single" w:color="000000" w:sz="4" w:space="0"/>
            </w:tcBorders>
            <w:shd w:val="clear" w:color="auto" w:fill="auto"/>
            <w:vAlign w:val="center"/>
          </w:tcPr>
          <w:p w14:paraId="65602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1C1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405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8AC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7AD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49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C5FE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0DC65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6D5C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6E4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68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6F8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83,944.40 </w:t>
            </w:r>
          </w:p>
        </w:tc>
        <w:tc>
          <w:tcPr>
            <w:tcW w:w="1666" w:type="dxa"/>
            <w:tcBorders>
              <w:top w:val="nil"/>
              <w:left w:val="nil"/>
              <w:bottom w:val="single" w:color="000000" w:sz="4" w:space="0"/>
              <w:right w:val="single" w:color="000000" w:sz="4" w:space="0"/>
            </w:tcBorders>
            <w:shd w:val="clear" w:color="auto" w:fill="auto"/>
            <w:vAlign w:val="center"/>
          </w:tcPr>
          <w:p w14:paraId="3F0A6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83,944.40 </w:t>
            </w:r>
          </w:p>
        </w:tc>
        <w:tc>
          <w:tcPr>
            <w:tcW w:w="1684" w:type="dxa"/>
            <w:tcBorders>
              <w:top w:val="nil"/>
              <w:left w:val="nil"/>
              <w:bottom w:val="single" w:color="000000" w:sz="4" w:space="0"/>
              <w:right w:val="single" w:color="000000" w:sz="4" w:space="0"/>
            </w:tcBorders>
            <w:shd w:val="clear" w:color="auto" w:fill="auto"/>
            <w:vAlign w:val="center"/>
          </w:tcPr>
          <w:p w14:paraId="4042B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F1D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83,944.40 </w:t>
            </w:r>
          </w:p>
        </w:tc>
        <w:tc>
          <w:tcPr>
            <w:tcW w:w="1700" w:type="dxa"/>
            <w:tcBorders>
              <w:top w:val="nil"/>
              <w:left w:val="nil"/>
              <w:bottom w:val="single" w:color="000000" w:sz="4" w:space="0"/>
              <w:right w:val="single" w:color="000000" w:sz="4" w:space="0"/>
            </w:tcBorders>
            <w:shd w:val="clear" w:color="auto" w:fill="auto"/>
            <w:vAlign w:val="center"/>
          </w:tcPr>
          <w:p w14:paraId="5F9C7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83,944.40 </w:t>
            </w:r>
          </w:p>
        </w:tc>
        <w:tc>
          <w:tcPr>
            <w:tcW w:w="1733" w:type="dxa"/>
            <w:tcBorders>
              <w:top w:val="nil"/>
              <w:left w:val="nil"/>
              <w:bottom w:val="single" w:color="000000" w:sz="4" w:space="0"/>
              <w:right w:val="single" w:color="000000" w:sz="4" w:space="0"/>
            </w:tcBorders>
            <w:shd w:val="clear" w:color="auto" w:fill="auto"/>
            <w:vAlign w:val="center"/>
          </w:tcPr>
          <w:p w14:paraId="35501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E4B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337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C3A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82F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AD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3449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22905A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DD87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6C2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70E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135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666" w:type="dxa"/>
            <w:tcBorders>
              <w:top w:val="nil"/>
              <w:left w:val="nil"/>
              <w:bottom w:val="single" w:color="000000" w:sz="4" w:space="0"/>
              <w:right w:val="single" w:color="000000" w:sz="4" w:space="0"/>
            </w:tcBorders>
            <w:shd w:val="clear" w:color="auto" w:fill="auto"/>
            <w:vAlign w:val="center"/>
          </w:tcPr>
          <w:p w14:paraId="63F7C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684" w:type="dxa"/>
            <w:tcBorders>
              <w:top w:val="nil"/>
              <w:left w:val="nil"/>
              <w:bottom w:val="single" w:color="000000" w:sz="4" w:space="0"/>
              <w:right w:val="single" w:color="000000" w:sz="4" w:space="0"/>
            </w:tcBorders>
            <w:shd w:val="clear" w:color="auto" w:fill="auto"/>
            <w:vAlign w:val="center"/>
          </w:tcPr>
          <w:p w14:paraId="4BE4F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F5E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700" w:type="dxa"/>
            <w:tcBorders>
              <w:top w:val="nil"/>
              <w:left w:val="nil"/>
              <w:bottom w:val="single" w:color="000000" w:sz="4" w:space="0"/>
              <w:right w:val="single" w:color="000000" w:sz="4" w:space="0"/>
            </w:tcBorders>
            <w:shd w:val="clear" w:color="auto" w:fill="auto"/>
            <w:vAlign w:val="center"/>
          </w:tcPr>
          <w:p w14:paraId="05B72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733" w:type="dxa"/>
            <w:tcBorders>
              <w:top w:val="nil"/>
              <w:left w:val="nil"/>
              <w:bottom w:val="single" w:color="000000" w:sz="4" w:space="0"/>
              <w:right w:val="single" w:color="000000" w:sz="4" w:space="0"/>
            </w:tcBorders>
            <w:shd w:val="clear" w:color="auto" w:fill="auto"/>
            <w:vAlign w:val="center"/>
          </w:tcPr>
          <w:p w14:paraId="5F06D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819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B08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F7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619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C2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8721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46427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4F0D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61D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CE3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1D2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666" w:type="dxa"/>
            <w:tcBorders>
              <w:top w:val="nil"/>
              <w:left w:val="nil"/>
              <w:bottom w:val="single" w:color="000000" w:sz="4" w:space="0"/>
              <w:right w:val="single" w:color="000000" w:sz="4" w:space="0"/>
            </w:tcBorders>
            <w:shd w:val="clear" w:color="auto" w:fill="auto"/>
            <w:vAlign w:val="center"/>
          </w:tcPr>
          <w:p w14:paraId="5B9FD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684" w:type="dxa"/>
            <w:tcBorders>
              <w:top w:val="nil"/>
              <w:left w:val="nil"/>
              <w:bottom w:val="single" w:color="000000" w:sz="4" w:space="0"/>
              <w:right w:val="single" w:color="000000" w:sz="4" w:space="0"/>
            </w:tcBorders>
            <w:shd w:val="clear" w:color="auto" w:fill="auto"/>
            <w:vAlign w:val="center"/>
          </w:tcPr>
          <w:p w14:paraId="1ACB2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E83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700" w:type="dxa"/>
            <w:tcBorders>
              <w:top w:val="nil"/>
              <w:left w:val="nil"/>
              <w:bottom w:val="single" w:color="000000" w:sz="4" w:space="0"/>
              <w:right w:val="single" w:color="000000" w:sz="4" w:space="0"/>
            </w:tcBorders>
            <w:shd w:val="clear" w:color="auto" w:fill="auto"/>
            <w:vAlign w:val="center"/>
          </w:tcPr>
          <w:p w14:paraId="66F7E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733" w:type="dxa"/>
            <w:tcBorders>
              <w:top w:val="nil"/>
              <w:left w:val="nil"/>
              <w:bottom w:val="single" w:color="000000" w:sz="4" w:space="0"/>
              <w:right w:val="single" w:color="000000" w:sz="4" w:space="0"/>
            </w:tcBorders>
            <w:shd w:val="clear" w:color="auto" w:fill="auto"/>
            <w:vAlign w:val="center"/>
          </w:tcPr>
          <w:p w14:paraId="724F3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964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435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D67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EB6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3D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5448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3699A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1B3BC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BB1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915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32C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666" w:type="dxa"/>
            <w:tcBorders>
              <w:top w:val="nil"/>
              <w:left w:val="nil"/>
              <w:bottom w:val="single" w:color="000000" w:sz="4" w:space="0"/>
              <w:right w:val="single" w:color="000000" w:sz="4" w:space="0"/>
            </w:tcBorders>
            <w:shd w:val="clear" w:color="auto" w:fill="auto"/>
            <w:vAlign w:val="center"/>
          </w:tcPr>
          <w:p w14:paraId="64899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684" w:type="dxa"/>
            <w:tcBorders>
              <w:top w:val="nil"/>
              <w:left w:val="nil"/>
              <w:bottom w:val="single" w:color="000000" w:sz="4" w:space="0"/>
              <w:right w:val="single" w:color="000000" w:sz="4" w:space="0"/>
            </w:tcBorders>
            <w:shd w:val="clear" w:color="auto" w:fill="auto"/>
            <w:vAlign w:val="center"/>
          </w:tcPr>
          <w:p w14:paraId="497FD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BB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700" w:type="dxa"/>
            <w:tcBorders>
              <w:top w:val="nil"/>
              <w:left w:val="nil"/>
              <w:bottom w:val="single" w:color="000000" w:sz="4" w:space="0"/>
              <w:right w:val="single" w:color="000000" w:sz="4" w:space="0"/>
            </w:tcBorders>
            <w:shd w:val="clear" w:color="auto" w:fill="auto"/>
            <w:vAlign w:val="center"/>
          </w:tcPr>
          <w:p w14:paraId="7A350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733" w:type="dxa"/>
            <w:tcBorders>
              <w:top w:val="nil"/>
              <w:left w:val="nil"/>
              <w:bottom w:val="single" w:color="000000" w:sz="4" w:space="0"/>
              <w:right w:val="single" w:color="000000" w:sz="4" w:space="0"/>
            </w:tcBorders>
            <w:shd w:val="clear" w:color="auto" w:fill="auto"/>
            <w:vAlign w:val="center"/>
          </w:tcPr>
          <w:p w14:paraId="5E0D7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C01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C2E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19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94A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1E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3B5E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F6DDF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B8BF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B11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E4A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8F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666" w:type="dxa"/>
            <w:tcBorders>
              <w:top w:val="nil"/>
              <w:left w:val="nil"/>
              <w:bottom w:val="single" w:color="000000" w:sz="4" w:space="0"/>
              <w:right w:val="single" w:color="000000" w:sz="4" w:space="0"/>
            </w:tcBorders>
            <w:shd w:val="clear" w:color="auto" w:fill="auto"/>
            <w:vAlign w:val="center"/>
          </w:tcPr>
          <w:p w14:paraId="2DD60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684" w:type="dxa"/>
            <w:tcBorders>
              <w:top w:val="nil"/>
              <w:left w:val="nil"/>
              <w:bottom w:val="single" w:color="000000" w:sz="4" w:space="0"/>
              <w:right w:val="single" w:color="000000" w:sz="4" w:space="0"/>
            </w:tcBorders>
            <w:shd w:val="clear" w:color="auto" w:fill="auto"/>
            <w:vAlign w:val="center"/>
          </w:tcPr>
          <w:p w14:paraId="0B8B3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CAC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700" w:type="dxa"/>
            <w:tcBorders>
              <w:top w:val="nil"/>
              <w:left w:val="nil"/>
              <w:bottom w:val="single" w:color="000000" w:sz="4" w:space="0"/>
              <w:right w:val="single" w:color="000000" w:sz="4" w:space="0"/>
            </w:tcBorders>
            <w:shd w:val="clear" w:color="auto" w:fill="auto"/>
            <w:vAlign w:val="center"/>
          </w:tcPr>
          <w:p w14:paraId="7C0A5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733" w:type="dxa"/>
            <w:tcBorders>
              <w:top w:val="nil"/>
              <w:left w:val="nil"/>
              <w:bottom w:val="single" w:color="000000" w:sz="4" w:space="0"/>
              <w:right w:val="single" w:color="000000" w:sz="4" w:space="0"/>
            </w:tcBorders>
            <w:shd w:val="clear" w:color="auto" w:fill="auto"/>
            <w:vAlign w:val="center"/>
          </w:tcPr>
          <w:p w14:paraId="69820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BF4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18F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3FF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DB8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07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7711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E4FE8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206D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7B2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0A1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44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666" w:type="dxa"/>
            <w:tcBorders>
              <w:top w:val="nil"/>
              <w:left w:val="nil"/>
              <w:bottom w:val="single" w:color="000000" w:sz="4" w:space="0"/>
              <w:right w:val="single" w:color="000000" w:sz="4" w:space="0"/>
            </w:tcBorders>
            <w:shd w:val="clear" w:color="auto" w:fill="auto"/>
            <w:vAlign w:val="center"/>
          </w:tcPr>
          <w:p w14:paraId="5715A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684" w:type="dxa"/>
            <w:tcBorders>
              <w:top w:val="nil"/>
              <w:left w:val="nil"/>
              <w:bottom w:val="single" w:color="000000" w:sz="4" w:space="0"/>
              <w:right w:val="single" w:color="000000" w:sz="4" w:space="0"/>
            </w:tcBorders>
            <w:shd w:val="clear" w:color="auto" w:fill="auto"/>
            <w:vAlign w:val="center"/>
          </w:tcPr>
          <w:p w14:paraId="1B4E9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092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700" w:type="dxa"/>
            <w:tcBorders>
              <w:top w:val="nil"/>
              <w:left w:val="nil"/>
              <w:bottom w:val="single" w:color="000000" w:sz="4" w:space="0"/>
              <w:right w:val="single" w:color="000000" w:sz="4" w:space="0"/>
            </w:tcBorders>
            <w:shd w:val="clear" w:color="auto" w:fill="auto"/>
            <w:vAlign w:val="center"/>
          </w:tcPr>
          <w:p w14:paraId="39E04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369,383.98 </w:t>
            </w:r>
          </w:p>
        </w:tc>
        <w:tc>
          <w:tcPr>
            <w:tcW w:w="1733" w:type="dxa"/>
            <w:tcBorders>
              <w:top w:val="nil"/>
              <w:left w:val="nil"/>
              <w:bottom w:val="single" w:color="000000" w:sz="4" w:space="0"/>
              <w:right w:val="single" w:color="000000" w:sz="4" w:space="0"/>
            </w:tcBorders>
            <w:shd w:val="clear" w:color="auto" w:fill="auto"/>
            <w:vAlign w:val="center"/>
          </w:tcPr>
          <w:p w14:paraId="4467C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615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318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DF9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9A7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33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D8BC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12F8A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0C5C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DE7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03B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02D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99,683.98 </w:t>
            </w:r>
          </w:p>
        </w:tc>
        <w:tc>
          <w:tcPr>
            <w:tcW w:w="1666" w:type="dxa"/>
            <w:tcBorders>
              <w:top w:val="nil"/>
              <w:left w:val="nil"/>
              <w:bottom w:val="single" w:color="000000" w:sz="4" w:space="0"/>
              <w:right w:val="single" w:color="000000" w:sz="4" w:space="0"/>
            </w:tcBorders>
            <w:shd w:val="clear" w:color="auto" w:fill="auto"/>
            <w:vAlign w:val="center"/>
          </w:tcPr>
          <w:p w14:paraId="6A99D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99,683.98 </w:t>
            </w:r>
          </w:p>
        </w:tc>
        <w:tc>
          <w:tcPr>
            <w:tcW w:w="1684" w:type="dxa"/>
            <w:tcBorders>
              <w:top w:val="nil"/>
              <w:left w:val="nil"/>
              <w:bottom w:val="single" w:color="000000" w:sz="4" w:space="0"/>
              <w:right w:val="single" w:color="000000" w:sz="4" w:space="0"/>
            </w:tcBorders>
            <w:shd w:val="clear" w:color="auto" w:fill="auto"/>
            <w:vAlign w:val="center"/>
          </w:tcPr>
          <w:p w14:paraId="31764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829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99,683.98 </w:t>
            </w:r>
          </w:p>
        </w:tc>
        <w:tc>
          <w:tcPr>
            <w:tcW w:w="1700" w:type="dxa"/>
            <w:tcBorders>
              <w:top w:val="nil"/>
              <w:left w:val="nil"/>
              <w:bottom w:val="single" w:color="000000" w:sz="4" w:space="0"/>
              <w:right w:val="single" w:color="000000" w:sz="4" w:space="0"/>
            </w:tcBorders>
            <w:shd w:val="clear" w:color="auto" w:fill="auto"/>
            <w:vAlign w:val="center"/>
          </w:tcPr>
          <w:p w14:paraId="4053A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99,683.98 </w:t>
            </w:r>
          </w:p>
        </w:tc>
        <w:tc>
          <w:tcPr>
            <w:tcW w:w="1733" w:type="dxa"/>
            <w:tcBorders>
              <w:top w:val="nil"/>
              <w:left w:val="nil"/>
              <w:bottom w:val="single" w:color="000000" w:sz="4" w:space="0"/>
              <w:right w:val="single" w:color="000000" w:sz="4" w:space="0"/>
            </w:tcBorders>
            <w:shd w:val="clear" w:color="auto" w:fill="auto"/>
            <w:vAlign w:val="center"/>
          </w:tcPr>
          <w:p w14:paraId="69FF9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775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917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2B7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403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8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4EC7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9E4E7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2A02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C9B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9F2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6FB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269,700.00 </w:t>
            </w:r>
          </w:p>
        </w:tc>
        <w:tc>
          <w:tcPr>
            <w:tcW w:w="1666" w:type="dxa"/>
            <w:tcBorders>
              <w:top w:val="nil"/>
              <w:left w:val="nil"/>
              <w:bottom w:val="single" w:color="000000" w:sz="4" w:space="0"/>
              <w:right w:val="single" w:color="000000" w:sz="4" w:space="0"/>
            </w:tcBorders>
            <w:shd w:val="clear" w:color="auto" w:fill="auto"/>
            <w:vAlign w:val="center"/>
          </w:tcPr>
          <w:p w14:paraId="0EC30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269,700.00 </w:t>
            </w:r>
          </w:p>
        </w:tc>
        <w:tc>
          <w:tcPr>
            <w:tcW w:w="1684" w:type="dxa"/>
            <w:tcBorders>
              <w:top w:val="nil"/>
              <w:left w:val="nil"/>
              <w:bottom w:val="single" w:color="000000" w:sz="4" w:space="0"/>
              <w:right w:val="single" w:color="000000" w:sz="4" w:space="0"/>
            </w:tcBorders>
            <w:shd w:val="clear" w:color="auto" w:fill="auto"/>
            <w:vAlign w:val="center"/>
          </w:tcPr>
          <w:p w14:paraId="0D6E8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BE5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269,700.00 </w:t>
            </w:r>
          </w:p>
        </w:tc>
        <w:tc>
          <w:tcPr>
            <w:tcW w:w="1700" w:type="dxa"/>
            <w:tcBorders>
              <w:top w:val="nil"/>
              <w:left w:val="nil"/>
              <w:bottom w:val="single" w:color="000000" w:sz="4" w:space="0"/>
              <w:right w:val="single" w:color="000000" w:sz="4" w:space="0"/>
            </w:tcBorders>
            <w:shd w:val="clear" w:color="auto" w:fill="auto"/>
            <w:vAlign w:val="center"/>
          </w:tcPr>
          <w:p w14:paraId="1A248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269,700.00 </w:t>
            </w:r>
          </w:p>
        </w:tc>
        <w:tc>
          <w:tcPr>
            <w:tcW w:w="1733" w:type="dxa"/>
            <w:tcBorders>
              <w:top w:val="nil"/>
              <w:left w:val="nil"/>
              <w:bottom w:val="single" w:color="000000" w:sz="4" w:space="0"/>
              <w:right w:val="single" w:color="000000" w:sz="4" w:space="0"/>
            </w:tcBorders>
            <w:shd w:val="clear" w:color="auto" w:fill="auto"/>
            <w:vAlign w:val="center"/>
          </w:tcPr>
          <w:p w14:paraId="503FE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F78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D38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52B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067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89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DDBB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154185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F5DD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3BC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11D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79F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115,944,042.13 </w:t>
            </w:r>
          </w:p>
        </w:tc>
        <w:tc>
          <w:tcPr>
            <w:tcW w:w="1666" w:type="dxa"/>
            <w:tcBorders>
              <w:top w:val="nil"/>
              <w:left w:val="nil"/>
              <w:bottom w:val="single" w:color="000000" w:sz="4" w:space="0"/>
              <w:right w:val="single" w:color="000000" w:sz="4" w:space="0"/>
            </w:tcBorders>
            <w:shd w:val="clear" w:color="auto" w:fill="auto"/>
            <w:vAlign w:val="center"/>
          </w:tcPr>
          <w:p w14:paraId="35C40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2,035,014.07 </w:t>
            </w:r>
          </w:p>
        </w:tc>
        <w:tc>
          <w:tcPr>
            <w:tcW w:w="1684" w:type="dxa"/>
            <w:tcBorders>
              <w:top w:val="nil"/>
              <w:left w:val="nil"/>
              <w:bottom w:val="single" w:color="000000" w:sz="4" w:space="0"/>
              <w:right w:val="single" w:color="000000" w:sz="4" w:space="0"/>
            </w:tcBorders>
            <w:shd w:val="clear" w:color="auto" w:fill="auto"/>
            <w:vAlign w:val="center"/>
          </w:tcPr>
          <w:p w14:paraId="13B35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113,909,028.06 </w:t>
            </w:r>
          </w:p>
        </w:tc>
        <w:tc>
          <w:tcPr>
            <w:tcW w:w="1750" w:type="dxa"/>
            <w:tcBorders>
              <w:top w:val="nil"/>
              <w:left w:val="nil"/>
              <w:bottom w:val="single" w:color="000000" w:sz="4" w:space="0"/>
              <w:right w:val="single" w:color="000000" w:sz="4" w:space="0"/>
            </w:tcBorders>
            <w:shd w:val="clear" w:color="auto" w:fill="auto"/>
            <w:vAlign w:val="center"/>
          </w:tcPr>
          <w:p w14:paraId="6AA32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115,944,042.13 </w:t>
            </w:r>
          </w:p>
        </w:tc>
        <w:tc>
          <w:tcPr>
            <w:tcW w:w="1700" w:type="dxa"/>
            <w:tcBorders>
              <w:top w:val="nil"/>
              <w:left w:val="nil"/>
              <w:bottom w:val="single" w:color="000000" w:sz="4" w:space="0"/>
              <w:right w:val="single" w:color="000000" w:sz="4" w:space="0"/>
            </w:tcBorders>
            <w:shd w:val="clear" w:color="auto" w:fill="auto"/>
            <w:vAlign w:val="center"/>
          </w:tcPr>
          <w:p w14:paraId="1332F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2,035,014.07 </w:t>
            </w:r>
          </w:p>
        </w:tc>
        <w:tc>
          <w:tcPr>
            <w:tcW w:w="1733" w:type="dxa"/>
            <w:tcBorders>
              <w:top w:val="nil"/>
              <w:left w:val="nil"/>
              <w:bottom w:val="single" w:color="000000" w:sz="4" w:space="0"/>
              <w:right w:val="single" w:color="000000" w:sz="4" w:space="0"/>
            </w:tcBorders>
            <w:shd w:val="clear" w:color="auto" w:fill="auto"/>
            <w:vAlign w:val="center"/>
          </w:tcPr>
          <w:p w14:paraId="3765B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113,909,028.06 </w:t>
            </w:r>
          </w:p>
        </w:tc>
        <w:tc>
          <w:tcPr>
            <w:tcW w:w="1583" w:type="dxa"/>
            <w:tcBorders>
              <w:top w:val="nil"/>
              <w:left w:val="nil"/>
              <w:bottom w:val="single" w:color="000000" w:sz="4" w:space="0"/>
              <w:right w:val="single" w:color="000000" w:sz="4" w:space="0"/>
            </w:tcBorders>
            <w:shd w:val="clear" w:color="auto" w:fill="auto"/>
            <w:vAlign w:val="center"/>
          </w:tcPr>
          <w:p w14:paraId="232D9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18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F5B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F52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36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1623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2FB8B4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AFF8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05E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8AA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547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666" w:type="dxa"/>
            <w:tcBorders>
              <w:top w:val="nil"/>
              <w:left w:val="nil"/>
              <w:bottom w:val="single" w:color="000000" w:sz="4" w:space="0"/>
              <w:right w:val="single" w:color="000000" w:sz="4" w:space="0"/>
            </w:tcBorders>
            <w:shd w:val="clear" w:color="auto" w:fill="auto"/>
            <w:vAlign w:val="center"/>
          </w:tcPr>
          <w:p w14:paraId="7FF2D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CD6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750" w:type="dxa"/>
            <w:tcBorders>
              <w:top w:val="nil"/>
              <w:left w:val="nil"/>
              <w:bottom w:val="single" w:color="000000" w:sz="4" w:space="0"/>
              <w:right w:val="single" w:color="000000" w:sz="4" w:space="0"/>
            </w:tcBorders>
            <w:shd w:val="clear" w:color="auto" w:fill="auto"/>
            <w:vAlign w:val="center"/>
          </w:tcPr>
          <w:p w14:paraId="3F61E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700" w:type="dxa"/>
            <w:tcBorders>
              <w:top w:val="nil"/>
              <w:left w:val="nil"/>
              <w:bottom w:val="single" w:color="000000" w:sz="4" w:space="0"/>
              <w:right w:val="single" w:color="000000" w:sz="4" w:space="0"/>
            </w:tcBorders>
            <w:shd w:val="clear" w:color="auto" w:fill="auto"/>
            <w:vAlign w:val="center"/>
          </w:tcPr>
          <w:p w14:paraId="10CA9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118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583" w:type="dxa"/>
            <w:tcBorders>
              <w:top w:val="nil"/>
              <w:left w:val="nil"/>
              <w:bottom w:val="single" w:color="000000" w:sz="4" w:space="0"/>
              <w:right w:val="single" w:color="000000" w:sz="4" w:space="0"/>
            </w:tcBorders>
            <w:shd w:val="clear" w:color="auto" w:fill="auto"/>
            <w:vAlign w:val="center"/>
          </w:tcPr>
          <w:p w14:paraId="7D82B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654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B66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FDC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7B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726D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2130102</w:t>
            </w:r>
          </w:p>
        </w:tc>
        <w:tc>
          <w:tcPr>
            <w:tcW w:w="1816" w:type="dxa"/>
            <w:tcBorders>
              <w:top w:val="nil"/>
              <w:left w:val="nil"/>
              <w:bottom w:val="single" w:color="000000" w:sz="4" w:space="0"/>
              <w:right w:val="single" w:color="000000" w:sz="4" w:space="0"/>
            </w:tcBorders>
            <w:shd w:val="clear" w:color="auto" w:fill="auto"/>
            <w:vAlign w:val="center"/>
          </w:tcPr>
          <w:p w14:paraId="2D2A56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864D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16A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CC2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B8E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666" w:type="dxa"/>
            <w:tcBorders>
              <w:top w:val="nil"/>
              <w:left w:val="nil"/>
              <w:bottom w:val="single" w:color="000000" w:sz="4" w:space="0"/>
              <w:right w:val="single" w:color="000000" w:sz="4" w:space="0"/>
            </w:tcBorders>
            <w:shd w:val="clear" w:color="auto" w:fill="auto"/>
            <w:vAlign w:val="center"/>
          </w:tcPr>
          <w:p w14:paraId="2E12D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367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750" w:type="dxa"/>
            <w:tcBorders>
              <w:top w:val="nil"/>
              <w:left w:val="nil"/>
              <w:bottom w:val="single" w:color="000000" w:sz="4" w:space="0"/>
              <w:right w:val="single" w:color="000000" w:sz="4" w:space="0"/>
            </w:tcBorders>
            <w:shd w:val="clear" w:color="auto" w:fill="auto"/>
            <w:vAlign w:val="center"/>
          </w:tcPr>
          <w:p w14:paraId="24872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700" w:type="dxa"/>
            <w:tcBorders>
              <w:top w:val="nil"/>
              <w:left w:val="nil"/>
              <w:bottom w:val="single" w:color="000000" w:sz="4" w:space="0"/>
              <w:right w:val="single" w:color="000000" w:sz="4" w:space="0"/>
            </w:tcBorders>
            <w:shd w:val="clear" w:color="auto" w:fill="auto"/>
            <w:vAlign w:val="center"/>
          </w:tcPr>
          <w:p w14:paraId="2D9FE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162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583" w:type="dxa"/>
            <w:tcBorders>
              <w:top w:val="nil"/>
              <w:left w:val="nil"/>
              <w:bottom w:val="single" w:color="000000" w:sz="4" w:space="0"/>
              <w:right w:val="single" w:color="000000" w:sz="4" w:space="0"/>
            </w:tcBorders>
            <w:shd w:val="clear" w:color="auto" w:fill="auto"/>
            <w:vAlign w:val="center"/>
          </w:tcPr>
          <w:p w14:paraId="49C68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2B1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A92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ACD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E3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651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40720E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3C8A7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83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DA4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1AC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104,123,166.63 </w:t>
            </w:r>
          </w:p>
        </w:tc>
        <w:tc>
          <w:tcPr>
            <w:tcW w:w="1666" w:type="dxa"/>
            <w:tcBorders>
              <w:top w:val="nil"/>
              <w:left w:val="nil"/>
              <w:bottom w:val="single" w:color="000000" w:sz="4" w:space="0"/>
              <w:right w:val="single" w:color="000000" w:sz="4" w:space="0"/>
            </w:tcBorders>
            <w:shd w:val="clear" w:color="auto" w:fill="auto"/>
            <w:vAlign w:val="center"/>
          </w:tcPr>
          <w:p w14:paraId="57CF8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2,035,014.07 </w:t>
            </w:r>
          </w:p>
        </w:tc>
        <w:tc>
          <w:tcPr>
            <w:tcW w:w="1684" w:type="dxa"/>
            <w:tcBorders>
              <w:top w:val="nil"/>
              <w:left w:val="nil"/>
              <w:bottom w:val="single" w:color="000000" w:sz="4" w:space="0"/>
              <w:right w:val="single" w:color="000000" w:sz="4" w:space="0"/>
            </w:tcBorders>
            <w:shd w:val="clear" w:color="auto" w:fill="auto"/>
            <w:vAlign w:val="center"/>
          </w:tcPr>
          <w:p w14:paraId="52878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102,088,152.56 </w:t>
            </w:r>
          </w:p>
        </w:tc>
        <w:tc>
          <w:tcPr>
            <w:tcW w:w="1750" w:type="dxa"/>
            <w:tcBorders>
              <w:top w:val="nil"/>
              <w:left w:val="nil"/>
              <w:bottom w:val="single" w:color="000000" w:sz="4" w:space="0"/>
              <w:right w:val="single" w:color="000000" w:sz="4" w:space="0"/>
            </w:tcBorders>
            <w:shd w:val="clear" w:color="auto" w:fill="auto"/>
            <w:vAlign w:val="center"/>
          </w:tcPr>
          <w:p w14:paraId="77942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104,123,166.63 </w:t>
            </w:r>
          </w:p>
        </w:tc>
        <w:tc>
          <w:tcPr>
            <w:tcW w:w="1700" w:type="dxa"/>
            <w:tcBorders>
              <w:top w:val="nil"/>
              <w:left w:val="nil"/>
              <w:bottom w:val="single" w:color="000000" w:sz="4" w:space="0"/>
              <w:right w:val="single" w:color="000000" w:sz="4" w:space="0"/>
            </w:tcBorders>
            <w:shd w:val="clear" w:color="auto" w:fill="auto"/>
            <w:vAlign w:val="center"/>
          </w:tcPr>
          <w:p w14:paraId="00C27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2,035,014.07 </w:t>
            </w:r>
          </w:p>
        </w:tc>
        <w:tc>
          <w:tcPr>
            <w:tcW w:w="1733" w:type="dxa"/>
            <w:tcBorders>
              <w:top w:val="nil"/>
              <w:left w:val="nil"/>
              <w:bottom w:val="single" w:color="000000" w:sz="4" w:space="0"/>
              <w:right w:val="single" w:color="000000" w:sz="4" w:space="0"/>
            </w:tcBorders>
            <w:shd w:val="clear" w:color="auto" w:fill="auto"/>
            <w:vAlign w:val="center"/>
          </w:tcPr>
          <w:p w14:paraId="76AF2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102,088,152.56 </w:t>
            </w:r>
          </w:p>
        </w:tc>
        <w:tc>
          <w:tcPr>
            <w:tcW w:w="1583" w:type="dxa"/>
            <w:tcBorders>
              <w:top w:val="nil"/>
              <w:left w:val="nil"/>
              <w:bottom w:val="single" w:color="000000" w:sz="4" w:space="0"/>
              <w:right w:val="single" w:color="000000" w:sz="4" w:space="0"/>
            </w:tcBorders>
            <w:shd w:val="clear" w:color="auto" w:fill="auto"/>
            <w:vAlign w:val="center"/>
          </w:tcPr>
          <w:p w14:paraId="1CC27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422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D83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CB0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B1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ABEB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2130301</w:t>
            </w:r>
          </w:p>
        </w:tc>
        <w:tc>
          <w:tcPr>
            <w:tcW w:w="1816" w:type="dxa"/>
            <w:tcBorders>
              <w:top w:val="nil"/>
              <w:left w:val="nil"/>
              <w:bottom w:val="single" w:color="000000" w:sz="4" w:space="0"/>
              <w:right w:val="single" w:color="000000" w:sz="4" w:space="0"/>
            </w:tcBorders>
            <w:shd w:val="clear" w:color="auto" w:fill="auto"/>
            <w:vAlign w:val="center"/>
          </w:tcPr>
          <w:p w14:paraId="102044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03BE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F79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FDB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75E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2,035,014.07 </w:t>
            </w:r>
          </w:p>
        </w:tc>
        <w:tc>
          <w:tcPr>
            <w:tcW w:w="1666" w:type="dxa"/>
            <w:tcBorders>
              <w:top w:val="nil"/>
              <w:left w:val="nil"/>
              <w:bottom w:val="single" w:color="000000" w:sz="4" w:space="0"/>
              <w:right w:val="single" w:color="000000" w:sz="4" w:space="0"/>
            </w:tcBorders>
            <w:shd w:val="clear" w:color="auto" w:fill="auto"/>
            <w:vAlign w:val="center"/>
          </w:tcPr>
          <w:p w14:paraId="6FC0E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2,035,014.07 </w:t>
            </w:r>
          </w:p>
        </w:tc>
        <w:tc>
          <w:tcPr>
            <w:tcW w:w="1684" w:type="dxa"/>
            <w:tcBorders>
              <w:top w:val="nil"/>
              <w:left w:val="nil"/>
              <w:bottom w:val="single" w:color="000000" w:sz="4" w:space="0"/>
              <w:right w:val="single" w:color="000000" w:sz="4" w:space="0"/>
            </w:tcBorders>
            <w:shd w:val="clear" w:color="auto" w:fill="auto"/>
            <w:vAlign w:val="center"/>
          </w:tcPr>
          <w:p w14:paraId="6BE55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B3D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2,035,014.07 </w:t>
            </w:r>
          </w:p>
        </w:tc>
        <w:tc>
          <w:tcPr>
            <w:tcW w:w="1700" w:type="dxa"/>
            <w:tcBorders>
              <w:top w:val="nil"/>
              <w:left w:val="nil"/>
              <w:bottom w:val="single" w:color="000000" w:sz="4" w:space="0"/>
              <w:right w:val="single" w:color="000000" w:sz="4" w:space="0"/>
            </w:tcBorders>
            <w:shd w:val="clear" w:color="auto" w:fill="auto"/>
            <w:vAlign w:val="center"/>
          </w:tcPr>
          <w:p w14:paraId="548C1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2,035,014.07 </w:t>
            </w:r>
          </w:p>
        </w:tc>
        <w:tc>
          <w:tcPr>
            <w:tcW w:w="1733" w:type="dxa"/>
            <w:tcBorders>
              <w:top w:val="nil"/>
              <w:left w:val="nil"/>
              <w:bottom w:val="single" w:color="000000" w:sz="4" w:space="0"/>
              <w:right w:val="single" w:color="000000" w:sz="4" w:space="0"/>
            </w:tcBorders>
            <w:shd w:val="clear" w:color="auto" w:fill="auto"/>
            <w:vAlign w:val="center"/>
          </w:tcPr>
          <w:p w14:paraId="21F8E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7AA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563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4A3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01F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E3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BB45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14:paraId="0CA369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D74B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F84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529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CF7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666" w:type="dxa"/>
            <w:tcBorders>
              <w:top w:val="nil"/>
              <w:left w:val="nil"/>
              <w:bottom w:val="single" w:color="000000" w:sz="4" w:space="0"/>
              <w:right w:val="single" w:color="000000" w:sz="4" w:space="0"/>
            </w:tcBorders>
            <w:shd w:val="clear" w:color="auto" w:fill="auto"/>
            <w:vAlign w:val="center"/>
          </w:tcPr>
          <w:p w14:paraId="6FFEE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D1B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750" w:type="dxa"/>
            <w:tcBorders>
              <w:top w:val="nil"/>
              <w:left w:val="nil"/>
              <w:bottom w:val="single" w:color="000000" w:sz="4" w:space="0"/>
              <w:right w:val="single" w:color="000000" w:sz="4" w:space="0"/>
            </w:tcBorders>
            <w:shd w:val="clear" w:color="auto" w:fill="auto"/>
            <w:vAlign w:val="center"/>
          </w:tcPr>
          <w:p w14:paraId="3CCE4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700" w:type="dxa"/>
            <w:tcBorders>
              <w:top w:val="nil"/>
              <w:left w:val="nil"/>
              <w:bottom w:val="single" w:color="000000" w:sz="4" w:space="0"/>
              <w:right w:val="single" w:color="000000" w:sz="4" w:space="0"/>
            </w:tcBorders>
            <w:shd w:val="clear" w:color="auto" w:fill="auto"/>
            <w:vAlign w:val="center"/>
          </w:tcPr>
          <w:p w14:paraId="226DC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117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583" w:type="dxa"/>
            <w:tcBorders>
              <w:top w:val="nil"/>
              <w:left w:val="nil"/>
              <w:bottom w:val="single" w:color="000000" w:sz="4" w:space="0"/>
              <w:right w:val="single" w:color="000000" w:sz="4" w:space="0"/>
            </w:tcBorders>
            <w:shd w:val="clear" w:color="auto" w:fill="auto"/>
            <w:vAlign w:val="center"/>
          </w:tcPr>
          <w:p w14:paraId="2B172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2AD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8BC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482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6B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20B9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2130304</w:t>
            </w:r>
          </w:p>
        </w:tc>
        <w:tc>
          <w:tcPr>
            <w:tcW w:w="1816" w:type="dxa"/>
            <w:tcBorders>
              <w:top w:val="nil"/>
              <w:left w:val="nil"/>
              <w:bottom w:val="single" w:color="000000" w:sz="4" w:space="0"/>
              <w:right w:val="single" w:color="000000" w:sz="4" w:space="0"/>
            </w:tcBorders>
            <w:shd w:val="clear" w:color="auto" w:fill="auto"/>
            <w:vAlign w:val="center"/>
          </w:tcPr>
          <w:p w14:paraId="3896C5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水利行业业务管理</w:t>
            </w:r>
          </w:p>
        </w:tc>
        <w:tc>
          <w:tcPr>
            <w:tcW w:w="1528" w:type="dxa"/>
            <w:tcBorders>
              <w:top w:val="nil"/>
              <w:left w:val="nil"/>
              <w:bottom w:val="single" w:color="000000" w:sz="4" w:space="0"/>
              <w:right w:val="single" w:color="000000" w:sz="4" w:space="0"/>
            </w:tcBorders>
            <w:shd w:val="clear" w:color="auto" w:fill="auto"/>
            <w:vAlign w:val="center"/>
          </w:tcPr>
          <w:p w14:paraId="059C9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8A1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2A9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0F3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666" w:type="dxa"/>
            <w:tcBorders>
              <w:top w:val="nil"/>
              <w:left w:val="nil"/>
              <w:bottom w:val="single" w:color="000000" w:sz="4" w:space="0"/>
              <w:right w:val="single" w:color="000000" w:sz="4" w:space="0"/>
            </w:tcBorders>
            <w:shd w:val="clear" w:color="auto" w:fill="auto"/>
            <w:vAlign w:val="center"/>
          </w:tcPr>
          <w:p w14:paraId="28F0D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C1A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750" w:type="dxa"/>
            <w:tcBorders>
              <w:top w:val="nil"/>
              <w:left w:val="nil"/>
              <w:bottom w:val="single" w:color="000000" w:sz="4" w:space="0"/>
              <w:right w:val="single" w:color="000000" w:sz="4" w:space="0"/>
            </w:tcBorders>
            <w:shd w:val="clear" w:color="auto" w:fill="auto"/>
            <w:vAlign w:val="center"/>
          </w:tcPr>
          <w:p w14:paraId="2A296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700" w:type="dxa"/>
            <w:tcBorders>
              <w:top w:val="nil"/>
              <w:left w:val="nil"/>
              <w:bottom w:val="single" w:color="000000" w:sz="4" w:space="0"/>
              <w:right w:val="single" w:color="000000" w:sz="4" w:space="0"/>
            </w:tcBorders>
            <w:shd w:val="clear" w:color="auto" w:fill="auto"/>
            <w:vAlign w:val="center"/>
          </w:tcPr>
          <w:p w14:paraId="7BCD8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9DC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583" w:type="dxa"/>
            <w:tcBorders>
              <w:top w:val="nil"/>
              <w:left w:val="nil"/>
              <w:bottom w:val="single" w:color="000000" w:sz="4" w:space="0"/>
              <w:right w:val="single" w:color="000000" w:sz="4" w:space="0"/>
            </w:tcBorders>
            <w:shd w:val="clear" w:color="auto" w:fill="auto"/>
            <w:vAlign w:val="center"/>
          </w:tcPr>
          <w:p w14:paraId="73EED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1C5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5AD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3D4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E2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4959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297183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0A48D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C30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A75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81D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666" w:type="dxa"/>
            <w:tcBorders>
              <w:top w:val="nil"/>
              <w:left w:val="nil"/>
              <w:bottom w:val="single" w:color="000000" w:sz="4" w:space="0"/>
              <w:right w:val="single" w:color="000000" w:sz="4" w:space="0"/>
            </w:tcBorders>
            <w:shd w:val="clear" w:color="auto" w:fill="auto"/>
            <w:vAlign w:val="center"/>
          </w:tcPr>
          <w:p w14:paraId="61DE5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7BC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750" w:type="dxa"/>
            <w:tcBorders>
              <w:top w:val="nil"/>
              <w:left w:val="nil"/>
              <w:bottom w:val="single" w:color="000000" w:sz="4" w:space="0"/>
              <w:right w:val="single" w:color="000000" w:sz="4" w:space="0"/>
            </w:tcBorders>
            <w:shd w:val="clear" w:color="auto" w:fill="auto"/>
            <w:vAlign w:val="center"/>
          </w:tcPr>
          <w:p w14:paraId="57441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700" w:type="dxa"/>
            <w:tcBorders>
              <w:top w:val="nil"/>
              <w:left w:val="nil"/>
              <w:bottom w:val="single" w:color="000000" w:sz="4" w:space="0"/>
              <w:right w:val="single" w:color="000000" w:sz="4" w:space="0"/>
            </w:tcBorders>
            <w:shd w:val="clear" w:color="auto" w:fill="auto"/>
            <w:vAlign w:val="center"/>
          </w:tcPr>
          <w:p w14:paraId="73F64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F0A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583" w:type="dxa"/>
            <w:tcBorders>
              <w:top w:val="nil"/>
              <w:left w:val="nil"/>
              <w:bottom w:val="single" w:color="000000" w:sz="4" w:space="0"/>
              <w:right w:val="single" w:color="000000" w:sz="4" w:space="0"/>
            </w:tcBorders>
            <w:shd w:val="clear" w:color="auto" w:fill="auto"/>
            <w:vAlign w:val="center"/>
          </w:tcPr>
          <w:p w14:paraId="404B3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D2D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4CA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631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23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619B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30A4F2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61EF8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3D1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0BE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27E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3,906,889.45 </w:t>
            </w:r>
          </w:p>
        </w:tc>
        <w:tc>
          <w:tcPr>
            <w:tcW w:w="1666" w:type="dxa"/>
            <w:tcBorders>
              <w:top w:val="nil"/>
              <w:left w:val="nil"/>
              <w:bottom w:val="single" w:color="000000" w:sz="4" w:space="0"/>
              <w:right w:val="single" w:color="000000" w:sz="4" w:space="0"/>
            </w:tcBorders>
            <w:shd w:val="clear" w:color="auto" w:fill="auto"/>
            <w:vAlign w:val="center"/>
          </w:tcPr>
          <w:p w14:paraId="1D1E8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5E4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3,906,889.45 </w:t>
            </w:r>
          </w:p>
        </w:tc>
        <w:tc>
          <w:tcPr>
            <w:tcW w:w="1750" w:type="dxa"/>
            <w:tcBorders>
              <w:top w:val="nil"/>
              <w:left w:val="nil"/>
              <w:bottom w:val="single" w:color="000000" w:sz="4" w:space="0"/>
              <w:right w:val="single" w:color="000000" w:sz="4" w:space="0"/>
            </w:tcBorders>
            <w:shd w:val="clear" w:color="auto" w:fill="auto"/>
            <w:vAlign w:val="center"/>
          </w:tcPr>
          <w:p w14:paraId="268CC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3,906,889.45 </w:t>
            </w:r>
          </w:p>
        </w:tc>
        <w:tc>
          <w:tcPr>
            <w:tcW w:w="1700" w:type="dxa"/>
            <w:tcBorders>
              <w:top w:val="nil"/>
              <w:left w:val="nil"/>
              <w:bottom w:val="single" w:color="000000" w:sz="4" w:space="0"/>
              <w:right w:val="single" w:color="000000" w:sz="4" w:space="0"/>
            </w:tcBorders>
            <w:shd w:val="clear" w:color="auto" w:fill="auto"/>
            <w:vAlign w:val="center"/>
          </w:tcPr>
          <w:p w14:paraId="352E3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8CD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3,906,889.45 </w:t>
            </w:r>
          </w:p>
        </w:tc>
        <w:tc>
          <w:tcPr>
            <w:tcW w:w="1583" w:type="dxa"/>
            <w:tcBorders>
              <w:top w:val="nil"/>
              <w:left w:val="nil"/>
              <w:bottom w:val="single" w:color="000000" w:sz="4" w:space="0"/>
              <w:right w:val="single" w:color="000000" w:sz="4" w:space="0"/>
            </w:tcBorders>
            <w:shd w:val="clear" w:color="auto" w:fill="auto"/>
            <w:vAlign w:val="center"/>
          </w:tcPr>
          <w:p w14:paraId="3A3E0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B09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DF1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508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F1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02DD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14:paraId="6BC835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14:paraId="0E02B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677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9CF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6E8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666" w:type="dxa"/>
            <w:tcBorders>
              <w:top w:val="nil"/>
              <w:left w:val="nil"/>
              <w:bottom w:val="single" w:color="000000" w:sz="4" w:space="0"/>
              <w:right w:val="single" w:color="000000" w:sz="4" w:space="0"/>
            </w:tcBorders>
            <w:shd w:val="clear" w:color="auto" w:fill="auto"/>
            <w:vAlign w:val="center"/>
          </w:tcPr>
          <w:p w14:paraId="748AF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D84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750" w:type="dxa"/>
            <w:tcBorders>
              <w:top w:val="nil"/>
              <w:left w:val="nil"/>
              <w:bottom w:val="single" w:color="000000" w:sz="4" w:space="0"/>
              <w:right w:val="single" w:color="000000" w:sz="4" w:space="0"/>
            </w:tcBorders>
            <w:shd w:val="clear" w:color="auto" w:fill="auto"/>
            <w:vAlign w:val="center"/>
          </w:tcPr>
          <w:p w14:paraId="2EB0F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700" w:type="dxa"/>
            <w:tcBorders>
              <w:top w:val="nil"/>
              <w:left w:val="nil"/>
              <w:bottom w:val="single" w:color="000000" w:sz="4" w:space="0"/>
              <w:right w:val="single" w:color="000000" w:sz="4" w:space="0"/>
            </w:tcBorders>
            <w:shd w:val="clear" w:color="auto" w:fill="auto"/>
            <w:vAlign w:val="center"/>
          </w:tcPr>
          <w:p w14:paraId="3F0D7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261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583" w:type="dxa"/>
            <w:tcBorders>
              <w:top w:val="nil"/>
              <w:left w:val="nil"/>
              <w:bottom w:val="single" w:color="000000" w:sz="4" w:space="0"/>
              <w:right w:val="single" w:color="000000" w:sz="4" w:space="0"/>
            </w:tcBorders>
            <w:shd w:val="clear" w:color="auto" w:fill="auto"/>
            <w:vAlign w:val="center"/>
          </w:tcPr>
          <w:p w14:paraId="2D871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6D4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DF6C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F5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D1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C299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1E001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6C3A8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C43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12C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22E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666" w:type="dxa"/>
            <w:tcBorders>
              <w:top w:val="nil"/>
              <w:left w:val="nil"/>
              <w:bottom w:val="single" w:color="000000" w:sz="4" w:space="0"/>
              <w:right w:val="single" w:color="000000" w:sz="4" w:space="0"/>
            </w:tcBorders>
            <w:shd w:val="clear" w:color="auto" w:fill="auto"/>
            <w:vAlign w:val="center"/>
          </w:tcPr>
          <w:p w14:paraId="4FA40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DBF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750" w:type="dxa"/>
            <w:tcBorders>
              <w:top w:val="nil"/>
              <w:left w:val="nil"/>
              <w:bottom w:val="single" w:color="000000" w:sz="4" w:space="0"/>
              <w:right w:val="single" w:color="000000" w:sz="4" w:space="0"/>
            </w:tcBorders>
            <w:shd w:val="clear" w:color="auto" w:fill="auto"/>
            <w:vAlign w:val="center"/>
          </w:tcPr>
          <w:p w14:paraId="4C1D5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700" w:type="dxa"/>
            <w:tcBorders>
              <w:top w:val="nil"/>
              <w:left w:val="nil"/>
              <w:bottom w:val="single" w:color="000000" w:sz="4" w:space="0"/>
              <w:right w:val="single" w:color="000000" w:sz="4" w:space="0"/>
            </w:tcBorders>
            <w:shd w:val="clear" w:color="auto" w:fill="auto"/>
            <w:vAlign w:val="center"/>
          </w:tcPr>
          <w:p w14:paraId="40F43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7DC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583" w:type="dxa"/>
            <w:tcBorders>
              <w:top w:val="nil"/>
              <w:left w:val="nil"/>
              <w:bottom w:val="single" w:color="000000" w:sz="4" w:space="0"/>
              <w:right w:val="single" w:color="000000" w:sz="4" w:space="0"/>
            </w:tcBorders>
            <w:shd w:val="clear" w:color="auto" w:fill="auto"/>
            <w:vAlign w:val="center"/>
          </w:tcPr>
          <w:p w14:paraId="09A6E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BAC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16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8C3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DF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EE03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247716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65F5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D0E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522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676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666" w:type="dxa"/>
            <w:tcBorders>
              <w:top w:val="nil"/>
              <w:left w:val="nil"/>
              <w:bottom w:val="single" w:color="000000" w:sz="4" w:space="0"/>
              <w:right w:val="single" w:color="000000" w:sz="4" w:space="0"/>
            </w:tcBorders>
            <w:shd w:val="clear" w:color="auto" w:fill="auto"/>
            <w:vAlign w:val="center"/>
          </w:tcPr>
          <w:p w14:paraId="55BB6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2C7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750" w:type="dxa"/>
            <w:tcBorders>
              <w:top w:val="nil"/>
              <w:left w:val="nil"/>
              <w:bottom w:val="single" w:color="000000" w:sz="4" w:space="0"/>
              <w:right w:val="single" w:color="000000" w:sz="4" w:space="0"/>
            </w:tcBorders>
            <w:shd w:val="clear" w:color="auto" w:fill="auto"/>
            <w:vAlign w:val="center"/>
          </w:tcPr>
          <w:p w14:paraId="7AC20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700" w:type="dxa"/>
            <w:tcBorders>
              <w:top w:val="nil"/>
              <w:left w:val="nil"/>
              <w:bottom w:val="single" w:color="000000" w:sz="4" w:space="0"/>
              <w:right w:val="single" w:color="000000" w:sz="4" w:space="0"/>
            </w:tcBorders>
            <w:shd w:val="clear" w:color="auto" w:fill="auto"/>
            <w:vAlign w:val="center"/>
          </w:tcPr>
          <w:p w14:paraId="026E9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F18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583" w:type="dxa"/>
            <w:tcBorders>
              <w:top w:val="nil"/>
              <w:left w:val="nil"/>
              <w:bottom w:val="single" w:color="000000" w:sz="4" w:space="0"/>
              <w:right w:val="single" w:color="000000" w:sz="4" w:space="0"/>
            </w:tcBorders>
            <w:shd w:val="clear" w:color="auto" w:fill="auto"/>
            <w:vAlign w:val="center"/>
          </w:tcPr>
          <w:p w14:paraId="05B21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A85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EFB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E54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A8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C8A7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2B725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AC19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D9F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8E8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48E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666" w:type="dxa"/>
            <w:tcBorders>
              <w:top w:val="nil"/>
              <w:left w:val="nil"/>
              <w:bottom w:val="single" w:color="000000" w:sz="4" w:space="0"/>
              <w:right w:val="single" w:color="000000" w:sz="4" w:space="0"/>
            </w:tcBorders>
            <w:shd w:val="clear" w:color="auto" w:fill="auto"/>
            <w:vAlign w:val="center"/>
          </w:tcPr>
          <w:p w14:paraId="468F1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E28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750" w:type="dxa"/>
            <w:tcBorders>
              <w:top w:val="nil"/>
              <w:left w:val="nil"/>
              <w:bottom w:val="single" w:color="000000" w:sz="4" w:space="0"/>
              <w:right w:val="single" w:color="000000" w:sz="4" w:space="0"/>
            </w:tcBorders>
            <w:shd w:val="clear" w:color="auto" w:fill="auto"/>
            <w:vAlign w:val="center"/>
          </w:tcPr>
          <w:p w14:paraId="782AC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700" w:type="dxa"/>
            <w:tcBorders>
              <w:top w:val="nil"/>
              <w:left w:val="nil"/>
              <w:bottom w:val="single" w:color="000000" w:sz="4" w:space="0"/>
              <w:right w:val="single" w:color="000000" w:sz="4" w:space="0"/>
            </w:tcBorders>
            <w:shd w:val="clear" w:color="auto" w:fill="auto"/>
            <w:vAlign w:val="center"/>
          </w:tcPr>
          <w:p w14:paraId="7BCEE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8B6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583" w:type="dxa"/>
            <w:tcBorders>
              <w:top w:val="nil"/>
              <w:left w:val="nil"/>
              <w:bottom w:val="single" w:color="000000" w:sz="4" w:space="0"/>
              <w:right w:val="single" w:color="000000" w:sz="4" w:space="0"/>
            </w:tcBorders>
            <w:shd w:val="clear" w:color="auto" w:fill="auto"/>
            <w:vAlign w:val="center"/>
          </w:tcPr>
          <w:p w14:paraId="00D21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F38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0B3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BFF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FF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113A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816" w:type="dxa"/>
            <w:tcBorders>
              <w:top w:val="nil"/>
              <w:left w:val="nil"/>
              <w:bottom w:val="single" w:color="000000" w:sz="4" w:space="0"/>
              <w:right w:val="single" w:color="000000" w:sz="4" w:space="0"/>
            </w:tcBorders>
            <w:shd w:val="clear" w:color="auto" w:fill="auto"/>
            <w:vAlign w:val="center"/>
          </w:tcPr>
          <w:p w14:paraId="068131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shd w:val="clear" w:color="auto" w:fill="auto"/>
            <w:vAlign w:val="center"/>
          </w:tcPr>
          <w:p w14:paraId="6F6BA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09F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E92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108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666" w:type="dxa"/>
            <w:tcBorders>
              <w:top w:val="nil"/>
              <w:left w:val="nil"/>
              <w:bottom w:val="single" w:color="000000" w:sz="4" w:space="0"/>
              <w:right w:val="single" w:color="000000" w:sz="4" w:space="0"/>
            </w:tcBorders>
            <w:shd w:val="clear" w:color="auto" w:fill="auto"/>
            <w:vAlign w:val="center"/>
          </w:tcPr>
          <w:p w14:paraId="12E91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A53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50" w:type="dxa"/>
            <w:tcBorders>
              <w:top w:val="nil"/>
              <w:left w:val="nil"/>
              <w:bottom w:val="single" w:color="000000" w:sz="4" w:space="0"/>
              <w:right w:val="single" w:color="000000" w:sz="4" w:space="0"/>
            </w:tcBorders>
            <w:shd w:val="clear" w:color="auto" w:fill="auto"/>
            <w:vAlign w:val="center"/>
          </w:tcPr>
          <w:p w14:paraId="38A64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00" w:type="dxa"/>
            <w:tcBorders>
              <w:top w:val="nil"/>
              <w:left w:val="nil"/>
              <w:bottom w:val="single" w:color="000000" w:sz="4" w:space="0"/>
              <w:right w:val="single" w:color="000000" w:sz="4" w:space="0"/>
            </w:tcBorders>
            <w:shd w:val="clear" w:color="auto" w:fill="auto"/>
            <w:vAlign w:val="center"/>
          </w:tcPr>
          <w:p w14:paraId="64233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B8A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583" w:type="dxa"/>
            <w:tcBorders>
              <w:top w:val="nil"/>
              <w:left w:val="nil"/>
              <w:bottom w:val="single" w:color="000000" w:sz="4" w:space="0"/>
              <w:right w:val="single" w:color="000000" w:sz="4" w:space="0"/>
            </w:tcBorders>
            <w:shd w:val="clear" w:color="auto" w:fill="auto"/>
            <w:vAlign w:val="center"/>
          </w:tcPr>
          <w:p w14:paraId="6A670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C26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1CD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70A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8F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810C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816" w:type="dxa"/>
            <w:tcBorders>
              <w:top w:val="nil"/>
              <w:left w:val="nil"/>
              <w:bottom w:val="single" w:color="000000" w:sz="4" w:space="0"/>
              <w:right w:val="single" w:color="000000" w:sz="4" w:space="0"/>
            </w:tcBorders>
            <w:shd w:val="clear" w:color="auto" w:fill="auto"/>
            <w:vAlign w:val="center"/>
          </w:tcPr>
          <w:p w14:paraId="41FAE9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shd w:val="clear" w:color="auto" w:fill="auto"/>
            <w:vAlign w:val="center"/>
          </w:tcPr>
          <w:p w14:paraId="2642C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6A4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A90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0CF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666" w:type="dxa"/>
            <w:tcBorders>
              <w:top w:val="nil"/>
              <w:left w:val="nil"/>
              <w:bottom w:val="single" w:color="000000" w:sz="4" w:space="0"/>
              <w:right w:val="single" w:color="000000" w:sz="4" w:space="0"/>
            </w:tcBorders>
            <w:shd w:val="clear" w:color="auto" w:fill="auto"/>
            <w:vAlign w:val="center"/>
          </w:tcPr>
          <w:p w14:paraId="6E1B4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019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50" w:type="dxa"/>
            <w:tcBorders>
              <w:top w:val="nil"/>
              <w:left w:val="nil"/>
              <w:bottom w:val="single" w:color="000000" w:sz="4" w:space="0"/>
              <w:right w:val="single" w:color="000000" w:sz="4" w:space="0"/>
            </w:tcBorders>
            <w:shd w:val="clear" w:color="auto" w:fill="auto"/>
            <w:vAlign w:val="center"/>
          </w:tcPr>
          <w:p w14:paraId="5821C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00" w:type="dxa"/>
            <w:tcBorders>
              <w:top w:val="nil"/>
              <w:left w:val="nil"/>
              <w:bottom w:val="single" w:color="000000" w:sz="4" w:space="0"/>
              <w:right w:val="single" w:color="000000" w:sz="4" w:space="0"/>
            </w:tcBorders>
            <w:shd w:val="clear" w:color="auto" w:fill="auto"/>
            <w:vAlign w:val="center"/>
          </w:tcPr>
          <w:p w14:paraId="04BE9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2ED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583" w:type="dxa"/>
            <w:tcBorders>
              <w:top w:val="nil"/>
              <w:left w:val="nil"/>
              <w:bottom w:val="single" w:color="000000" w:sz="4" w:space="0"/>
              <w:right w:val="single" w:color="000000" w:sz="4" w:space="0"/>
            </w:tcBorders>
            <w:shd w:val="clear" w:color="auto" w:fill="auto"/>
            <w:vAlign w:val="center"/>
          </w:tcPr>
          <w:p w14:paraId="25221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FA5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81CF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47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B7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01D1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2200106</w:t>
            </w:r>
          </w:p>
        </w:tc>
        <w:tc>
          <w:tcPr>
            <w:tcW w:w="1816" w:type="dxa"/>
            <w:tcBorders>
              <w:top w:val="nil"/>
              <w:left w:val="nil"/>
              <w:bottom w:val="single" w:color="000000" w:sz="4" w:space="0"/>
              <w:right w:val="single" w:color="000000" w:sz="4" w:space="0"/>
            </w:tcBorders>
            <w:shd w:val="clear" w:color="auto" w:fill="auto"/>
            <w:vAlign w:val="center"/>
          </w:tcPr>
          <w:p w14:paraId="26FD9F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shd w:val="clear" w:color="auto" w:fill="auto"/>
            <w:vAlign w:val="center"/>
          </w:tcPr>
          <w:p w14:paraId="18DB8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833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785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207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666" w:type="dxa"/>
            <w:tcBorders>
              <w:top w:val="nil"/>
              <w:left w:val="nil"/>
              <w:bottom w:val="single" w:color="000000" w:sz="4" w:space="0"/>
              <w:right w:val="single" w:color="000000" w:sz="4" w:space="0"/>
            </w:tcBorders>
            <w:shd w:val="clear" w:color="auto" w:fill="auto"/>
            <w:vAlign w:val="center"/>
          </w:tcPr>
          <w:p w14:paraId="48FCB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E38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750" w:type="dxa"/>
            <w:tcBorders>
              <w:top w:val="nil"/>
              <w:left w:val="nil"/>
              <w:bottom w:val="single" w:color="000000" w:sz="4" w:space="0"/>
              <w:right w:val="single" w:color="000000" w:sz="4" w:space="0"/>
            </w:tcBorders>
            <w:shd w:val="clear" w:color="auto" w:fill="auto"/>
            <w:vAlign w:val="center"/>
          </w:tcPr>
          <w:p w14:paraId="7A34F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700" w:type="dxa"/>
            <w:tcBorders>
              <w:top w:val="nil"/>
              <w:left w:val="nil"/>
              <w:bottom w:val="single" w:color="000000" w:sz="4" w:space="0"/>
              <w:right w:val="single" w:color="000000" w:sz="4" w:space="0"/>
            </w:tcBorders>
            <w:shd w:val="clear" w:color="auto" w:fill="auto"/>
            <w:vAlign w:val="center"/>
          </w:tcPr>
          <w:p w14:paraId="51095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A55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583" w:type="dxa"/>
            <w:tcBorders>
              <w:top w:val="nil"/>
              <w:left w:val="nil"/>
              <w:bottom w:val="single" w:color="000000" w:sz="4" w:space="0"/>
              <w:right w:val="single" w:color="000000" w:sz="4" w:space="0"/>
            </w:tcBorders>
            <w:shd w:val="clear" w:color="auto" w:fill="auto"/>
            <w:vAlign w:val="center"/>
          </w:tcPr>
          <w:p w14:paraId="15470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40B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90E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4BE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60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E679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8C128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99A8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307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30B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2BD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666" w:type="dxa"/>
            <w:tcBorders>
              <w:top w:val="nil"/>
              <w:left w:val="nil"/>
              <w:bottom w:val="single" w:color="000000" w:sz="4" w:space="0"/>
              <w:right w:val="single" w:color="000000" w:sz="4" w:space="0"/>
            </w:tcBorders>
            <w:shd w:val="clear" w:color="auto" w:fill="auto"/>
            <w:vAlign w:val="center"/>
          </w:tcPr>
          <w:p w14:paraId="2CA4E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684" w:type="dxa"/>
            <w:tcBorders>
              <w:top w:val="nil"/>
              <w:left w:val="nil"/>
              <w:bottom w:val="single" w:color="000000" w:sz="4" w:space="0"/>
              <w:right w:val="single" w:color="000000" w:sz="4" w:space="0"/>
            </w:tcBorders>
            <w:shd w:val="clear" w:color="auto" w:fill="auto"/>
            <w:vAlign w:val="center"/>
          </w:tcPr>
          <w:p w14:paraId="58A0B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A41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700" w:type="dxa"/>
            <w:tcBorders>
              <w:top w:val="nil"/>
              <w:left w:val="nil"/>
              <w:bottom w:val="single" w:color="000000" w:sz="4" w:space="0"/>
              <w:right w:val="single" w:color="000000" w:sz="4" w:space="0"/>
            </w:tcBorders>
            <w:shd w:val="clear" w:color="auto" w:fill="auto"/>
            <w:vAlign w:val="center"/>
          </w:tcPr>
          <w:p w14:paraId="3B10E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733" w:type="dxa"/>
            <w:tcBorders>
              <w:top w:val="nil"/>
              <w:left w:val="nil"/>
              <w:bottom w:val="single" w:color="000000" w:sz="4" w:space="0"/>
              <w:right w:val="single" w:color="000000" w:sz="4" w:space="0"/>
            </w:tcBorders>
            <w:shd w:val="clear" w:color="auto" w:fill="auto"/>
            <w:vAlign w:val="center"/>
          </w:tcPr>
          <w:p w14:paraId="50D33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6B6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E0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34E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89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5D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171C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28124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40CD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046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BD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C75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666" w:type="dxa"/>
            <w:tcBorders>
              <w:top w:val="nil"/>
              <w:left w:val="nil"/>
              <w:bottom w:val="single" w:color="000000" w:sz="4" w:space="0"/>
              <w:right w:val="single" w:color="000000" w:sz="4" w:space="0"/>
            </w:tcBorders>
            <w:shd w:val="clear" w:color="auto" w:fill="auto"/>
            <w:vAlign w:val="center"/>
          </w:tcPr>
          <w:p w14:paraId="20783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684" w:type="dxa"/>
            <w:tcBorders>
              <w:top w:val="nil"/>
              <w:left w:val="nil"/>
              <w:bottom w:val="single" w:color="000000" w:sz="4" w:space="0"/>
              <w:right w:val="single" w:color="000000" w:sz="4" w:space="0"/>
            </w:tcBorders>
            <w:shd w:val="clear" w:color="auto" w:fill="auto"/>
            <w:vAlign w:val="center"/>
          </w:tcPr>
          <w:p w14:paraId="04B88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893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700" w:type="dxa"/>
            <w:tcBorders>
              <w:top w:val="nil"/>
              <w:left w:val="nil"/>
              <w:bottom w:val="single" w:color="000000" w:sz="4" w:space="0"/>
              <w:right w:val="single" w:color="000000" w:sz="4" w:space="0"/>
            </w:tcBorders>
            <w:shd w:val="clear" w:color="auto" w:fill="auto"/>
            <w:vAlign w:val="center"/>
          </w:tcPr>
          <w:p w14:paraId="20ED6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136,836.60 </w:t>
            </w:r>
          </w:p>
        </w:tc>
        <w:tc>
          <w:tcPr>
            <w:tcW w:w="1733" w:type="dxa"/>
            <w:tcBorders>
              <w:top w:val="nil"/>
              <w:left w:val="nil"/>
              <w:bottom w:val="single" w:color="000000" w:sz="4" w:space="0"/>
              <w:right w:val="single" w:color="000000" w:sz="4" w:space="0"/>
            </w:tcBorders>
            <w:shd w:val="clear" w:color="auto" w:fill="auto"/>
            <w:vAlign w:val="center"/>
          </w:tcPr>
          <w:p w14:paraId="09684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266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7B3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4A5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0D7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83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0EA8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05F12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91B3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D55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991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7F6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136,836.60 </w:t>
            </w:r>
          </w:p>
        </w:tc>
        <w:tc>
          <w:tcPr>
            <w:tcW w:w="1666" w:type="dxa"/>
            <w:tcBorders>
              <w:top w:val="nil"/>
              <w:left w:val="nil"/>
              <w:bottom w:val="single" w:color="000000" w:sz="4" w:space="0"/>
              <w:right w:val="single" w:color="000000" w:sz="4" w:space="0"/>
            </w:tcBorders>
            <w:shd w:val="clear" w:color="auto" w:fill="auto"/>
            <w:vAlign w:val="center"/>
          </w:tcPr>
          <w:p w14:paraId="5242F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136,836.60 </w:t>
            </w:r>
          </w:p>
        </w:tc>
        <w:tc>
          <w:tcPr>
            <w:tcW w:w="1684" w:type="dxa"/>
            <w:tcBorders>
              <w:top w:val="nil"/>
              <w:left w:val="nil"/>
              <w:bottom w:val="single" w:color="000000" w:sz="4" w:space="0"/>
              <w:right w:val="single" w:color="000000" w:sz="4" w:space="0"/>
            </w:tcBorders>
            <w:shd w:val="clear" w:color="auto" w:fill="auto"/>
            <w:vAlign w:val="center"/>
          </w:tcPr>
          <w:p w14:paraId="017F8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F65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136,836.60 </w:t>
            </w:r>
          </w:p>
        </w:tc>
        <w:tc>
          <w:tcPr>
            <w:tcW w:w="1700" w:type="dxa"/>
            <w:tcBorders>
              <w:top w:val="nil"/>
              <w:left w:val="nil"/>
              <w:bottom w:val="single" w:color="000000" w:sz="4" w:space="0"/>
              <w:right w:val="single" w:color="000000" w:sz="4" w:space="0"/>
            </w:tcBorders>
            <w:shd w:val="clear" w:color="auto" w:fill="auto"/>
            <w:vAlign w:val="center"/>
          </w:tcPr>
          <w:p w14:paraId="09A0B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136,836.60 </w:t>
            </w:r>
          </w:p>
        </w:tc>
        <w:tc>
          <w:tcPr>
            <w:tcW w:w="1733" w:type="dxa"/>
            <w:tcBorders>
              <w:top w:val="nil"/>
              <w:left w:val="nil"/>
              <w:bottom w:val="single" w:color="000000" w:sz="4" w:space="0"/>
              <w:right w:val="single" w:color="000000" w:sz="4" w:space="0"/>
            </w:tcBorders>
            <w:shd w:val="clear" w:color="auto" w:fill="auto"/>
            <w:vAlign w:val="center"/>
          </w:tcPr>
          <w:p w14:paraId="7F225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892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247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4A5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E75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D9A917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9B7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881F47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5A9A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E04812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石柱土家族自治县水利局本级</w:t>
            </w:r>
          </w:p>
        </w:tc>
        <w:tc>
          <w:tcPr>
            <w:tcW w:w="2682" w:type="dxa"/>
            <w:tcBorders>
              <w:top w:val="nil"/>
              <w:left w:val="nil"/>
              <w:bottom w:val="nil"/>
              <w:right w:val="nil"/>
            </w:tcBorders>
            <w:shd w:val="clear" w:color="auto" w:fill="auto"/>
            <w:vAlign w:val="bottom"/>
          </w:tcPr>
          <w:p w14:paraId="5B342E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F6B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5B63369">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582300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C8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D54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5220B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AFB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DFB02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EDD3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392DB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F6A21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C0DB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DD3DD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3FC12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FE173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DA1D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3F0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026B74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E3CC01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152FDE4">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D46DFF3">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29EFB2F">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5637203">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FE6E82B">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4D17616">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D48E5BD">
            <w:pPr>
              <w:jc w:val="center"/>
              <w:rPr>
                <w:rFonts w:hint="eastAsia" w:ascii="宋体" w:hAnsi="宋体" w:eastAsia="宋体" w:cs="宋体"/>
                <w:i w:val="0"/>
                <w:iCs w:val="0"/>
                <w:color w:val="000000"/>
                <w:sz w:val="22"/>
                <w:szCs w:val="22"/>
                <w:u w:val="none"/>
              </w:rPr>
            </w:pPr>
          </w:p>
        </w:tc>
      </w:tr>
      <w:tr w14:paraId="2F45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B9D8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D5902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AB116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2,284,453.23 </w:t>
            </w:r>
          </w:p>
        </w:tc>
        <w:tc>
          <w:tcPr>
            <w:tcW w:w="1234" w:type="dxa"/>
            <w:tcBorders>
              <w:top w:val="nil"/>
              <w:left w:val="nil"/>
              <w:bottom w:val="single" w:color="000000" w:sz="4" w:space="0"/>
              <w:right w:val="single" w:color="000000" w:sz="4" w:space="0"/>
            </w:tcBorders>
            <w:shd w:val="clear" w:color="auto" w:fill="auto"/>
            <w:vAlign w:val="center"/>
          </w:tcPr>
          <w:p w14:paraId="13375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88B4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085D4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464,771.62 </w:t>
            </w:r>
          </w:p>
        </w:tc>
        <w:tc>
          <w:tcPr>
            <w:tcW w:w="1133" w:type="dxa"/>
            <w:tcBorders>
              <w:top w:val="nil"/>
              <w:left w:val="nil"/>
              <w:bottom w:val="single" w:color="000000" w:sz="4" w:space="0"/>
              <w:right w:val="single" w:color="000000" w:sz="4" w:space="0"/>
            </w:tcBorders>
            <w:shd w:val="clear" w:color="auto" w:fill="auto"/>
            <w:vAlign w:val="center"/>
          </w:tcPr>
          <w:p w14:paraId="798767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81C10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9F687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AB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DE0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A23A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22753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564,222.00 </w:t>
            </w:r>
          </w:p>
        </w:tc>
        <w:tc>
          <w:tcPr>
            <w:tcW w:w="1234" w:type="dxa"/>
            <w:tcBorders>
              <w:top w:val="nil"/>
              <w:left w:val="nil"/>
              <w:bottom w:val="single" w:color="000000" w:sz="4" w:space="0"/>
              <w:right w:val="single" w:color="000000" w:sz="4" w:space="0"/>
            </w:tcBorders>
            <w:shd w:val="clear" w:color="auto" w:fill="auto"/>
            <w:vAlign w:val="center"/>
          </w:tcPr>
          <w:p w14:paraId="2EA63D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7E92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F5D7A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126,961.48 </w:t>
            </w:r>
          </w:p>
        </w:tc>
        <w:tc>
          <w:tcPr>
            <w:tcW w:w="1133" w:type="dxa"/>
            <w:tcBorders>
              <w:top w:val="nil"/>
              <w:left w:val="nil"/>
              <w:bottom w:val="single" w:color="000000" w:sz="4" w:space="0"/>
              <w:right w:val="single" w:color="000000" w:sz="4" w:space="0"/>
            </w:tcBorders>
            <w:shd w:val="clear" w:color="auto" w:fill="auto"/>
            <w:vAlign w:val="center"/>
          </w:tcPr>
          <w:p w14:paraId="723FD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161C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46015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F0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4C2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2B8B6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1DF54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391,114.00 </w:t>
            </w:r>
          </w:p>
        </w:tc>
        <w:tc>
          <w:tcPr>
            <w:tcW w:w="1234" w:type="dxa"/>
            <w:tcBorders>
              <w:top w:val="nil"/>
              <w:left w:val="nil"/>
              <w:bottom w:val="single" w:color="000000" w:sz="4" w:space="0"/>
              <w:right w:val="single" w:color="000000" w:sz="4" w:space="0"/>
            </w:tcBorders>
            <w:shd w:val="clear" w:color="auto" w:fill="auto"/>
            <w:vAlign w:val="center"/>
          </w:tcPr>
          <w:p w14:paraId="5F25F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421F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6478E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679.00 </w:t>
            </w:r>
          </w:p>
        </w:tc>
        <w:tc>
          <w:tcPr>
            <w:tcW w:w="1133" w:type="dxa"/>
            <w:tcBorders>
              <w:top w:val="nil"/>
              <w:left w:val="nil"/>
              <w:bottom w:val="single" w:color="000000" w:sz="4" w:space="0"/>
              <w:right w:val="single" w:color="000000" w:sz="4" w:space="0"/>
            </w:tcBorders>
            <w:shd w:val="clear" w:color="auto" w:fill="auto"/>
            <w:vAlign w:val="center"/>
          </w:tcPr>
          <w:p w14:paraId="249A2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315C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CD2DE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6A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17EF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4A66D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5470B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606,512.00 </w:t>
            </w:r>
          </w:p>
        </w:tc>
        <w:tc>
          <w:tcPr>
            <w:tcW w:w="1234" w:type="dxa"/>
            <w:tcBorders>
              <w:top w:val="nil"/>
              <w:left w:val="nil"/>
              <w:bottom w:val="single" w:color="000000" w:sz="4" w:space="0"/>
              <w:right w:val="single" w:color="000000" w:sz="4" w:space="0"/>
            </w:tcBorders>
            <w:shd w:val="clear" w:color="auto" w:fill="auto"/>
            <w:vAlign w:val="center"/>
          </w:tcPr>
          <w:p w14:paraId="043CE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0A9E1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7B1A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C9A1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920C5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1CE2C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A8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762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9EB39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2BAFC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42CE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11399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1D6FB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2F4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28876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399F5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7A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B0A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B2EDC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5AD84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7D9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6AA33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BF79D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5,753.46 </w:t>
            </w:r>
          </w:p>
        </w:tc>
        <w:tc>
          <w:tcPr>
            <w:tcW w:w="1133" w:type="dxa"/>
            <w:tcBorders>
              <w:top w:val="nil"/>
              <w:left w:val="nil"/>
              <w:bottom w:val="single" w:color="000000" w:sz="4" w:space="0"/>
              <w:right w:val="single" w:color="000000" w:sz="4" w:space="0"/>
            </w:tcBorders>
            <w:shd w:val="clear" w:color="auto" w:fill="auto"/>
            <w:vAlign w:val="center"/>
          </w:tcPr>
          <w:p w14:paraId="1C809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C75C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1B212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D2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695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AE42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708B7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372,045.80 </w:t>
            </w:r>
          </w:p>
        </w:tc>
        <w:tc>
          <w:tcPr>
            <w:tcW w:w="1234" w:type="dxa"/>
            <w:tcBorders>
              <w:top w:val="nil"/>
              <w:left w:val="nil"/>
              <w:bottom w:val="single" w:color="000000" w:sz="4" w:space="0"/>
              <w:right w:val="single" w:color="000000" w:sz="4" w:space="0"/>
            </w:tcBorders>
            <w:shd w:val="clear" w:color="auto" w:fill="auto"/>
            <w:vAlign w:val="center"/>
          </w:tcPr>
          <w:p w14:paraId="107137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AF4A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CAA11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13,000.00 </w:t>
            </w:r>
          </w:p>
        </w:tc>
        <w:tc>
          <w:tcPr>
            <w:tcW w:w="1133" w:type="dxa"/>
            <w:tcBorders>
              <w:top w:val="nil"/>
              <w:left w:val="nil"/>
              <w:bottom w:val="single" w:color="000000" w:sz="4" w:space="0"/>
              <w:right w:val="single" w:color="000000" w:sz="4" w:space="0"/>
            </w:tcBorders>
            <w:shd w:val="clear" w:color="auto" w:fill="auto"/>
            <w:vAlign w:val="center"/>
          </w:tcPr>
          <w:p w14:paraId="7BAA4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778A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4A372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7D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9C5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FA4B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F4EB5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83,944.40 </w:t>
            </w:r>
          </w:p>
        </w:tc>
        <w:tc>
          <w:tcPr>
            <w:tcW w:w="1234" w:type="dxa"/>
            <w:tcBorders>
              <w:top w:val="nil"/>
              <w:left w:val="nil"/>
              <w:bottom w:val="single" w:color="000000" w:sz="4" w:space="0"/>
              <w:right w:val="single" w:color="000000" w:sz="4" w:space="0"/>
            </w:tcBorders>
            <w:shd w:val="clear" w:color="auto" w:fill="auto"/>
            <w:vAlign w:val="center"/>
          </w:tcPr>
          <w:p w14:paraId="20689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C3DF0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674F0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38,520.00 </w:t>
            </w:r>
          </w:p>
        </w:tc>
        <w:tc>
          <w:tcPr>
            <w:tcW w:w="1133" w:type="dxa"/>
            <w:tcBorders>
              <w:top w:val="nil"/>
              <w:left w:val="nil"/>
              <w:bottom w:val="single" w:color="000000" w:sz="4" w:space="0"/>
              <w:right w:val="single" w:color="000000" w:sz="4" w:space="0"/>
            </w:tcBorders>
            <w:shd w:val="clear" w:color="auto" w:fill="auto"/>
            <w:vAlign w:val="center"/>
          </w:tcPr>
          <w:p w14:paraId="44A95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4191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C8FEE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6B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462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A26A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3B7E7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104,930.51 </w:t>
            </w:r>
          </w:p>
        </w:tc>
        <w:tc>
          <w:tcPr>
            <w:tcW w:w="1234" w:type="dxa"/>
            <w:tcBorders>
              <w:top w:val="nil"/>
              <w:left w:val="nil"/>
              <w:bottom w:val="single" w:color="000000" w:sz="4" w:space="0"/>
              <w:right w:val="single" w:color="000000" w:sz="4" w:space="0"/>
            </w:tcBorders>
            <w:shd w:val="clear" w:color="auto" w:fill="auto"/>
            <w:vAlign w:val="center"/>
          </w:tcPr>
          <w:p w14:paraId="5E65B6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CBF1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3A76B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759E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6D041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3092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FC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B7D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6BD9D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876DF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E449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AA90C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154DB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F9E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E60C9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7ED18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57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AA6C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61C6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4A5A8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3,147.92 </w:t>
            </w:r>
          </w:p>
        </w:tc>
        <w:tc>
          <w:tcPr>
            <w:tcW w:w="1234" w:type="dxa"/>
            <w:tcBorders>
              <w:top w:val="nil"/>
              <w:left w:val="nil"/>
              <w:bottom w:val="single" w:color="000000" w:sz="4" w:space="0"/>
              <w:right w:val="single" w:color="000000" w:sz="4" w:space="0"/>
            </w:tcBorders>
            <w:shd w:val="clear" w:color="auto" w:fill="auto"/>
            <w:vAlign w:val="center"/>
          </w:tcPr>
          <w:p w14:paraId="27FA1A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FD3D1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7288E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55,533.00 </w:t>
            </w:r>
          </w:p>
        </w:tc>
        <w:tc>
          <w:tcPr>
            <w:tcW w:w="1133" w:type="dxa"/>
            <w:tcBorders>
              <w:top w:val="nil"/>
              <w:left w:val="nil"/>
              <w:bottom w:val="single" w:color="000000" w:sz="4" w:space="0"/>
              <w:right w:val="single" w:color="000000" w:sz="4" w:space="0"/>
            </w:tcBorders>
            <w:shd w:val="clear" w:color="auto" w:fill="auto"/>
            <w:vAlign w:val="center"/>
          </w:tcPr>
          <w:p w14:paraId="223D25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E774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A941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65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A2C2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734A4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B152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136,836.60 </w:t>
            </w:r>
          </w:p>
        </w:tc>
        <w:tc>
          <w:tcPr>
            <w:tcW w:w="1234" w:type="dxa"/>
            <w:tcBorders>
              <w:top w:val="nil"/>
              <w:left w:val="nil"/>
              <w:bottom w:val="single" w:color="000000" w:sz="4" w:space="0"/>
              <w:right w:val="single" w:color="000000" w:sz="4" w:space="0"/>
            </w:tcBorders>
            <w:shd w:val="clear" w:color="auto" w:fill="auto"/>
            <w:vAlign w:val="center"/>
          </w:tcPr>
          <w:p w14:paraId="444FDC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544F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43743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8E1B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95FA4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FAC20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A9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2BB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55DB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8ED95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21,700.00 </w:t>
            </w:r>
          </w:p>
        </w:tc>
        <w:tc>
          <w:tcPr>
            <w:tcW w:w="1234" w:type="dxa"/>
            <w:tcBorders>
              <w:top w:val="nil"/>
              <w:left w:val="nil"/>
              <w:bottom w:val="single" w:color="000000" w:sz="4" w:space="0"/>
              <w:right w:val="single" w:color="000000" w:sz="4" w:space="0"/>
            </w:tcBorders>
            <w:shd w:val="clear" w:color="auto" w:fill="auto"/>
            <w:vAlign w:val="center"/>
          </w:tcPr>
          <w:p w14:paraId="7D6C4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493C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4A0E2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F7A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4F882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771D4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FB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6B5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91B4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A1994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C567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E099C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3F59C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554D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3233C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001E2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E7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91CF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A1CC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D1D1A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2,237,240.80 </w:t>
            </w:r>
          </w:p>
        </w:tc>
        <w:tc>
          <w:tcPr>
            <w:tcW w:w="1234" w:type="dxa"/>
            <w:tcBorders>
              <w:top w:val="nil"/>
              <w:left w:val="nil"/>
              <w:bottom w:val="single" w:color="000000" w:sz="4" w:space="0"/>
              <w:right w:val="single" w:color="000000" w:sz="4" w:space="0"/>
            </w:tcBorders>
            <w:shd w:val="clear" w:color="auto" w:fill="auto"/>
            <w:vAlign w:val="center"/>
          </w:tcPr>
          <w:p w14:paraId="02CE5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801D8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34334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9,904.00 </w:t>
            </w:r>
          </w:p>
        </w:tc>
        <w:tc>
          <w:tcPr>
            <w:tcW w:w="1133" w:type="dxa"/>
            <w:tcBorders>
              <w:top w:val="nil"/>
              <w:left w:val="nil"/>
              <w:bottom w:val="single" w:color="000000" w:sz="4" w:space="0"/>
              <w:right w:val="single" w:color="000000" w:sz="4" w:space="0"/>
            </w:tcBorders>
            <w:shd w:val="clear" w:color="auto" w:fill="auto"/>
            <w:vAlign w:val="center"/>
          </w:tcPr>
          <w:p w14:paraId="11E434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7954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32C40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C4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DB7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337B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81031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A80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255F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80CA2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7A4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95B36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5021C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BC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20B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F602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8A1C3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DF99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E85C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030D4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2,748.00 </w:t>
            </w:r>
          </w:p>
        </w:tc>
        <w:tc>
          <w:tcPr>
            <w:tcW w:w="1133" w:type="dxa"/>
            <w:tcBorders>
              <w:top w:val="nil"/>
              <w:left w:val="nil"/>
              <w:bottom w:val="single" w:color="000000" w:sz="4" w:space="0"/>
              <w:right w:val="single" w:color="000000" w:sz="4" w:space="0"/>
            </w:tcBorders>
            <w:shd w:val="clear" w:color="auto" w:fill="auto"/>
            <w:vAlign w:val="center"/>
          </w:tcPr>
          <w:p w14:paraId="42E2C6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00EF6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65833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B5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6EA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15EDB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0A4D5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C80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0105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5418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E8CB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9A2D7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4E62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FC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8B3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AF2E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64935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84,702.80 </w:t>
            </w:r>
          </w:p>
        </w:tc>
        <w:tc>
          <w:tcPr>
            <w:tcW w:w="1234" w:type="dxa"/>
            <w:tcBorders>
              <w:top w:val="nil"/>
              <w:left w:val="nil"/>
              <w:bottom w:val="single" w:color="000000" w:sz="4" w:space="0"/>
              <w:right w:val="single" w:color="000000" w:sz="4" w:space="0"/>
            </w:tcBorders>
            <w:shd w:val="clear" w:color="auto" w:fill="auto"/>
            <w:vAlign w:val="center"/>
          </w:tcPr>
          <w:p w14:paraId="52174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D6C81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3281F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848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3C427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86A8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27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F53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19CA5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5937E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1,904,538.00 </w:t>
            </w:r>
          </w:p>
        </w:tc>
        <w:tc>
          <w:tcPr>
            <w:tcW w:w="1234" w:type="dxa"/>
            <w:tcBorders>
              <w:top w:val="nil"/>
              <w:left w:val="nil"/>
              <w:bottom w:val="single" w:color="000000" w:sz="4" w:space="0"/>
              <w:right w:val="single" w:color="000000" w:sz="4" w:space="0"/>
            </w:tcBorders>
            <w:shd w:val="clear" w:color="auto" w:fill="auto"/>
            <w:vAlign w:val="center"/>
          </w:tcPr>
          <w:p w14:paraId="51EC4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851CD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8DB03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629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8CFEE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A5019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38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81B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87A5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D6EF6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086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2062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DD444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54,900.00 </w:t>
            </w:r>
          </w:p>
        </w:tc>
        <w:tc>
          <w:tcPr>
            <w:tcW w:w="1133" w:type="dxa"/>
            <w:tcBorders>
              <w:top w:val="nil"/>
              <w:left w:val="nil"/>
              <w:bottom w:val="single" w:color="000000" w:sz="4" w:space="0"/>
              <w:right w:val="single" w:color="000000" w:sz="4" w:space="0"/>
            </w:tcBorders>
            <w:shd w:val="clear" w:color="auto" w:fill="auto"/>
            <w:vAlign w:val="center"/>
          </w:tcPr>
          <w:p w14:paraId="189DB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F3325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47FA5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E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FED4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8AD8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4F67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248,000.00 </w:t>
            </w:r>
          </w:p>
        </w:tc>
        <w:tc>
          <w:tcPr>
            <w:tcW w:w="1234" w:type="dxa"/>
            <w:tcBorders>
              <w:top w:val="nil"/>
              <w:left w:val="nil"/>
              <w:bottom w:val="single" w:color="000000" w:sz="4" w:space="0"/>
              <w:right w:val="single" w:color="000000" w:sz="4" w:space="0"/>
            </w:tcBorders>
            <w:shd w:val="clear" w:color="auto" w:fill="auto"/>
            <w:vAlign w:val="center"/>
          </w:tcPr>
          <w:p w14:paraId="76423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E54C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A6DDA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15F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0F800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F29FA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91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5E2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53D2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F71AE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2C7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DE7CF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73D2C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14,338.10 </w:t>
            </w:r>
          </w:p>
        </w:tc>
        <w:tc>
          <w:tcPr>
            <w:tcW w:w="1133" w:type="dxa"/>
            <w:tcBorders>
              <w:top w:val="nil"/>
              <w:left w:val="nil"/>
              <w:bottom w:val="single" w:color="000000" w:sz="4" w:space="0"/>
              <w:right w:val="single" w:color="000000" w:sz="4" w:space="0"/>
            </w:tcBorders>
            <w:shd w:val="clear" w:color="auto" w:fill="auto"/>
            <w:vAlign w:val="center"/>
          </w:tcPr>
          <w:p w14:paraId="4F924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5350F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0D13C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29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6C32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630B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58E1F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351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3CF1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79AF1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1DA5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F559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48B4C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7F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B24B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34031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5DBE1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61C5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3F3E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0504E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19,965.83 </w:t>
            </w:r>
          </w:p>
        </w:tc>
        <w:tc>
          <w:tcPr>
            <w:tcW w:w="1133" w:type="dxa"/>
            <w:tcBorders>
              <w:top w:val="nil"/>
              <w:left w:val="nil"/>
              <w:bottom w:val="single" w:color="000000" w:sz="4" w:space="0"/>
              <w:right w:val="single" w:color="000000" w:sz="4" w:space="0"/>
            </w:tcBorders>
            <w:shd w:val="clear" w:color="auto" w:fill="auto"/>
            <w:vAlign w:val="center"/>
          </w:tcPr>
          <w:p w14:paraId="446D86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5E6B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C5AD4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ED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DABE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FE68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C654B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2EE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619C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0B221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122,468.75 </w:t>
            </w:r>
          </w:p>
        </w:tc>
        <w:tc>
          <w:tcPr>
            <w:tcW w:w="1133" w:type="dxa"/>
            <w:tcBorders>
              <w:top w:val="nil"/>
              <w:left w:val="nil"/>
              <w:bottom w:val="single" w:color="000000" w:sz="4" w:space="0"/>
              <w:right w:val="single" w:color="000000" w:sz="4" w:space="0"/>
            </w:tcBorders>
            <w:shd w:val="clear" w:color="auto" w:fill="auto"/>
            <w:vAlign w:val="center"/>
          </w:tcPr>
          <w:p w14:paraId="1432FF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B6D5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1DFE4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C8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E6F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B427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19DA6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B9FE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52A35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88BE7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12A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9C3CB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D1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DC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0DF0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5CFE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8368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3300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61F81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D5AC2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C587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7CE9F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E7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57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EC239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ADDD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2E79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9BC8B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F24B8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2DA26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6A7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A9F7D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8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3D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0EB9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8E782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35811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501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8A963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E0EC7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D4B6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4546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69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DAB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B098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5C1034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8D56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EAE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3EC8B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39B34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C1F9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B3FBB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6EC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79E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A652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1FA6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038C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601C1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ADBE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88A43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9C44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CE59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0E9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F56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A26E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20DD09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C5B7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372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5DDC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3787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02E4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1ED5F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EE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F16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2BE1F6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5AB92">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4,521,694.03 </w:t>
            </w:r>
          </w:p>
        </w:tc>
        <w:tc>
          <w:tcPr>
            <w:tcW w:w="12067" w:type="dxa"/>
            <w:gridSpan w:val="5"/>
            <w:tcBorders>
              <w:top w:val="nil"/>
              <w:left w:val="nil"/>
              <w:bottom w:val="single" w:color="000000" w:sz="4" w:space="0"/>
              <w:right w:val="single" w:color="000000" w:sz="4" w:space="0"/>
            </w:tcBorders>
            <w:shd w:val="clear" w:color="auto" w:fill="auto"/>
            <w:vAlign w:val="center"/>
          </w:tcPr>
          <w:p w14:paraId="59FB998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0BCF0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464,771.62 </w:t>
            </w:r>
          </w:p>
        </w:tc>
      </w:tr>
    </w:tbl>
    <w:p w14:paraId="5C3E348A">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A1E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F825F0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CA3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2D1255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石柱土家族自治县水利局本级</w:t>
            </w:r>
          </w:p>
        </w:tc>
        <w:tc>
          <w:tcPr>
            <w:tcW w:w="1156" w:type="dxa"/>
            <w:tcBorders>
              <w:top w:val="nil"/>
              <w:left w:val="nil"/>
              <w:bottom w:val="nil"/>
              <w:right w:val="nil"/>
            </w:tcBorders>
            <w:shd w:val="clear" w:color="auto" w:fill="auto"/>
            <w:vAlign w:val="bottom"/>
          </w:tcPr>
          <w:p w14:paraId="0C533E8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9B4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2FD480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41025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62A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E6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9838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62FE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A6D2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A861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7D5C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1C3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CB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E867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C3FA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CF58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7077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0F38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A636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80F3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9342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1A3B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2A1D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5AEB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22DF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141E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816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4F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9FD2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17D96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0B92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A674F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40D7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FFEE6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57584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3205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22F1E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F62B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094B2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2AA44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EBEA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8C4D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A0A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15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027D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D21FF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2003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F1653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6DFB0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F0024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4E47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C6189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DCA9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B0707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DE456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5FD39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B736C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A1029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070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AF1B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4968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24B9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9033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CDB1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E5C3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8A3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AA83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17C5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6F58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2257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DBFC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1C7C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B87C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6C8D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3F75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FC89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A37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EC59F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E9D75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AE584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0392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9DFD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31A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E028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237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666" w:type="dxa"/>
            <w:tcBorders>
              <w:top w:val="nil"/>
              <w:left w:val="nil"/>
              <w:bottom w:val="single" w:color="000000" w:sz="4" w:space="0"/>
              <w:right w:val="single" w:color="000000" w:sz="4" w:space="0"/>
            </w:tcBorders>
            <w:shd w:val="clear" w:color="auto" w:fill="auto"/>
            <w:vAlign w:val="center"/>
          </w:tcPr>
          <w:p w14:paraId="38A96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F0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750" w:type="dxa"/>
            <w:tcBorders>
              <w:top w:val="nil"/>
              <w:left w:val="nil"/>
              <w:bottom w:val="single" w:color="000000" w:sz="4" w:space="0"/>
              <w:right w:val="single" w:color="000000" w:sz="4" w:space="0"/>
            </w:tcBorders>
            <w:shd w:val="clear" w:color="auto" w:fill="auto"/>
            <w:vAlign w:val="center"/>
          </w:tcPr>
          <w:p w14:paraId="21FC3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700" w:type="dxa"/>
            <w:tcBorders>
              <w:top w:val="nil"/>
              <w:left w:val="nil"/>
              <w:bottom w:val="single" w:color="000000" w:sz="4" w:space="0"/>
              <w:right w:val="single" w:color="000000" w:sz="4" w:space="0"/>
            </w:tcBorders>
            <w:shd w:val="clear" w:color="auto" w:fill="auto"/>
            <w:vAlign w:val="center"/>
          </w:tcPr>
          <w:p w14:paraId="29AFC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BE4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583" w:type="dxa"/>
            <w:tcBorders>
              <w:top w:val="nil"/>
              <w:left w:val="nil"/>
              <w:bottom w:val="single" w:color="000000" w:sz="4" w:space="0"/>
              <w:right w:val="single" w:color="000000" w:sz="4" w:space="0"/>
            </w:tcBorders>
            <w:shd w:val="clear" w:color="auto" w:fill="auto"/>
            <w:vAlign w:val="center"/>
          </w:tcPr>
          <w:p w14:paraId="0C884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39F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5DC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A85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902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7E5B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07296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8D80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248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7B2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F8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666" w:type="dxa"/>
            <w:tcBorders>
              <w:top w:val="nil"/>
              <w:left w:val="nil"/>
              <w:bottom w:val="single" w:color="000000" w:sz="4" w:space="0"/>
              <w:right w:val="single" w:color="000000" w:sz="4" w:space="0"/>
            </w:tcBorders>
            <w:shd w:val="clear" w:color="auto" w:fill="auto"/>
            <w:vAlign w:val="center"/>
          </w:tcPr>
          <w:p w14:paraId="634A3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B66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750" w:type="dxa"/>
            <w:tcBorders>
              <w:top w:val="nil"/>
              <w:left w:val="nil"/>
              <w:bottom w:val="single" w:color="000000" w:sz="4" w:space="0"/>
              <w:right w:val="single" w:color="000000" w:sz="4" w:space="0"/>
            </w:tcBorders>
            <w:shd w:val="clear" w:color="auto" w:fill="auto"/>
            <w:vAlign w:val="center"/>
          </w:tcPr>
          <w:p w14:paraId="6F33F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700" w:type="dxa"/>
            <w:tcBorders>
              <w:top w:val="nil"/>
              <w:left w:val="nil"/>
              <w:bottom w:val="single" w:color="000000" w:sz="4" w:space="0"/>
              <w:right w:val="single" w:color="000000" w:sz="4" w:space="0"/>
            </w:tcBorders>
            <w:shd w:val="clear" w:color="auto" w:fill="auto"/>
            <w:vAlign w:val="center"/>
          </w:tcPr>
          <w:p w14:paraId="7378D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164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583" w:type="dxa"/>
            <w:tcBorders>
              <w:top w:val="nil"/>
              <w:left w:val="nil"/>
              <w:bottom w:val="single" w:color="000000" w:sz="4" w:space="0"/>
              <w:right w:val="single" w:color="000000" w:sz="4" w:space="0"/>
            </w:tcBorders>
            <w:shd w:val="clear" w:color="auto" w:fill="auto"/>
            <w:vAlign w:val="center"/>
          </w:tcPr>
          <w:p w14:paraId="436E1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839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BA9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EAA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F7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AA32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370D58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4F7BF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02B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10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D57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666" w:type="dxa"/>
            <w:tcBorders>
              <w:top w:val="nil"/>
              <w:left w:val="nil"/>
              <w:bottom w:val="single" w:color="000000" w:sz="4" w:space="0"/>
              <w:right w:val="single" w:color="000000" w:sz="4" w:space="0"/>
            </w:tcBorders>
            <w:shd w:val="clear" w:color="auto" w:fill="auto"/>
            <w:vAlign w:val="center"/>
          </w:tcPr>
          <w:p w14:paraId="48415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F6C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750" w:type="dxa"/>
            <w:tcBorders>
              <w:top w:val="nil"/>
              <w:left w:val="nil"/>
              <w:bottom w:val="single" w:color="000000" w:sz="4" w:space="0"/>
              <w:right w:val="single" w:color="000000" w:sz="4" w:space="0"/>
            </w:tcBorders>
            <w:shd w:val="clear" w:color="auto" w:fill="auto"/>
            <w:vAlign w:val="center"/>
          </w:tcPr>
          <w:p w14:paraId="79398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700" w:type="dxa"/>
            <w:tcBorders>
              <w:top w:val="nil"/>
              <w:left w:val="nil"/>
              <w:bottom w:val="single" w:color="000000" w:sz="4" w:space="0"/>
              <w:right w:val="single" w:color="000000" w:sz="4" w:space="0"/>
            </w:tcBorders>
            <w:shd w:val="clear" w:color="auto" w:fill="auto"/>
            <w:vAlign w:val="center"/>
          </w:tcPr>
          <w:p w14:paraId="1B2DA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812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583" w:type="dxa"/>
            <w:tcBorders>
              <w:top w:val="nil"/>
              <w:left w:val="nil"/>
              <w:bottom w:val="single" w:color="000000" w:sz="4" w:space="0"/>
              <w:right w:val="single" w:color="000000" w:sz="4" w:space="0"/>
            </w:tcBorders>
            <w:shd w:val="clear" w:color="auto" w:fill="auto"/>
            <w:vAlign w:val="center"/>
          </w:tcPr>
          <w:p w14:paraId="78F1B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21B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F5C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835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2D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3AD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2120801</w:t>
            </w:r>
          </w:p>
        </w:tc>
        <w:tc>
          <w:tcPr>
            <w:tcW w:w="1816" w:type="dxa"/>
            <w:tcBorders>
              <w:top w:val="nil"/>
              <w:left w:val="nil"/>
              <w:bottom w:val="single" w:color="000000" w:sz="4" w:space="0"/>
              <w:right w:val="single" w:color="000000" w:sz="4" w:space="0"/>
            </w:tcBorders>
            <w:shd w:val="clear" w:color="auto" w:fill="auto"/>
            <w:vAlign w:val="center"/>
          </w:tcPr>
          <w:p w14:paraId="162808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征地和拆迁补偿支出</w:t>
            </w:r>
          </w:p>
        </w:tc>
        <w:tc>
          <w:tcPr>
            <w:tcW w:w="1528" w:type="dxa"/>
            <w:tcBorders>
              <w:top w:val="nil"/>
              <w:left w:val="nil"/>
              <w:bottom w:val="single" w:color="000000" w:sz="4" w:space="0"/>
              <w:right w:val="single" w:color="000000" w:sz="4" w:space="0"/>
            </w:tcBorders>
            <w:shd w:val="clear" w:color="auto" w:fill="auto"/>
            <w:vAlign w:val="center"/>
          </w:tcPr>
          <w:p w14:paraId="54BD7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1F8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29C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548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666" w:type="dxa"/>
            <w:tcBorders>
              <w:top w:val="nil"/>
              <w:left w:val="nil"/>
              <w:bottom w:val="single" w:color="000000" w:sz="4" w:space="0"/>
              <w:right w:val="single" w:color="000000" w:sz="4" w:space="0"/>
            </w:tcBorders>
            <w:shd w:val="clear" w:color="auto" w:fill="auto"/>
            <w:vAlign w:val="center"/>
          </w:tcPr>
          <w:p w14:paraId="2EB13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B64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750" w:type="dxa"/>
            <w:tcBorders>
              <w:top w:val="nil"/>
              <w:left w:val="nil"/>
              <w:bottom w:val="single" w:color="000000" w:sz="4" w:space="0"/>
              <w:right w:val="single" w:color="000000" w:sz="4" w:space="0"/>
            </w:tcBorders>
            <w:shd w:val="clear" w:color="auto" w:fill="auto"/>
            <w:vAlign w:val="center"/>
          </w:tcPr>
          <w:p w14:paraId="66876D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700" w:type="dxa"/>
            <w:tcBorders>
              <w:top w:val="nil"/>
              <w:left w:val="nil"/>
              <w:bottom w:val="single" w:color="000000" w:sz="4" w:space="0"/>
              <w:right w:val="single" w:color="000000" w:sz="4" w:space="0"/>
            </w:tcBorders>
            <w:shd w:val="clear" w:color="auto" w:fill="auto"/>
            <w:vAlign w:val="center"/>
          </w:tcPr>
          <w:p w14:paraId="4B633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E39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583" w:type="dxa"/>
            <w:tcBorders>
              <w:top w:val="nil"/>
              <w:left w:val="nil"/>
              <w:bottom w:val="single" w:color="000000" w:sz="4" w:space="0"/>
              <w:right w:val="single" w:color="000000" w:sz="4" w:space="0"/>
            </w:tcBorders>
            <w:shd w:val="clear" w:color="auto" w:fill="auto"/>
            <w:vAlign w:val="center"/>
          </w:tcPr>
          <w:p w14:paraId="60DDE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F85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BC9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56F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40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CBF8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21211</w:t>
            </w:r>
          </w:p>
        </w:tc>
        <w:tc>
          <w:tcPr>
            <w:tcW w:w="1816" w:type="dxa"/>
            <w:tcBorders>
              <w:top w:val="nil"/>
              <w:left w:val="nil"/>
              <w:bottom w:val="single" w:color="000000" w:sz="4" w:space="0"/>
              <w:right w:val="single" w:color="000000" w:sz="4" w:space="0"/>
            </w:tcBorders>
            <w:shd w:val="clear" w:color="auto" w:fill="auto"/>
            <w:vAlign w:val="center"/>
          </w:tcPr>
          <w:p w14:paraId="62727F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农业土地开发资金安排的支出</w:t>
            </w:r>
          </w:p>
        </w:tc>
        <w:tc>
          <w:tcPr>
            <w:tcW w:w="1528" w:type="dxa"/>
            <w:tcBorders>
              <w:top w:val="nil"/>
              <w:left w:val="nil"/>
              <w:bottom w:val="single" w:color="000000" w:sz="4" w:space="0"/>
              <w:right w:val="single" w:color="000000" w:sz="4" w:space="0"/>
            </w:tcBorders>
            <w:shd w:val="clear" w:color="auto" w:fill="auto"/>
            <w:vAlign w:val="center"/>
          </w:tcPr>
          <w:p w14:paraId="1AF54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ABF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9D3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F2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666" w:type="dxa"/>
            <w:tcBorders>
              <w:top w:val="nil"/>
              <w:left w:val="nil"/>
              <w:bottom w:val="single" w:color="000000" w:sz="4" w:space="0"/>
              <w:right w:val="single" w:color="000000" w:sz="4" w:space="0"/>
            </w:tcBorders>
            <w:shd w:val="clear" w:color="auto" w:fill="auto"/>
            <w:vAlign w:val="center"/>
          </w:tcPr>
          <w:p w14:paraId="788E1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95A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750" w:type="dxa"/>
            <w:tcBorders>
              <w:top w:val="nil"/>
              <w:left w:val="nil"/>
              <w:bottom w:val="single" w:color="000000" w:sz="4" w:space="0"/>
              <w:right w:val="single" w:color="000000" w:sz="4" w:space="0"/>
            </w:tcBorders>
            <w:shd w:val="clear" w:color="auto" w:fill="auto"/>
            <w:vAlign w:val="center"/>
          </w:tcPr>
          <w:p w14:paraId="4D642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700" w:type="dxa"/>
            <w:tcBorders>
              <w:top w:val="nil"/>
              <w:left w:val="nil"/>
              <w:bottom w:val="single" w:color="000000" w:sz="4" w:space="0"/>
              <w:right w:val="single" w:color="000000" w:sz="4" w:space="0"/>
            </w:tcBorders>
            <w:shd w:val="clear" w:color="auto" w:fill="auto"/>
            <w:vAlign w:val="center"/>
          </w:tcPr>
          <w:p w14:paraId="3AEBD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FD4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583" w:type="dxa"/>
            <w:tcBorders>
              <w:top w:val="nil"/>
              <w:left w:val="nil"/>
              <w:bottom w:val="single" w:color="000000" w:sz="4" w:space="0"/>
              <w:right w:val="single" w:color="000000" w:sz="4" w:space="0"/>
            </w:tcBorders>
            <w:shd w:val="clear" w:color="auto" w:fill="auto"/>
            <w:vAlign w:val="center"/>
          </w:tcPr>
          <w:p w14:paraId="40CFC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C83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C45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77F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6C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029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D90B4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54520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446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52A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A3F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666" w:type="dxa"/>
            <w:tcBorders>
              <w:top w:val="nil"/>
              <w:left w:val="nil"/>
              <w:bottom w:val="single" w:color="000000" w:sz="4" w:space="0"/>
              <w:right w:val="single" w:color="000000" w:sz="4" w:space="0"/>
            </w:tcBorders>
            <w:shd w:val="clear" w:color="auto" w:fill="auto"/>
            <w:vAlign w:val="center"/>
          </w:tcPr>
          <w:p w14:paraId="6BFC4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5C4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750" w:type="dxa"/>
            <w:tcBorders>
              <w:top w:val="nil"/>
              <w:left w:val="nil"/>
              <w:bottom w:val="single" w:color="000000" w:sz="4" w:space="0"/>
              <w:right w:val="single" w:color="000000" w:sz="4" w:space="0"/>
            </w:tcBorders>
            <w:shd w:val="clear" w:color="auto" w:fill="auto"/>
            <w:vAlign w:val="center"/>
          </w:tcPr>
          <w:p w14:paraId="6A774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700" w:type="dxa"/>
            <w:tcBorders>
              <w:top w:val="nil"/>
              <w:left w:val="nil"/>
              <w:bottom w:val="single" w:color="000000" w:sz="4" w:space="0"/>
              <w:right w:val="single" w:color="000000" w:sz="4" w:space="0"/>
            </w:tcBorders>
            <w:shd w:val="clear" w:color="auto" w:fill="auto"/>
            <w:vAlign w:val="center"/>
          </w:tcPr>
          <w:p w14:paraId="25933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CF4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583" w:type="dxa"/>
            <w:tcBorders>
              <w:top w:val="nil"/>
              <w:left w:val="nil"/>
              <w:bottom w:val="single" w:color="000000" w:sz="4" w:space="0"/>
              <w:right w:val="single" w:color="000000" w:sz="4" w:space="0"/>
            </w:tcBorders>
            <w:shd w:val="clear" w:color="auto" w:fill="auto"/>
            <w:vAlign w:val="center"/>
          </w:tcPr>
          <w:p w14:paraId="69C41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C34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38A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9E1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D9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7682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21366</w:t>
            </w:r>
          </w:p>
        </w:tc>
        <w:tc>
          <w:tcPr>
            <w:tcW w:w="1816" w:type="dxa"/>
            <w:tcBorders>
              <w:top w:val="nil"/>
              <w:left w:val="nil"/>
              <w:bottom w:val="single" w:color="000000" w:sz="4" w:space="0"/>
              <w:right w:val="single" w:color="000000" w:sz="4" w:space="0"/>
            </w:tcBorders>
            <w:shd w:val="clear" w:color="auto" w:fill="auto"/>
            <w:vAlign w:val="center"/>
          </w:tcPr>
          <w:p w14:paraId="421DCB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大中型水库库区基金安排的支出</w:t>
            </w:r>
          </w:p>
        </w:tc>
        <w:tc>
          <w:tcPr>
            <w:tcW w:w="1528" w:type="dxa"/>
            <w:tcBorders>
              <w:top w:val="nil"/>
              <w:left w:val="nil"/>
              <w:bottom w:val="single" w:color="000000" w:sz="4" w:space="0"/>
              <w:right w:val="single" w:color="000000" w:sz="4" w:space="0"/>
            </w:tcBorders>
            <w:shd w:val="clear" w:color="auto" w:fill="auto"/>
            <w:vAlign w:val="center"/>
          </w:tcPr>
          <w:p w14:paraId="67660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812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050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D7B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666" w:type="dxa"/>
            <w:tcBorders>
              <w:top w:val="nil"/>
              <w:left w:val="nil"/>
              <w:bottom w:val="single" w:color="000000" w:sz="4" w:space="0"/>
              <w:right w:val="single" w:color="000000" w:sz="4" w:space="0"/>
            </w:tcBorders>
            <w:shd w:val="clear" w:color="auto" w:fill="auto"/>
            <w:vAlign w:val="center"/>
          </w:tcPr>
          <w:p w14:paraId="434A2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945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750" w:type="dxa"/>
            <w:tcBorders>
              <w:top w:val="nil"/>
              <w:left w:val="nil"/>
              <w:bottom w:val="single" w:color="000000" w:sz="4" w:space="0"/>
              <w:right w:val="single" w:color="000000" w:sz="4" w:space="0"/>
            </w:tcBorders>
            <w:shd w:val="clear" w:color="auto" w:fill="auto"/>
            <w:vAlign w:val="center"/>
          </w:tcPr>
          <w:p w14:paraId="49370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700" w:type="dxa"/>
            <w:tcBorders>
              <w:top w:val="nil"/>
              <w:left w:val="nil"/>
              <w:bottom w:val="single" w:color="000000" w:sz="4" w:space="0"/>
              <w:right w:val="single" w:color="000000" w:sz="4" w:space="0"/>
            </w:tcBorders>
            <w:shd w:val="clear" w:color="auto" w:fill="auto"/>
            <w:vAlign w:val="center"/>
          </w:tcPr>
          <w:p w14:paraId="73766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9B9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583" w:type="dxa"/>
            <w:tcBorders>
              <w:top w:val="nil"/>
              <w:left w:val="nil"/>
              <w:bottom w:val="single" w:color="000000" w:sz="4" w:space="0"/>
              <w:right w:val="single" w:color="000000" w:sz="4" w:space="0"/>
            </w:tcBorders>
            <w:shd w:val="clear" w:color="auto" w:fill="auto"/>
            <w:vAlign w:val="center"/>
          </w:tcPr>
          <w:p w14:paraId="38FE2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E35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1FC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A9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68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B001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2136601</w:t>
            </w:r>
          </w:p>
        </w:tc>
        <w:tc>
          <w:tcPr>
            <w:tcW w:w="1816" w:type="dxa"/>
            <w:tcBorders>
              <w:top w:val="nil"/>
              <w:left w:val="nil"/>
              <w:bottom w:val="single" w:color="000000" w:sz="4" w:space="0"/>
              <w:right w:val="single" w:color="000000" w:sz="4" w:space="0"/>
            </w:tcBorders>
            <w:shd w:val="clear" w:color="auto" w:fill="auto"/>
            <w:vAlign w:val="center"/>
          </w:tcPr>
          <w:p w14:paraId="4487AC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091C7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A16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1AD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C17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666" w:type="dxa"/>
            <w:tcBorders>
              <w:top w:val="nil"/>
              <w:left w:val="nil"/>
              <w:bottom w:val="single" w:color="000000" w:sz="4" w:space="0"/>
              <w:right w:val="single" w:color="000000" w:sz="4" w:space="0"/>
            </w:tcBorders>
            <w:shd w:val="clear" w:color="auto" w:fill="auto"/>
            <w:vAlign w:val="center"/>
          </w:tcPr>
          <w:p w14:paraId="0AB7C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306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750" w:type="dxa"/>
            <w:tcBorders>
              <w:top w:val="nil"/>
              <w:left w:val="nil"/>
              <w:bottom w:val="single" w:color="000000" w:sz="4" w:space="0"/>
              <w:right w:val="single" w:color="000000" w:sz="4" w:space="0"/>
            </w:tcBorders>
            <w:shd w:val="clear" w:color="auto" w:fill="auto"/>
            <w:vAlign w:val="center"/>
          </w:tcPr>
          <w:p w14:paraId="53146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700" w:type="dxa"/>
            <w:tcBorders>
              <w:top w:val="nil"/>
              <w:left w:val="nil"/>
              <w:bottom w:val="single" w:color="000000" w:sz="4" w:space="0"/>
              <w:right w:val="single" w:color="000000" w:sz="4" w:space="0"/>
            </w:tcBorders>
            <w:shd w:val="clear" w:color="auto" w:fill="auto"/>
            <w:vAlign w:val="center"/>
          </w:tcPr>
          <w:p w14:paraId="2E829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BB6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583" w:type="dxa"/>
            <w:tcBorders>
              <w:top w:val="nil"/>
              <w:left w:val="nil"/>
              <w:bottom w:val="single" w:color="000000" w:sz="4" w:space="0"/>
              <w:right w:val="single" w:color="000000" w:sz="4" w:space="0"/>
            </w:tcBorders>
            <w:shd w:val="clear" w:color="auto" w:fill="auto"/>
            <w:vAlign w:val="center"/>
          </w:tcPr>
          <w:p w14:paraId="4E5FF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A51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9F4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E4B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0F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434F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21367</w:t>
            </w:r>
          </w:p>
        </w:tc>
        <w:tc>
          <w:tcPr>
            <w:tcW w:w="1816" w:type="dxa"/>
            <w:tcBorders>
              <w:top w:val="nil"/>
              <w:left w:val="nil"/>
              <w:bottom w:val="single" w:color="000000" w:sz="4" w:space="0"/>
              <w:right w:val="single" w:color="000000" w:sz="4" w:space="0"/>
            </w:tcBorders>
            <w:shd w:val="clear" w:color="auto" w:fill="auto"/>
            <w:vAlign w:val="center"/>
          </w:tcPr>
          <w:p w14:paraId="19E1DA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三峡水库库区基金支出</w:t>
            </w:r>
          </w:p>
        </w:tc>
        <w:tc>
          <w:tcPr>
            <w:tcW w:w="1528" w:type="dxa"/>
            <w:tcBorders>
              <w:top w:val="nil"/>
              <w:left w:val="nil"/>
              <w:bottom w:val="single" w:color="000000" w:sz="4" w:space="0"/>
              <w:right w:val="single" w:color="000000" w:sz="4" w:space="0"/>
            </w:tcBorders>
            <w:shd w:val="clear" w:color="auto" w:fill="auto"/>
            <w:vAlign w:val="center"/>
          </w:tcPr>
          <w:p w14:paraId="78D9C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7AB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78B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AA2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666" w:type="dxa"/>
            <w:tcBorders>
              <w:top w:val="nil"/>
              <w:left w:val="nil"/>
              <w:bottom w:val="single" w:color="000000" w:sz="4" w:space="0"/>
              <w:right w:val="single" w:color="000000" w:sz="4" w:space="0"/>
            </w:tcBorders>
            <w:shd w:val="clear" w:color="auto" w:fill="auto"/>
            <w:vAlign w:val="center"/>
          </w:tcPr>
          <w:p w14:paraId="33B34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24A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750" w:type="dxa"/>
            <w:tcBorders>
              <w:top w:val="nil"/>
              <w:left w:val="nil"/>
              <w:bottom w:val="single" w:color="000000" w:sz="4" w:space="0"/>
              <w:right w:val="single" w:color="000000" w:sz="4" w:space="0"/>
            </w:tcBorders>
            <w:shd w:val="clear" w:color="auto" w:fill="auto"/>
            <w:vAlign w:val="center"/>
          </w:tcPr>
          <w:p w14:paraId="4C740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700" w:type="dxa"/>
            <w:tcBorders>
              <w:top w:val="nil"/>
              <w:left w:val="nil"/>
              <w:bottom w:val="single" w:color="000000" w:sz="4" w:space="0"/>
              <w:right w:val="single" w:color="000000" w:sz="4" w:space="0"/>
            </w:tcBorders>
            <w:shd w:val="clear" w:color="auto" w:fill="auto"/>
            <w:vAlign w:val="center"/>
          </w:tcPr>
          <w:p w14:paraId="040DB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3C2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583" w:type="dxa"/>
            <w:tcBorders>
              <w:top w:val="nil"/>
              <w:left w:val="nil"/>
              <w:bottom w:val="single" w:color="000000" w:sz="4" w:space="0"/>
              <w:right w:val="single" w:color="000000" w:sz="4" w:space="0"/>
            </w:tcBorders>
            <w:shd w:val="clear" w:color="auto" w:fill="auto"/>
            <w:vAlign w:val="center"/>
          </w:tcPr>
          <w:p w14:paraId="63D08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2FE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D10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8E6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28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0746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2136701</w:t>
            </w:r>
          </w:p>
        </w:tc>
        <w:tc>
          <w:tcPr>
            <w:tcW w:w="1816" w:type="dxa"/>
            <w:tcBorders>
              <w:top w:val="nil"/>
              <w:left w:val="nil"/>
              <w:bottom w:val="single" w:color="000000" w:sz="4" w:space="0"/>
              <w:right w:val="single" w:color="000000" w:sz="4" w:space="0"/>
            </w:tcBorders>
            <w:shd w:val="clear" w:color="auto" w:fill="auto"/>
            <w:vAlign w:val="center"/>
          </w:tcPr>
          <w:p w14:paraId="64D3A0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70080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C84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194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7BF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666" w:type="dxa"/>
            <w:tcBorders>
              <w:top w:val="nil"/>
              <w:left w:val="nil"/>
              <w:bottom w:val="single" w:color="000000" w:sz="4" w:space="0"/>
              <w:right w:val="single" w:color="000000" w:sz="4" w:space="0"/>
            </w:tcBorders>
            <w:shd w:val="clear" w:color="auto" w:fill="auto"/>
            <w:vAlign w:val="center"/>
          </w:tcPr>
          <w:p w14:paraId="6D267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87E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750" w:type="dxa"/>
            <w:tcBorders>
              <w:top w:val="nil"/>
              <w:left w:val="nil"/>
              <w:bottom w:val="single" w:color="000000" w:sz="4" w:space="0"/>
              <w:right w:val="single" w:color="000000" w:sz="4" w:space="0"/>
            </w:tcBorders>
            <w:shd w:val="clear" w:color="auto" w:fill="auto"/>
            <w:vAlign w:val="center"/>
          </w:tcPr>
          <w:p w14:paraId="5782C4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700" w:type="dxa"/>
            <w:tcBorders>
              <w:top w:val="nil"/>
              <w:left w:val="nil"/>
              <w:bottom w:val="single" w:color="000000" w:sz="4" w:space="0"/>
              <w:right w:val="single" w:color="000000" w:sz="4" w:space="0"/>
            </w:tcBorders>
            <w:shd w:val="clear" w:color="auto" w:fill="auto"/>
            <w:vAlign w:val="center"/>
          </w:tcPr>
          <w:p w14:paraId="6456F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503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583" w:type="dxa"/>
            <w:tcBorders>
              <w:top w:val="nil"/>
              <w:left w:val="nil"/>
              <w:bottom w:val="single" w:color="000000" w:sz="4" w:space="0"/>
              <w:right w:val="single" w:color="000000" w:sz="4" w:space="0"/>
            </w:tcBorders>
            <w:shd w:val="clear" w:color="auto" w:fill="auto"/>
            <w:vAlign w:val="center"/>
          </w:tcPr>
          <w:p w14:paraId="011B9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21E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A3C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1B3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2D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41D4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2136702</w:t>
            </w:r>
          </w:p>
        </w:tc>
        <w:tc>
          <w:tcPr>
            <w:tcW w:w="1816" w:type="dxa"/>
            <w:tcBorders>
              <w:top w:val="nil"/>
              <w:left w:val="nil"/>
              <w:bottom w:val="single" w:color="000000" w:sz="4" w:space="0"/>
              <w:right w:val="single" w:color="000000" w:sz="4" w:space="0"/>
            </w:tcBorders>
            <w:shd w:val="clear" w:color="auto" w:fill="auto"/>
            <w:vAlign w:val="center"/>
          </w:tcPr>
          <w:p w14:paraId="6ABDBD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解决移民遗留问题</w:t>
            </w:r>
          </w:p>
        </w:tc>
        <w:tc>
          <w:tcPr>
            <w:tcW w:w="1528" w:type="dxa"/>
            <w:tcBorders>
              <w:top w:val="nil"/>
              <w:left w:val="nil"/>
              <w:bottom w:val="single" w:color="000000" w:sz="4" w:space="0"/>
              <w:right w:val="single" w:color="000000" w:sz="4" w:space="0"/>
            </w:tcBorders>
            <w:shd w:val="clear" w:color="auto" w:fill="auto"/>
            <w:vAlign w:val="center"/>
          </w:tcPr>
          <w:p w14:paraId="1B4BF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D9E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A72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875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666" w:type="dxa"/>
            <w:tcBorders>
              <w:top w:val="nil"/>
              <w:left w:val="nil"/>
              <w:bottom w:val="single" w:color="000000" w:sz="4" w:space="0"/>
              <w:right w:val="single" w:color="000000" w:sz="4" w:space="0"/>
            </w:tcBorders>
            <w:shd w:val="clear" w:color="auto" w:fill="auto"/>
            <w:vAlign w:val="center"/>
          </w:tcPr>
          <w:p w14:paraId="518D3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387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750" w:type="dxa"/>
            <w:tcBorders>
              <w:top w:val="nil"/>
              <w:left w:val="nil"/>
              <w:bottom w:val="single" w:color="000000" w:sz="4" w:space="0"/>
              <w:right w:val="single" w:color="000000" w:sz="4" w:space="0"/>
            </w:tcBorders>
            <w:shd w:val="clear" w:color="auto" w:fill="auto"/>
            <w:vAlign w:val="center"/>
          </w:tcPr>
          <w:p w14:paraId="5E925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700" w:type="dxa"/>
            <w:tcBorders>
              <w:top w:val="nil"/>
              <w:left w:val="nil"/>
              <w:bottom w:val="single" w:color="000000" w:sz="4" w:space="0"/>
              <w:right w:val="single" w:color="000000" w:sz="4" w:space="0"/>
            </w:tcBorders>
            <w:shd w:val="clear" w:color="auto" w:fill="auto"/>
            <w:vAlign w:val="center"/>
          </w:tcPr>
          <w:p w14:paraId="4E731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EE9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583" w:type="dxa"/>
            <w:tcBorders>
              <w:top w:val="nil"/>
              <w:left w:val="nil"/>
              <w:bottom w:val="single" w:color="000000" w:sz="4" w:space="0"/>
              <w:right w:val="single" w:color="000000" w:sz="4" w:space="0"/>
            </w:tcBorders>
            <w:shd w:val="clear" w:color="auto" w:fill="auto"/>
            <w:vAlign w:val="center"/>
          </w:tcPr>
          <w:p w14:paraId="29029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E50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7B3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8F9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78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6A95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14:paraId="76DDE9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14:paraId="763FE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B2B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58C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10E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666" w:type="dxa"/>
            <w:tcBorders>
              <w:top w:val="nil"/>
              <w:left w:val="nil"/>
              <w:bottom w:val="single" w:color="000000" w:sz="4" w:space="0"/>
              <w:right w:val="single" w:color="000000" w:sz="4" w:space="0"/>
            </w:tcBorders>
            <w:shd w:val="clear" w:color="auto" w:fill="auto"/>
            <w:vAlign w:val="center"/>
          </w:tcPr>
          <w:p w14:paraId="45483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B3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750" w:type="dxa"/>
            <w:tcBorders>
              <w:top w:val="nil"/>
              <w:left w:val="nil"/>
              <w:bottom w:val="single" w:color="000000" w:sz="4" w:space="0"/>
              <w:right w:val="single" w:color="000000" w:sz="4" w:space="0"/>
            </w:tcBorders>
            <w:shd w:val="clear" w:color="auto" w:fill="auto"/>
            <w:vAlign w:val="center"/>
          </w:tcPr>
          <w:p w14:paraId="07C2A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700" w:type="dxa"/>
            <w:tcBorders>
              <w:top w:val="nil"/>
              <w:left w:val="nil"/>
              <w:bottom w:val="single" w:color="000000" w:sz="4" w:space="0"/>
              <w:right w:val="single" w:color="000000" w:sz="4" w:space="0"/>
            </w:tcBorders>
            <w:shd w:val="clear" w:color="auto" w:fill="auto"/>
            <w:vAlign w:val="center"/>
          </w:tcPr>
          <w:p w14:paraId="50224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C87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583" w:type="dxa"/>
            <w:tcBorders>
              <w:top w:val="nil"/>
              <w:left w:val="nil"/>
              <w:bottom w:val="single" w:color="000000" w:sz="4" w:space="0"/>
              <w:right w:val="single" w:color="000000" w:sz="4" w:space="0"/>
            </w:tcBorders>
            <w:shd w:val="clear" w:color="auto" w:fill="auto"/>
            <w:vAlign w:val="center"/>
          </w:tcPr>
          <w:p w14:paraId="6578E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DC5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BEC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BE9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66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AB8B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14:paraId="081D19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14:paraId="15AC3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484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23C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E7D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666" w:type="dxa"/>
            <w:tcBorders>
              <w:top w:val="nil"/>
              <w:left w:val="nil"/>
              <w:bottom w:val="single" w:color="000000" w:sz="4" w:space="0"/>
              <w:right w:val="single" w:color="000000" w:sz="4" w:space="0"/>
            </w:tcBorders>
            <w:shd w:val="clear" w:color="auto" w:fill="auto"/>
            <w:vAlign w:val="center"/>
          </w:tcPr>
          <w:p w14:paraId="717DF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5CE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750" w:type="dxa"/>
            <w:tcBorders>
              <w:top w:val="nil"/>
              <w:left w:val="nil"/>
              <w:bottom w:val="single" w:color="000000" w:sz="4" w:space="0"/>
              <w:right w:val="single" w:color="000000" w:sz="4" w:space="0"/>
            </w:tcBorders>
            <w:shd w:val="clear" w:color="auto" w:fill="auto"/>
            <w:vAlign w:val="center"/>
          </w:tcPr>
          <w:p w14:paraId="63780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700" w:type="dxa"/>
            <w:tcBorders>
              <w:top w:val="nil"/>
              <w:left w:val="nil"/>
              <w:bottom w:val="single" w:color="000000" w:sz="4" w:space="0"/>
              <w:right w:val="single" w:color="000000" w:sz="4" w:space="0"/>
            </w:tcBorders>
            <w:shd w:val="clear" w:color="auto" w:fill="auto"/>
            <w:vAlign w:val="center"/>
          </w:tcPr>
          <w:p w14:paraId="357C5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146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583" w:type="dxa"/>
            <w:tcBorders>
              <w:top w:val="nil"/>
              <w:left w:val="nil"/>
              <w:bottom w:val="single" w:color="000000" w:sz="4" w:space="0"/>
              <w:right w:val="single" w:color="000000" w:sz="4" w:space="0"/>
            </w:tcBorders>
            <w:shd w:val="clear" w:color="auto" w:fill="auto"/>
            <w:vAlign w:val="center"/>
          </w:tcPr>
          <w:p w14:paraId="1E2B3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A4B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A3B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565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0B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5FE8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21372</w:t>
            </w:r>
          </w:p>
        </w:tc>
        <w:tc>
          <w:tcPr>
            <w:tcW w:w="1816" w:type="dxa"/>
            <w:tcBorders>
              <w:top w:val="nil"/>
              <w:left w:val="nil"/>
              <w:bottom w:val="single" w:color="000000" w:sz="4" w:space="0"/>
              <w:right w:val="single" w:color="000000" w:sz="4" w:space="0"/>
            </w:tcBorders>
            <w:shd w:val="clear" w:color="auto" w:fill="auto"/>
            <w:vAlign w:val="center"/>
          </w:tcPr>
          <w:p w14:paraId="63239A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大中型水库移民后期扶持基金支出</w:t>
            </w:r>
          </w:p>
        </w:tc>
        <w:tc>
          <w:tcPr>
            <w:tcW w:w="1528" w:type="dxa"/>
            <w:tcBorders>
              <w:top w:val="nil"/>
              <w:left w:val="nil"/>
              <w:bottom w:val="single" w:color="000000" w:sz="4" w:space="0"/>
              <w:right w:val="single" w:color="000000" w:sz="4" w:space="0"/>
            </w:tcBorders>
            <w:shd w:val="clear" w:color="auto" w:fill="auto"/>
            <w:vAlign w:val="center"/>
          </w:tcPr>
          <w:p w14:paraId="0C89A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E8D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29E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3D1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666" w:type="dxa"/>
            <w:tcBorders>
              <w:top w:val="nil"/>
              <w:left w:val="nil"/>
              <w:bottom w:val="single" w:color="000000" w:sz="4" w:space="0"/>
              <w:right w:val="single" w:color="000000" w:sz="4" w:space="0"/>
            </w:tcBorders>
            <w:shd w:val="clear" w:color="auto" w:fill="auto"/>
            <w:vAlign w:val="center"/>
          </w:tcPr>
          <w:p w14:paraId="67D74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AD1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750" w:type="dxa"/>
            <w:tcBorders>
              <w:top w:val="nil"/>
              <w:left w:val="nil"/>
              <w:bottom w:val="single" w:color="000000" w:sz="4" w:space="0"/>
              <w:right w:val="single" w:color="000000" w:sz="4" w:space="0"/>
            </w:tcBorders>
            <w:shd w:val="clear" w:color="auto" w:fill="auto"/>
            <w:vAlign w:val="center"/>
          </w:tcPr>
          <w:p w14:paraId="05D5E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700" w:type="dxa"/>
            <w:tcBorders>
              <w:top w:val="nil"/>
              <w:left w:val="nil"/>
              <w:bottom w:val="single" w:color="000000" w:sz="4" w:space="0"/>
              <w:right w:val="single" w:color="000000" w:sz="4" w:space="0"/>
            </w:tcBorders>
            <w:shd w:val="clear" w:color="auto" w:fill="auto"/>
            <w:vAlign w:val="center"/>
          </w:tcPr>
          <w:p w14:paraId="7FBDE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B06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583" w:type="dxa"/>
            <w:tcBorders>
              <w:top w:val="nil"/>
              <w:left w:val="nil"/>
              <w:bottom w:val="single" w:color="000000" w:sz="4" w:space="0"/>
              <w:right w:val="single" w:color="000000" w:sz="4" w:space="0"/>
            </w:tcBorders>
            <w:shd w:val="clear" w:color="auto" w:fill="auto"/>
            <w:vAlign w:val="center"/>
          </w:tcPr>
          <w:p w14:paraId="12A5A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444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AB8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6AD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C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9042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2137201</w:t>
            </w:r>
          </w:p>
        </w:tc>
        <w:tc>
          <w:tcPr>
            <w:tcW w:w="1816" w:type="dxa"/>
            <w:tcBorders>
              <w:top w:val="nil"/>
              <w:left w:val="nil"/>
              <w:bottom w:val="single" w:color="000000" w:sz="4" w:space="0"/>
              <w:right w:val="single" w:color="000000" w:sz="4" w:space="0"/>
            </w:tcBorders>
            <w:shd w:val="clear" w:color="auto" w:fill="auto"/>
            <w:vAlign w:val="center"/>
          </w:tcPr>
          <w:p w14:paraId="6FE120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移民补助</w:t>
            </w:r>
          </w:p>
        </w:tc>
        <w:tc>
          <w:tcPr>
            <w:tcW w:w="1528" w:type="dxa"/>
            <w:tcBorders>
              <w:top w:val="nil"/>
              <w:left w:val="nil"/>
              <w:bottom w:val="single" w:color="000000" w:sz="4" w:space="0"/>
              <w:right w:val="single" w:color="000000" w:sz="4" w:space="0"/>
            </w:tcBorders>
            <w:shd w:val="clear" w:color="auto" w:fill="auto"/>
            <w:vAlign w:val="center"/>
          </w:tcPr>
          <w:p w14:paraId="11878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AD7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2FE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ACF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666" w:type="dxa"/>
            <w:tcBorders>
              <w:top w:val="nil"/>
              <w:left w:val="nil"/>
              <w:bottom w:val="single" w:color="000000" w:sz="4" w:space="0"/>
              <w:right w:val="single" w:color="000000" w:sz="4" w:space="0"/>
            </w:tcBorders>
            <w:shd w:val="clear" w:color="auto" w:fill="auto"/>
            <w:vAlign w:val="center"/>
          </w:tcPr>
          <w:p w14:paraId="4705E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B6C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750" w:type="dxa"/>
            <w:tcBorders>
              <w:top w:val="nil"/>
              <w:left w:val="nil"/>
              <w:bottom w:val="single" w:color="000000" w:sz="4" w:space="0"/>
              <w:right w:val="single" w:color="000000" w:sz="4" w:space="0"/>
            </w:tcBorders>
            <w:shd w:val="clear" w:color="auto" w:fill="auto"/>
            <w:vAlign w:val="center"/>
          </w:tcPr>
          <w:p w14:paraId="24899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700" w:type="dxa"/>
            <w:tcBorders>
              <w:top w:val="nil"/>
              <w:left w:val="nil"/>
              <w:bottom w:val="single" w:color="000000" w:sz="4" w:space="0"/>
              <w:right w:val="single" w:color="000000" w:sz="4" w:space="0"/>
            </w:tcBorders>
            <w:shd w:val="clear" w:color="auto" w:fill="auto"/>
            <w:vAlign w:val="center"/>
          </w:tcPr>
          <w:p w14:paraId="3B20B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075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583" w:type="dxa"/>
            <w:tcBorders>
              <w:top w:val="nil"/>
              <w:left w:val="nil"/>
              <w:bottom w:val="single" w:color="000000" w:sz="4" w:space="0"/>
              <w:right w:val="single" w:color="000000" w:sz="4" w:space="0"/>
            </w:tcBorders>
            <w:shd w:val="clear" w:color="auto" w:fill="auto"/>
            <w:vAlign w:val="center"/>
          </w:tcPr>
          <w:p w14:paraId="03E50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F51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D36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779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70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0D33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2137202</w:t>
            </w:r>
          </w:p>
        </w:tc>
        <w:tc>
          <w:tcPr>
            <w:tcW w:w="1816" w:type="dxa"/>
            <w:tcBorders>
              <w:top w:val="nil"/>
              <w:left w:val="nil"/>
              <w:bottom w:val="single" w:color="000000" w:sz="4" w:space="0"/>
              <w:right w:val="single" w:color="000000" w:sz="4" w:space="0"/>
            </w:tcBorders>
            <w:shd w:val="clear" w:color="auto" w:fill="auto"/>
            <w:vAlign w:val="center"/>
          </w:tcPr>
          <w:p w14:paraId="4EC511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1749A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DAB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4B7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661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666" w:type="dxa"/>
            <w:tcBorders>
              <w:top w:val="nil"/>
              <w:left w:val="nil"/>
              <w:bottom w:val="single" w:color="000000" w:sz="4" w:space="0"/>
              <w:right w:val="single" w:color="000000" w:sz="4" w:space="0"/>
            </w:tcBorders>
            <w:shd w:val="clear" w:color="auto" w:fill="auto"/>
            <w:vAlign w:val="center"/>
          </w:tcPr>
          <w:p w14:paraId="04380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57B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750" w:type="dxa"/>
            <w:tcBorders>
              <w:top w:val="nil"/>
              <w:left w:val="nil"/>
              <w:bottom w:val="single" w:color="000000" w:sz="4" w:space="0"/>
              <w:right w:val="single" w:color="000000" w:sz="4" w:space="0"/>
            </w:tcBorders>
            <w:shd w:val="clear" w:color="auto" w:fill="auto"/>
            <w:vAlign w:val="center"/>
          </w:tcPr>
          <w:p w14:paraId="62025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700" w:type="dxa"/>
            <w:tcBorders>
              <w:top w:val="nil"/>
              <w:left w:val="nil"/>
              <w:bottom w:val="single" w:color="000000" w:sz="4" w:space="0"/>
              <w:right w:val="single" w:color="000000" w:sz="4" w:space="0"/>
            </w:tcBorders>
            <w:shd w:val="clear" w:color="auto" w:fill="auto"/>
            <w:vAlign w:val="center"/>
          </w:tcPr>
          <w:p w14:paraId="2212F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4DD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583" w:type="dxa"/>
            <w:tcBorders>
              <w:top w:val="nil"/>
              <w:left w:val="nil"/>
              <w:bottom w:val="single" w:color="000000" w:sz="4" w:space="0"/>
              <w:right w:val="single" w:color="000000" w:sz="4" w:space="0"/>
            </w:tcBorders>
            <w:shd w:val="clear" w:color="auto" w:fill="auto"/>
            <w:vAlign w:val="center"/>
          </w:tcPr>
          <w:p w14:paraId="71637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3E1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A3D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EDB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16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B0A0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21373</w:t>
            </w:r>
          </w:p>
        </w:tc>
        <w:tc>
          <w:tcPr>
            <w:tcW w:w="1816" w:type="dxa"/>
            <w:tcBorders>
              <w:top w:val="nil"/>
              <w:left w:val="nil"/>
              <w:bottom w:val="single" w:color="000000" w:sz="4" w:space="0"/>
              <w:right w:val="single" w:color="000000" w:sz="4" w:space="0"/>
            </w:tcBorders>
            <w:shd w:val="clear" w:color="auto" w:fill="auto"/>
            <w:vAlign w:val="center"/>
          </w:tcPr>
          <w:p w14:paraId="472ECD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小型水库移民扶助基金安排的支出</w:t>
            </w:r>
          </w:p>
        </w:tc>
        <w:tc>
          <w:tcPr>
            <w:tcW w:w="1528" w:type="dxa"/>
            <w:tcBorders>
              <w:top w:val="nil"/>
              <w:left w:val="nil"/>
              <w:bottom w:val="single" w:color="000000" w:sz="4" w:space="0"/>
              <w:right w:val="single" w:color="000000" w:sz="4" w:space="0"/>
            </w:tcBorders>
            <w:shd w:val="clear" w:color="auto" w:fill="auto"/>
            <w:vAlign w:val="center"/>
          </w:tcPr>
          <w:p w14:paraId="60FD8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3B3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C6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29B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666" w:type="dxa"/>
            <w:tcBorders>
              <w:top w:val="nil"/>
              <w:left w:val="nil"/>
              <w:bottom w:val="single" w:color="000000" w:sz="4" w:space="0"/>
              <w:right w:val="single" w:color="000000" w:sz="4" w:space="0"/>
            </w:tcBorders>
            <w:shd w:val="clear" w:color="auto" w:fill="auto"/>
            <w:vAlign w:val="center"/>
          </w:tcPr>
          <w:p w14:paraId="4C85C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751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750" w:type="dxa"/>
            <w:tcBorders>
              <w:top w:val="nil"/>
              <w:left w:val="nil"/>
              <w:bottom w:val="single" w:color="000000" w:sz="4" w:space="0"/>
              <w:right w:val="single" w:color="000000" w:sz="4" w:space="0"/>
            </w:tcBorders>
            <w:shd w:val="clear" w:color="auto" w:fill="auto"/>
            <w:vAlign w:val="center"/>
          </w:tcPr>
          <w:p w14:paraId="66434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700" w:type="dxa"/>
            <w:tcBorders>
              <w:top w:val="nil"/>
              <w:left w:val="nil"/>
              <w:bottom w:val="single" w:color="000000" w:sz="4" w:space="0"/>
              <w:right w:val="single" w:color="000000" w:sz="4" w:space="0"/>
            </w:tcBorders>
            <w:shd w:val="clear" w:color="auto" w:fill="auto"/>
            <w:vAlign w:val="center"/>
          </w:tcPr>
          <w:p w14:paraId="50568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995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583" w:type="dxa"/>
            <w:tcBorders>
              <w:top w:val="nil"/>
              <w:left w:val="nil"/>
              <w:bottom w:val="single" w:color="000000" w:sz="4" w:space="0"/>
              <w:right w:val="single" w:color="000000" w:sz="4" w:space="0"/>
            </w:tcBorders>
            <w:shd w:val="clear" w:color="auto" w:fill="auto"/>
            <w:vAlign w:val="center"/>
          </w:tcPr>
          <w:p w14:paraId="38271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2C5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E8B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E16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0F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6738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2137302</w:t>
            </w:r>
          </w:p>
        </w:tc>
        <w:tc>
          <w:tcPr>
            <w:tcW w:w="1816" w:type="dxa"/>
            <w:tcBorders>
              <w:top w:val="nil"/>
              <w:left w:val="nil"/>
              <w:bottom w:val="single" w:color="000000" w:sz="4" w:space="0"/>
              <w:right w:val="single" w:color="000000" w:sz="4" w:space="0"/>
            </w:tcBorders>
            <w:shd w:val="clear" w:color="auto" w:fill="auto"/>
            <w:vAlign w:val="center"/>
          </w:tcPr>
          <w:p w14:paraId="7B290D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1B525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654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369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E85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666" w:type="dxa"/>
            <w:tcBorders>
              <w:top w:val="nil"/>
              <w:left w:val="nil"/>
              <w:bottom w:val="single" w:color="000000" w:sz="4" w:space="0"/>
              <w:right w:val="single" w:color="000000" w:sz="4" w:space="0"/>
            </w:tcBorders>
            <w:shd w:val="clear" w:color="auto" w:fill="auto"/>
            <w:vAlign w:val="center"/>
          </w:tcPr>
          <w:p w14:paraId="23318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9EE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750" w:type="dxa"/>
            <w:tcBorders>
              <w:top w:val="nil"/>
              <w:left w:val="nil"/>
              <w:bottom w:val="single" w:color="000000" w:sz="4" w:space="0"/>
              <w:right w:val="single" w:color="000000" w:sz="4" w:space="0"/>
            </w:tcBorders>
            <w:shd w:val="clear" w:color="auto" w:fill="auto"/>
            <w:vAlign w:val="center"/>
          </w:tcPr>
          <w:p w14:paraId="2B38C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700" w:type="dxa"/>
            <w:tcBorders>
              <w:top w:val="nil"/>
              <w:left w:val="nil"/>
              <w:bottom w:val="single" w:color="000000" w:sz="4" w:space="0"/>
              <w:right w:val="single" w:color="000000" w:sz="4" w:space="0"/>
            </w:tcBorders>
            <w:shd w:val="clear" w:color="auto" w:fill="auto"/>
            <w:vAlign w:val="center"/>
          </w:tcPr>
          <w:p w14:paraId="7F467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766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583" w:type="dxa"/>
            <w:tcBorders>
              <w:top w:val="nil"/>
              <w:left w:val="nil"/>
              <w:bottom w:val="single" w:color="000000" w:sz="4" w:space="0"/>
              <w:right w:val="single" w:color="000000" w:sz="4" w:space="0"/>
            </w:tcBorders>
            <w:shd w:val="clear" w:color="auto" w:fill="auto"/>
            <w:vAlign w:val="center"/>
          </w:tcPr>
          <w:p w14:paraId="19E81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56F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C8D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890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ADF1834">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005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894D43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E82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726BD6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石柱土家族自治县水利局本级</w:t>
            </w:r>
          </w:p>
        </w:tc>
        <w:tc>
          <w:tcPr>
            <w:tcW w:w="2116" w:type="dxa"/>
            <w:tcBorders>
              <w:top w:val="nil"/>
              <w:left w:val="nil"/>
              <w:bottom w:val="nil"/>
              <w:right w:val="nil"/>
            </w:tcBorders>
            <w:shd w:val="clear" w:color="auto" w:fill="auto"/>
            <w:vAlign w:val="bottom"/>
          </w:tcPr>
          <w:p w14:paraId="5B402D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52A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678069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4C4678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171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747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BBD97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FEDC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B905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AC3DC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08A64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A51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9C16">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32311A6">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9CDD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C9A67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BC3B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DCD0572">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7FF301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3505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FEFD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9C2F9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8C6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EC4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E98D83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46459B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96316A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BE94B0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26B809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628182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7E80BD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8C8164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BDB9803">
            <w:pPr>
              <w:jc w:val="center"/>
              <w:rPr>
                <w:rFonts w:hint="eastAsia" w:ascii="宋体" w:hAnsi="宋体" w:eastAsia="宋体" w:cs="宋体"/>
                <w:i w:val="0"/>
                <w:iCs w:val="0"/>
                <w:color w:val="000000"/>
                <w:sz w:val="22"/>
                <w:szCs w:val="22"/>
                <w:u w:val="none"/>
              </w:rPr>
            </w:pPr>
          </w:p>
        </w:tc>
      </w:tr>
      <w:tr w14:paraId="5F1E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DFD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A2F482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01B8A8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FFDD9B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B211A5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19F1BE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EAEC8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3BCF42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822E3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9D13DA2">
            <w:pPr>
              <w:jc w:val="center"/>
              <w:rPr>
                <w:rFonts w:hint="eastAsia" w:ascii="宋体" w:hAnsi="宋体" w:eastAsia="宋体" w:cs="宋体"/>
                <w:i w:val="0"/>
                <w:iCs w:val="0"/>
                <w:color w:val="000000"/>
                <w:sz w:val="22"/>
                <w:szCs w:val="22"/>
                <w:u w:val="none"/>
              </w:rPr>
            </w:pPr>
          </w:p>
        </w:tc>
      </w:tr>
      <w:tr w14:paraId="140D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4F4DF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8BD0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FB05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A7BF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C313A0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F2C653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04FC76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E3D4B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FE9F10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FB03C2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53B8E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4B9E0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741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17A53E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4957E1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F23A2DA">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FF8F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FFBA39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77910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F19D2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C9DDAA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4F382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A8C45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45E01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8E489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757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662B98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2635527">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9B1826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4171B0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F9FDC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70EAB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96C2A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EAFE5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5B8C5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B02F2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3A579E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5EE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5A0A91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54D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893693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石柱土家族自治县水利局本级</w:t>
            </w:r>
          </w:p>
        </w:tc>
        <w:tc>
          <w:tcPr>
            <w:tcW w:w="4284" w:type="dxa"/>
            <w:tcBorders>
              <w:top w:val="nil"/>
              <w:left w:val="nil"/>
              <w:bottom w:val="nil"/>
              <w:right w:val="nil"/>
            </w:tcBorders>
            <w:shd w:val="clear" w:color="auto" w:fill="auto"/>
            <w:vAlign w:val="bottom"/>
          </w:tcPr>
          <w:p w14:paraId="3E0DCAD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088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092B3F3">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D3650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01E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E2B5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77CD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8C5F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70AE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4F2D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B0C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811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817B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C2CD6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BD0E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737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464,771.62 </w:t>
            </w:r>
          </w:p>
        </w:tc>
      </w:tr>
      <w:tr w14:paraId="5F7E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A77D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5E0DC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94E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22,713.83 </w:t>
            </w:r>
          </w:p>
        </w:tc>
        <w:tc>
          <w:tcPr>
            <w:tcW w:w="5317" w:type="dxa"/>
            <w:tcBorders>
              <w:top w:val="nil"/>
              <w:left w:val="nil"/>
              <w:bottom w:val="single" w:color="000000" w:sz="4" w:space="0"/>
              <w:right w:val="single" w:color="000000" w:sz="4" w:space="0"/>
            </w:tcBorders>
            <w:shd w:val="clear" w:color="auto" w:fill="auto"/>
            <w:vAlign w:val="center"/>
          </w:tcPr>
          <w:p w14:paraId="78B08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3F9F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FE1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464,771.62 </w:t>
            </w:r>
          </w:p>
        </w:tc>
      </w:tr>
      <w:tr w14:paraId="72BF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DB3B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844A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D3F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6E960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0207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EEE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5C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0367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2A7B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DA4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19,965.83 </w:t>
            </w:r>
          </w:p>
        </w:tc>
        <w:tc>
          <w:tcPr>
            <w:tcW w:w="5317" w:type="dxa"/>
            <w:tcBorders>
              <w:top w:val="nil"/>
              <w:left w:val="nil"/>
              <w:bottom w:val="single" w:color="000000" w:sz="4" w:space="0"/>
              <w:right w:val="single" w:color="000000" w:sz="4" w:space="0"/>
            </w:tcBorders>
            <w:shd w:val="clear" w:color="auto" w:fill="auto"/>
            <w:vAlign w:val="center"/>
          </w:tcPr>
          <w:p w14:paraId="606986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E922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D2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4D6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E52E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3506D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D0E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5A407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5F6B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1D0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4477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71D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9936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433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19,965.83 </w:t>
            </w:r>
          </w:p>
        </w:tc>
        <w:tc>
          <w:tcPr>
            <w:tcW w:w="5317" w:type="dxa"/>
            <w:tcBorders>
              <w:top w:val="nil"/>
              <w:left w:val="nil"/>
              <w:bottom w:val="single" w:color="000000" w:sz="4" w:space="0"/>
              <w:right w:val="single" w:color="000000" w:sz="4" w:space="0"/>
            </w:tcBorders>
            <w:shd w:val="clear" w:color="auto" w:fill="auto"/>
            <w:vAlign w:val="center"/>
          </w:tcPr>
          <w:p w14:paraId="08436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9C40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E6BE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C4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F3AF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BCF7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BE2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2,748.00 </w:t>
            </w:r>
          </w:p>
        </w:tc>
        <w:tc>
          <w:tcPr>
            <w:tcW w:w="5317" w:type="dxa"/>
            <w:tcBorders>
              <w:top w:val="nil"/>
              <w:left w:val="nil"/>
              <w:bottom w:val="single" w:color="000000" w:sz="4" w:space="0"/>
              <w:right w:val="single" w:color="000000" w:sz="4" w:space="0"/>
            </w:tcBorders>
            <w:shd w:val="clear" w:color="auto" w:fill="auto"/>
            <w:vAlign w:val="center"/>
          </w:tcPr>
          <w:p w14:paraId="55477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1C4D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1B8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36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FB0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C45A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AE9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2,748.00 </w:t>
            </w:r>
          </w:p>
        </w:tc>
        <w:tc>
          <w:tcPr>
            <w:tcW w:w="5317" w:type="dxa"/>
            <w:tcBorders>
              <w:top w:val="nil"/>
              <w:left w:val="nil"/>
              <w:bottom w:val="single" w:color="000000" w:sz="4" w:space="0"/>
              <w:right w:val="single" w:color="000000" w:sz="4" w:space="0"/>
            </w:tcBorders>
            <w:shd w:val="clear" w:color="auto" w:fill="auto"/>
            <w:vAlign w:val="center"/>
          </w:tcPr>
          <w:p w14:paraId="1ABBD8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46346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FB49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5F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137B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1695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8EF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B9E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4F55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103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5625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99E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AA53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EF4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9D05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62A67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C36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3F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575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344F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B671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1B7C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6F2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B7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F3E1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42CD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162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9090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F5C9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B50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57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5A58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816C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9EFF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5841F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05BC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E9D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5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0842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3E53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5AC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EB4C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F893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991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37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D08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CEC1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AD7E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5BF02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ADFE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5F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CE1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D825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9FF0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EB1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w:t>
            </w:r>
          </w:p>
        </w:tc>
        <w:tc>
          <w:tcPr>
            <w:tcW w:w="5317" w:type="dxa"/>
            <w:tcBorders>
              <w:top w:val="nil"/>
              <w:left w:val="nil"/>
              <w:bottom w:val="single" w:color="000000" w:sz="4" w:space="0"/>
              <w:right w:val="single" w:color="000000" w:sz="4" w:space="0"/>
            </w:tcBorders>
            <w:shd w:val="clear" w:color="auto" w:fill="auto"/>
            <w:vAlign w:val="center"/>
          </w:tcPr>
          <w:p w14:paraId="4A205C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8A40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F77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10,220,571.83 </w:t>
            </w:r>
          </w:p>
        </w:tc>
      </w:tr>
      <w:tr w14:paraId="7708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F50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A45B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B41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1067F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40770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EFE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3,718,172.33 </w:t>
            </w:r>
          </w:p>
        </w:tc>
      </w:tr>
      <w:tr w14:paraId="0F4D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D33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B3C0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A16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w:t>
            </w:r>
          </w:p>
        </w:tc>
        <w:tc>
          <w:tcPr>
            <w:tcW w:w="5317" w:type="dxa"/>
            <w:tcBorders>
              <w:top w:val="nil"/>
              <w:left w:val="nil"/>
              <w:bottom w:val="single" w:color="000000" w:sz="4" w:space="0"/>
              <w:right w:val="single" w:color="000000" w:sz="4" w:space="0"/>
            </w:tcBorders>
            <w:shd w:val="clear" w:color="auto" w:fill="auto"/>
            <w:vAlign w:val="center"/>
          </w:tcPr>
          <w:p w14:paraId="653EC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DDEB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B84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86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E645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EDF8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654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DFC7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0BAD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3BD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6,502,399.50 </w:t>
            </w:r>
          </w:p>
        </w:tc>
      </w:tr>
      <w:tr w14:paraId="53E1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AD8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A3E6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826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1750A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68A6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992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9,590,771.83 </w:t>
            </w:r>
          </w:p>
        </w:tc>
      </w:tr>
      <w:tr w14:paraId="4F6A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29C9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F773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B05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C2F7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76B0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994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7,950,171.11 </w:t>
            </w:r>
          </w:p>
        </w:tc>
      </w:tr>
      <w:tr w14:paraId="7F93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0CCA2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CAA2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F374B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9,904.00</w:t>
            </w:r>
          </w:p>
        </w:tc>
        <w:tc>
          <w:tcPr>
            <w:tcW w:w="5317" w:type="dxa"/>
            <w:tcBorders>
              <w:top w:val="nil"/>
              <w:left w:val="nil"/>
              <w:bottom w:val="single" w:color="auto" w:sz="4" w:space="0"/>
              <w:right w:val="single" w:color="000000" w:sz="4" w:space="0"/>
            </w:tcBorders>
            <w:shd w:val="clear" w:color="auto" w:fill="auto"/>
            <w:vAlign w:val="center"/>
          </w:tcPr>
          <w:p w14:paraId="3E8757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BD31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02D8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A7F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4E15C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4DBA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7D433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438A5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0B5D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C59A4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F3E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8A8FB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0317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20395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182,733.00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F8864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09D6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5E835C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CE5D726">
      <w:pPr>
        <w:rPr>
          <w:rFonts w:hint="eastAsia" w:ascii="宋体" w:hAnsi="宋体" w:eastAsia="宋体" w:cs="宋体"/>
          <w:color w:val="000000"/>
          <w:sz w:val="21"/>
          <w:szCs w:val="21"/>
          <w:lang w:bidi="ar"/>
        </w:rPr>
      </w:pPr>
    </w:p>
    <w:p w14:paraId="3EBDAA33">
      <w:pPr>
        <w:rPr>
          <w:rFonts w:hint="eastAsia" w:ascii="宋体" w:hAnsi="宋体" w:eastAsia="宋体" w:cs="宋体"/>
          <w:color w:val="000000"/>
          <w:sz w:val="21"/>
          <w:szCs w:val="21"/>
          <w:lang w:bidi="ar"/>
        </w:rPr>
      </w:pPr>
    </w:p>
    <w:p w14:paraId="7703C416">
      <w:pPr>
        <w:rPr>
          <w:rFonts w:hint="eastAsia" w:ascii="宋体" w:hAnsi="宋体" w:eastAsia="宋体" w:cs="宋体"/>
          <w:color w:val="000000"/>
          <w:sz w:val="21"/>
          <w:szCs w:val="21"/>
          <w:lang w:bidi="ar"/>
        </w:rPr>
      </w:pPr>
    </w:p>
    <w:p w14:paraId="62BF40A4">
      <w:pPr>
        <w:rPr>
          <w:rFonts w:hint="eastAsia" w:ascii="宋体" w:hAnsi="宋体" w:eastAsia="宋体" w:cs="宋体"/>
          <w:color w:val="000000"/>
          <w:sz w:val="21"/>
          <w:szCs w:val="21"/>
          <w:lang w:bidi="ar"/>
        </w:rPr>
      </w:pPr>
    </w:p>
    <w:p w14:paraId="1E5DAB42">
      <w:pPr>
        <w:rPr>
          <w:rFonts w:hint="eastAsia" w:ascii="宋体" w:hAnsi="宋体" w:eastAsia="宋体" w:cs="宋体"/>
          <w:color w:val="000000"/>
          <w:sz w:val="21"/>
          <w:szCs w:val="21"/>
          <w:lang w:bidi="ar"/>
        </w:rPr>
      </w:pPr>
    </w:p>
    <w:p w14:paraId="52A4F129">
      <w:pPr>
        <w:rPr>
          <w:rFonts w:hint="eastAsia" w:ascii="宋体" w:hAnsi="宋体" w:eastAsia="宋体" w:cs="宋体"/>
          <w:color w:val="000000"/>
          <w:sz w:val="21"/>
          <w:szCs w:val="21"/>
          <w:lang w:bidi="ar"/>
        </w:rPr>
      </w:pPr>
    </w:p>
    <w:p w14:paraId="5F7C0B1C">
      <w:pPr>
        <w:rPr>
          <w:rFonts w:hint="eastAsia" w:ascii="宋体" w:hAnsi="宋体" w:eastAsia="宋体" w:cs="宋体"/>
          <w:color w:val="000000"/>
          <w:sz w:val="21"/>
          <w:szCs w:val="21"/>
          <w:lang w:bidi="ar"/>
        </w:rPr>
      </w:pPr>
    </w:p>
    <w:p w14:paraId="366E13BE">
      <w:pPr>
        <w:rPr>
          <w:rFonts w:hint="eastAsia" w:ascii="宋体" w:hAnsi="宋体" w:eastAsia="宋体" w:cs="宋体"/>
          <w:color w:val="000000"/>
          <w:sz w:val="21"/>
          <w:szCs w:val="21"/>
          <w:lang w:bidi="ar"/>
        </w:rPr>
      </w:pPr>
    </w:p>
    <w:p w14:paraId="58E0019B">
      <w:pPr>
        <w:rPr>
          <w:rFonts w:hint="eastAsia" w:ascii="宋体" w:hAnsi="宋体" w:eastAsia="宋体" w:cs="宋体"/>
          <w:color w:val="000000"/>
          <w:sz w:val="21"/>
          <w:szCs w:val="21"/>
          <w:lang w:bidi="ar"/>
        </w:rPr>
      </w:pPr>
    </w:p>
    <w:p w14:paraId="2FC814D3">
      <w:pPr>
        <w:pStyle w:val="13"/>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861B">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24CF97">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424CF97">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D92C4CD">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D92C4CD">
                    <w:pPr>
                      <w:pStyle w:val="6"/>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AA9E">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96EFFA">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A96EFFA">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22D9182">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22D9182">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2653">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44B2">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0475C6"/>
    <w:rsid w:val="0C7927C4"/>
    <w:rsid w:val="0C9B098C"/>
    <w:rsid w:val="0D11728C"/>
    <w:rsid w:val="0D673E11"/>
    <w:rsid w:val="0DB50EFE"/>
    <w:rsid w:val="0DDA54E4"/>
    <w:rsid w:val="0E0878B3"/>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28D5F00"/>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023C3"/>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7EF458A"/>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10641</Words>
  <Characters>18681</Characters>
  <Lines>161</Lines>
  <Paragraphs>45</Paragraphs>
  <TotalTime>8</TotalTime>
  <ScaleCrop>false</ScaleCrop>
  <LinksUpToDate>false</LinksUpToDate>
  <CharactersWithSpaces>20076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2025-10-16T03:48:58Z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91AD65F193A945DCAE530DF4B15A4F97_13</vt:lpwstr>
  </property>
  <property fmtid="{D5CDD505-2E9C-101B-9397-08002B2CF9AE}" pid="4" name="KSOTemplateDocerSaveRecord">
    <vt:lpwstr>eyJoZGlkIjoiM2VmN2NkNzlhZDllNTk4ZDQyYWY1YjAzNzZkNTk2YWEiLCJ1c2VySWQiOiIxMzAwNjA3NzU5In0=</vt:lpwstr>
  </property>
</Properties>
</file>